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C2410C"/>
          <w:sz w:val="22"/>
        </w:rPr>
        <w:t>BIG DATA ANALYTICS (BDA) — REVIEW 3 TECHNICAL REPORT</w:t>
      </w:r>
    </w:p>
    <w:p>
      <w:pPr>
        <w:spacing w:before="0" w:after="120"/>
      </w:pPr>
      <w:r>
        <w:rPr>
          <w:rFonts w:ascii="Calibri" w:hAnsi="Calibri"/>
          <w:b/>
          <w:color w:val="0B3D91"/>
          <w:sz w:val="44"/>
        </w:rPr>
        <w:t>FireWatch: NASA FIRMS Global Telemetry &amp; Wildfire Dispatch AI</w:t>
      </w:r>
    </w:p>
    <w:p>
      <w:pPr>
        <w:spacing w:before="0" w:after="280"/>
      </w:pPr>
      <w:r>
        <w:rPr>
          <w:rFonts w:ascii="Calibri" w:hAnsi="Calibri"/>
          <w:i/>
          <w:color w:val="475569"/>
          <w:sz w:val="26"/>
        </w:rPr>
        <w:t>Specialized Member Contribution: Member 2 — Temporal Dynamics, Diurnal Energetics, and Forward Chronological Machine Learning Validation</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2484"/>
        <w:gridCol w:w="2484"/>
        <w:gridCol w:w="2484"/>
        <w:gridCol w:w="2484"/>
      </w:tblGrid>
      <w:tr>
        <w:tc>
          <w:tcPr>
            <w:tcW w:type="dxa" w:w="2160"/>
            <w:shd w:fill="0B3D91"/>
            <w:tcMar>
              <w:top w:w="120" w:type="dxa"/>
              <w:bottom w:w="120" w:type="dxa"/>
              <w:left w:w="120" w:type="dxa"/>
              <w:right w:w="120" w:type="dxa"/>
            </w:tcMar>
          </w:tcPr>
          <w:p>
            <w:pPr>
              <w:spacing w:before="0" w:after="0"/>
              <w:jc w:val="center"/>
            </w:pPr>
            <w:r>
              <w:rPr>
                <w:rFonts w:ascii="Calibri" w:hAnsi="Calibri"/>
                <w:b/>
                <w:color w:val="FFFFFF"/>
                <w:sz w:val="19"/>
              </w:rPr>
              <w:t>Evaluation Stage</w:t>
            </w:r>
          </w:p>
        </w:tc>
        <w:tc>
          <w:tcPr>
            <w:tcW w:type="dxa" w:w="2880"/>
            <w:shd w:fill="0B3D91"/>
            <w:tcMar>
              <w:top w:w="120" w:type="dxa"/>
              <w:bottom w:w="120" w:type="dxa"/>
              <w:left w:w="120" w:type="dxa"/>
              <w:right w:w="120" w:type="dxa"/>
            </w:tcMar>
          </w:tcPr>
          <w:p>
            <w:pPr>
              <w:spacing w:before="0" w:after="0"/>
              <w:jc w:val="center"/>
            </w:pPr>
            <w:r>
              <w:rPr>
                <w:rFonts w:ascii="Calibri" w:hAnsi="Calibri"/>
                <w:b/>
                <w:color w:val="FFFFFF"/>
                <w:sz w:val="19"/>
              </w:rPr>
              <w:t>Component Role</w:t>
            </w:r>
          </w:p>
        </w:tc>
        <w:tc>
          <w:tcPr>
            <w:tcW w:type="dxa" w:w="2016"/>
            <w:shd w:fill="0B3D91"/>
            <w:tcMar>
              <w:top w:w="120" w:type="dxa"/>
              <w:bottom w:w="120" w:type="dxa"/>
              <w:left w:w="120" w:type="dxa"/>
              <w:right w:w="120" w:type="dxa"/>
            </w:tcMar>
          </w:tcPr>
          <w:p>
            <w:pPr>
              <w:spacing w:before="0" w:after="0"/>
              <w:jc w:val="center"/>
            </w:pPr>
            <w:r>
              <w:rPr>
                <w:rFonts w:ascii="Calibri" w:hAnsi="Calibri"/>
                <w:b/>
                <w:color w:val="FFFFFF"/>
                <w:sz w:val="19"/>
              </w:rPr>
              <w:t>Execution Engine</w:t>
            </w:r>
          </w:p>
        </w:tc>
        <w:tc>
          <w:tcPr>
            <w:tcW w:type="dxa" w:w="2880"/>
            <w:shd w:fill="0B3D91"/>
            <w:tcMar>
              <w:top w:w="120" w:type="dxa"/>
              <w:bottom w:w="120" w:type="dxa"/>
              <w:left w:w="120" w:type="dxa"/>
              <w:right w:w="120" w:type="dxa"/>
            </w:tcMar>
          </w:tcPr>
          <w:p>
            <w:pPr>
              <w:spacing w:before="0" w:after="0"/>
              <w:jc w:val="center"/>
            </w:pPr>
            <w:r>
              <w:rPr>
                <w:rFonts w:ascii="Calibri" w:hAnsi="Calibri"/>
                <w:b/>
                <w:color w:val="FFFFFF"/>
                <w:sz w:val="19"/>
              </w:rPr>
              <w:t>Ingested Dataset</w:t>
            </w:r>
          </w:p>
        </w:tc>
      </w:tr>
      <w:tr>
        <w:tc>
          <w:tcPr>
            <w:tcW w:type="dxa" w:w="2160"/>
            <w:shd w:fill="FFFFFF"/>
            <w:tcMar>
              <w:top w:w="90" w:type="dxa"/>
              <w:bottom w:w="90" w:type="dxa"/>
              <w:left w:w="120" w:type="dxa"/>
              <w:right w:w="120" w:type="dxa"/>
            </w:tcMar>
          </w:tcPr>
          <w:p>
            <w:pPr>
              <w:spacing w:before="0" w:after="0"/>
              <w:jc w:val="center"/>
            </w:pPr>
            <w:r>
              <w:rPr>
                <w:rFonts w:ascii="Calibri" w:hAnsi="Calibri"/>
                <w:b/>
                <w:color w:val="1E293B"/>
                <w:sz w:val="18"/>
              </w:rPr>
              <w:t>Review 3 Evaluation</w:t>
            </w:r>
          </w:p>
        </w:tc>
        <w:tc>
          <w:tcPr>
            <w:tcW w:type="dxa" w:w="2880"/>
            <w:shd w:fill="FFFFFF"/>
            <w:tcMar>
              <w:top w:w="90" w:type="dxa"/>
              <w:bottom w:w="90" w:type="dxa"/>
              <w:left w:w="120" w:type="dxa"/>
              <w:right w:w="120" w:type="dxa"/>
            </w:tcMar>
          </w:tcPr>
          <w:p>
            <w:pPr>
              <w:spacing w:before="0" w:after="0"/>
              <w:jc w:val="center"/>
            </w:pPr>
            <w:r>
              <w:rPr>
                <w:rFonts w:ascii="Calibri" w:hAnsi="Calibri"/>
                <w:color w:val="1E293B"/>
                <w:sz w:val="18"/>
              </w:rPr>
              <w:t>Member 2 (Temporal Lead)</w:t>
            </w:r>
          </w:p>
        </w:tc>
        <w:tc>
          <w:tcPr>
            <w:tcW w:type="dxa" w:w="2016"/>
            <w:shd w:fill="FFFFFF"/>
            <w:tcMar>
              <w:top w:w="90" w:type="dxa"/>
              <w:bottom w:w="90" w:type="dxa"/>
              <w:left w:w="120" w:type="dxa"/>
              <w:right w:w="120" w:type="dxa"/>
            </w:tcMar>
          </w:tcPr>
          <w:p>
            <w:pPr>
              <w:spacing w:before="0" w:after="0"/>
              <w:jc w:val="center"/>
            </w:pPr>
            <w:r>
              <w:rPr>
                <w:rFonts w:ascii="Calibri" w:hAnsi="Calibri"/>
                <w:color w:val="1E293B"/>
                <w:sz w:val="18"/>
              </w:rPr>
              <w:t>Apache PySpark 4.2.0 / Java 21</w:t>
            </w:r>
          </w:p>
        </w:tc>
        <w:tc>
          <w:tcPr>
            <w:tcW w:type="dxa" w:w="2880"/>
            <w:shd w:fill="FFFFFF"/>
            <w:tcMar>
              <w:top w:w="90" w:type="dxa"/>
              <w:bottom w:w="90" w:type="dxa"/>
              <w:left w:w="120" w:type="dxa"/>
              <w:right w:w="120" w:type="dxa"/>
            </w:tcMar>
          </w:tcPr>
          <w:p>
            <w:pPr>
              <w:spacing w:before="0" w:after="0"/>
              <w:jc w:val="center"/>
            </w:pPr>
            <w:r>
              <w:rPr>
                <w:rFonts w:ascii="Calibri" w:hAnsi="Calibri"/>
                <w:color w:val="1E293B"/>
                <w:sz w:val="18"/>
              </w:rPr>
              <w:t>NASA FIRMS (9,511,402 Rows / 730 MB)</w:t>
            </w:r>
          </w:p>
        </w:tc>
      </w:tr>
    </w:tbl>
    <w:p>
      <w:pPr>
        <w:spacing w:after="160"/>
      </w:pPr>
    </w:p>
    <w:p>
      <w:pPr>
        <w:pStyle w:val="Heading1"/>
        <w:keepNext/>
        <w:spacing w:before="280" w:after="80"/>
      </w:pPr>
      <w:r>
        <w:rPr>
          <w:rFonts w:ascii="Calibri" w:hAnsi="Calibri"/>
          <w:b/>
          <w:color w:val="0B3D91"/>
          <w:sz w:val="36"/>
        </w:rPr>
        <w:t>1. Executive Summary &amp; Scope of Contribution</w:t>
      </w:r>
    </w:p>
    <w:p>
      <w:pPr>
        <w:spacing w:before="0" w:after="120" w:line="276" w:lineRule="auto"/>
      </w:pPr>
      <w:r>
        <w:rPr>
          <w:rFonts w:ascii="Calibri" w:hAnsi="Calibri"/>
          <w:b/>
          <w:color w:val="0F172A"/>
          <w:sz w:val="22"/>
        </w:rPr>
        <w:t xml:space="preserve">Core Mission Objective: </w:t>
      </w:r>
      <w:r>
        <w:rPr>
          <w:rFonts w:ascii="Calibri" w:hAnsi="Calibri"/>
          <w:i w:val="0"/>
          <w:color w:val="334155"/>
          <w:sz w:val="22"/>
        </w:rPr>
        <w:t>Within the FireWatch big data architecture, Member 2 was specifically tasked with the Temporal Dynamics, Diurnal Energetics, and Chronological Machine Learning Validation across the full NASA EOSDIS / FIRMS Suomi-NPP VIIRS telemetry repository. The dataset comprises exactly 9,511,402 active wildfire hotspot detections recorded between October 12, 2025 and June 30, 2026 (~730.16 MB uncompressed).</w:t>
      </w:r>
    </w:p>
    <w:p>
      <w:pPr>
        <w:spacing w:before="0" w:after="120" w:line="276" w:lineRule="auto"/>
      </w:pPr>
      <w:r>
        <w:rPr>
          <w:rFonts w:ascii="Calibri" w:hAnsi="Calibri"/>
          <w:b/>
          <w:color w:val="0F172A"/>
          <w:sz w:val="22"/>
        </w:rPr>
        <w:t xml:space="preserve">Primary Research Question: </w:t>
      </w:r>
      <w:r>
        <w:rPr>
          <w:rFonts w:ascii="Calibri" w:hAnsi="Calibri"/>
          <w:i/>
          <w:color w:val="334155"/>
          <w:sz w:val="22"/>
        </w:rPr>
        <w:t>The primary scientific and operational question formulated for Member 2 is: "When does observed global wildfire activity peak, how does thermal radiative energy (Fire Radiative Power, FRP) fluctuate chronologically across days, months, and diurnal acquisition hours, and how does seasonal concept drift impact predictive wildfire triage models when evaluated under leakage-safe chronological forward-testing?"</w:t>
      </w:r>
    </w:p>
    <w:tbl>
      <w:tblPr>
        <w:tblW w:type="auto" w:w="0"/>
        <w:jc w:val="center"/>
        <w:tblLook w:firstColumn="1" w:firstRow="1" w:lastColumn="0" w:lastRow="0" w:noHBand="0" w:noVBand="1" w:val="04A0"/>
      </w:tblPr>
      <w:tblGrid>
        <w:gridCol w:w="9936"/>
      </w:tblGrid>
      <w:tr>
        <w:tc>
          <w:tcPr>
            <w:tcW w:type="dxa" w:w="9936"/>
            <w:shd w:fill="F1F5F9"/>
            <w:tcBorders>
              <w:top w:val="none"/>
              <w:left w:val="single" w:sz="36" w:space="0" w:color="0B3D91"/>
              <w:bottom w:val="none"/>
              <w:right w:val="none"/>
            </w:tcBorders>
            <w:tcMar>
              <w:top w:w="140" w:type="dxa"/>
              <w:bottom w:w="140" w:type="dxa"/>
              <w:left w:w="200" w:type="dxa"/>
              <w:right w:w="200" w:type="dxa"/>
            </w:tcMar>
          </w:tcPr>
          <w:p>
            <w:pPr>
              <w:spacing w:before="0" w:after="0" w:line="276" w:lineRule="auto"/>
            </w:pPr>
            <w:r>
              <w:rPr>
                <w:rFonts w:ascii="Calibri" w:hAnsi="Calibri"/>
                <w:b/>
                <w:color w:val="0B3D91"/>
                <w:sz w:val="22"/>
              </w:rPr>
              <w:t>KEY HIGHLIGHTS OF MEMBER 2 DELIVERABLES</w:t>
              <w:br/>
            </w:r>
            <w:r>
              <w:rPr>
                <w:rFonts w:ascii="Calibri" w:hAnsi="Calibri"/>
                <w:color w:val="1E293B"/>
                <w:sz w:val="20"/>
              </w:rPr>
              <w:t>1. Distributed PySpark Pipeline: Ingested, cleaned, and aggregated 9.51 million rows using Apache PySpark 4.2.0 on Java 21 LTS in 31.75 seconds (~299,500 records/sec throughput).</w:t>
              <w:br/>
              <w:t>2. Empirical Temporal Discoveries: Discovered the single worst wildfire date (October 16, 2025: 66,867 fires, 675,835 MW), the busiest month by count (January 2026: 1.53M fires), and the most destructive month by thermal energy (June 2026: 10.32 MW mean FRP).</w:t>
              <w:br/>
              <w:t>3. Diurnal Convective Cycle: Resolved 24-hr UTC diurnal fire peaks at 11:00-12:00 UTC (&gt;2.85M detections) and formulated the WARD nocturnal triage protocol for FRP &gt;= 30 MW.</w:t>
              <w:br/>
              <w:t>4. Leakage-Safe Machine Learning Validation: Overcame temporal data leakage by engineering a Forward-Chronological Holdout Split (71.19% temporal accuracy vs. 74.72% random split, 0.8415 ROC-AUC), proving seasonal concept drift.</w:t>
              <w:br/>
              <w:t>5. Full-Stack Operationalization: Integrated temporal REST APIs, live Chart.js visualizations, NoSQL document persistence, and automated test suite.</w:t>
            </w:r>
          </w:p>
        </w:tc>
      </w:tr>
    </w:tbl>
    <w:p>
      <w:pPr>
        <w:spacing w:after="80"/>
      </w:pPr>
    </w:p>
    <w:p>
      <w:pPr>
        <w:spacing w:before="160" w:after="60"/>
        <w:jc w:val="center"/>
      </w:pPr>
      <w:r>
        <w:drawing>
          <wp:inline xmlns:a="http://schemas.openxmlformats.org/drawingml/2006/main" xmlns:pic="http://schemas.openxmlformats.org/drawingml/2006/picture">
            <wp:extent cx="5669280" cy="2055373"/>
            <wp:docPr id="1" name="Picture 1"/>
            <wp:cNvGraphicFramePr>
              <a:graphicFrameLocks noChangeAspect="1"/>
            </wp:cNvGraphicFramePr>
            <a:graphic>
              <a:graphicData uri="http://schemas.openxmlformats.org/drawingml/2006/picture">
                <pic:pic>
                  <pic:nvPicPr>
                    <pic:cNvPr id="0" name="fig1_scope_pyspark.png"/>
                    <pic:cNvPicPr/>
                  </pic:nvPicPr>
                  <pic:blipFill>
                    <a:blip r:embed="rId9"/>
                    <a:stretch>
                      <a:fillRect/>
                    </a:stretch>
                  </pic:blipFill>
                  <pic:spPr>
                    <a:xfrm>
                      <a:off x="0" y="0"/>
                      <a:ext cx="5669280" cy="2055373"/>
                    </a:xfrm>
                    <a:prstGeom prst="rect"/>
                  </pic:spPr>
                </pic:pic>
              </a:graphicData>
            </a:graphic>
          </wp:inline>
        </w:drawing>
      </w:r>
    </w:p>
    <w:p>
      <w:pPr>
        <w:spacing w:before="0" w:after="160"/>
        <w:jc w:val="center"/>
      </w:pPr>
      <w:r>
        <w:rPr>
          <w:rFonts w:ascii="Calibri" w:hAnsi="Calibri"/>
          <w:i/>
          <w:color w:val="64748B"/>
          <w:sz w:val="19"/>
        </w:rPr>
        <w:t>Figure 1: Scope, Architectural Role, and Distributed PySpark Processing Workflow for Member 2</w:t>
      </w:r>
    </w:p>
    <w:p>
      <w:pPr>
        <w:pStyle w:val="Heading1"/>
        <w:keepNext/>
        <w:spacing w:before="280" w:after="80"/>
      </w:pPr>
      <w:r>
        <w:rPr>
          <w:rFonts w:ascii="Calibri" w:hAnsi="Calibri"/>
          <w:b/>
          <w:color w:val="0B3D91"/>
          <w:sz w:val="36"/>
        </w:rPr>
        <w:t>2. Apache PySpark 4.2 Distributed Processing Architecture</w:t>
      </w:r>
    </w:p>
    <w:p>
      <w:pPr>
        <w:spacing w:before="0" w:after="120" w:line="276" w:lineRule="auto"/>
      </w:pPr>
      <w:r>
        <w:rPr>
          <w:rFonts w:ascii="Calibri" w:hAnsi="Calibri"/>
          <w:b/>
          <w:color w:val="0F172A"/>
          <w:sz w:val="22"/>
        </w:rPr>
        <w:t xml:space="preserve">Architectural Necessity: </w:t>
      </w:r>
      <w:r>
        <w:rPr>
          <w:rFonts w:ascii="Calibri" w:hAnsi="Calibri"/>
          <w:i w:val="0"/>
          <w:color w:val="334155"/>
          <w:sz w:val="22"/>
        </w:rPr>
        <w:t>Wildfire satellite monitoring generates massive high-velocity data streams. Ingestion of 9.51 million records into conventional single-threaded data manipulation libraries (such as Python pandas) results in severe memory saturation (Out-Of-Memory exceptions) and protracted processing runtimes exceeding 10 minutes. Member 2 designed and executed an enterprise-grade distributed pipeline using Apache PySpark 4.2.0 running on a Java 21 LTS JVM.</w:t>
      </w:r>
    </w:p>
    <w:p>
      <w:pPr>
        <w:spacing w:before="0" w:after="120" w:line="276" w:lineRule="auto"/>
      </w:pPr>
      <w:r>
        <w:rPr>
          <w:rFonts w:ascii="Calibri" w:hAnsi="Calibri"/>
          <w:b/>
          <w:color w:val="0F172A"/>
          <w:sz w:val="22"/>
        </w:rPr>
        <w:t xml:space="preserve">Optimization Mechanism: </w:t>
      </w:r>
      <w:r>
        <w:rPr>
          <w:rFonts w:ascii="Calibri" w:hAnsi="Calibri"/>
          <w:i w:val="0"/>
          <w:color w:val="334155"/>
          <w:sz w:val="22"/>
        </w:rPr>
        <w:t>PySpark's Catalyst Query Optimizer converts high-level DataFrame transformations into optimized physical execution plans consisting of Resilient Distributed Datasets (RDDs). Through lazy evaluation, intermediate transformations (such as string casting, timestamp integer truncation, and projection pruning) are pipelined into unified memory partitions, eliminating costly disk spills and multi-pass serialization.</w:t>
      </w:r>
    </w:p>
    <w:p>
      <w:pPr>
        <w:pStyle w:val="Heading2"/>
        <w:keepNext/>
        <w:spacing w:before="280" w:after="80"/>
      </w:pPr>
      <w:r>
        <w:rPr>
          <w:rFonts w:ascii="Calibri" w:hAnsi="Calibri"/>
          <w:b/>
          <w:color w:val="1E293B"/>
          <w:sz w:val="27"/>
        </w:rPr>
        <w:t>Empirical PySpark Execution Benchmarks (9,511,402 Records)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1987"/>
        <w:gridCol w:w="1987"/>
        <w:gridCol w:w="1987"/>
        <w:gridCol w:w="1987"/>
        <w:gridCol w:w="1987"/>
      </w:tblGrid>
      <w:tr>
        <w:tc>
          <w:tcPr>
            <w:tcW w:type="dxa" w:w="3168"/>
            <w:shd w:fill="0B3D91"/>
            <w:tcMar>
              <w:top w:w="120" w:type="dxa"/>
              <w:bottom w:w="120" w:type="dxa"/>
              <w:left w:w="120" w:type="dxa"/>
              <w:right w:w="120" w:type="dxa"/>
            </w:tcMar>
          </w:tcPr>
          <w:p>
            <w:pPr>
              <w:spacing w:before="0" w:after="0"/>
              <w:jc w:val="left"/>
            </w:pPr>
            <w:r>
              <w:rPr>
                <w:rFonts w:ascii="Calibri" w:hAnsi="Calibri"/>
                <w:b/>
                <w:color w:val="FFFFFF"/>
                <w:sz w:val="19"/>
              </w:rPr>
              <w:t>Pipeline Stage</w:t>
            </w:r>
          </w:p>
        </w:tc>
        <w:tc>
          <w:tcPr>
            <w:tcW w:type="dxa" w:w="2592"/>
            <w:shd w:fill="0B3D91"/>
            <w:tcMar>
              <w:top w:w="120" w:type="dxa"/>
              <w:bottom w:w="120" w:type="dxa"/>
              <w:left w:w="120" w:type="dxa"/>
              <w:right w:w="120" w:type="dxa"/>
            </w:tcMar>
          </w:tcPr>
          <w:p>
            <w:pPr>
              <w:spacing w:before="0" w:after="0"/>
              <w:jc w:val="left"/>
            </w:pPr>
            <w:r>
              <w:rPr>
                <w:rFonts w:ascii="Calibri" w:hAnsi="Calibri"/>
                <w:b/>
                <w:color w:val="FFFFFF"/>
                <w:sz w:val="19"/>
              </w:rPr>
              <w:t>Framework / Engine</w:t>
            </w:r>
          </w:p>
        </w:tc>
        <w:tc>
          <w:tcPr>
            <w:tcW w:type="dxa" w:w="1584"/>
            <w:shd w:fill="0B3D91"/>
            <w:tcMar>
              <w:top w:w="120" w:type="dxa"/>
              <w:bottom w:w="120" w:type="dxa"/>
              <w:left w:w="120" w:type="dxa"/>
              <w:right w:w="120" w:type="dxa"/>
            </w:tcMar>
          </w:tcPr>
          <w:p>
            <w:pPr>
              <w:spacing w:before="0" w:after="0"/>
              <w:jc w:val="left"/>
            </w:pPr>
            <w:r>
              <w:rPr>
                <w:rFonts w:ascii="Calibri" w:hAnsi="Calibri"/>
                <w:b/>
                <w:color w:val="FFFFFF"/>
                <w:sz w:val="19"/>
              </w:rPr>
              <w:t>Processed Rows</w:t>
            </w:r>
          </w:p>
        </w:tc>
        <w:tc>
          <w:tcPr>
            <w:tcW w:type="dxa" w:w="1296"/>
            <w:shd w:fill="0B3D91"/>
            <w:tcMar>
              <w:top w:w="120" w:type="dxa"/>
              <w:bottom w:w="120" w:type="dxa"/>
              <w:left w:w="120" w:type="dxa"/>
              <w:right w:w="120" w:type="dxa"/>
            </w:tcMar>
          </w:tcPr>
          <w:p>
            <w:pPr>
              <w:spacing w:before="0" w:after="0"/>
              <w:jc w:val="left"/>
            </w:pPr>
            <w:r>
              <w:rPr>
                <w:rFonts w:ascii="Calibri" w:hAnsi="Calibri"/>
                <w:b/>
                <w:color w:val="FFFFFF"/>
                <w:sz w:val="19"/>
              </w:rPr>
              <w:t>Duration (s)</w:t>
            </w:r>
          </w:p>
        </w:tc>
        <w:tc>
          <w:tcPr>
            <w:tcW w:type="dxa" w:w="1728"/>
            <w:shd w:fill="0B3D91"/>
            <w:tcMar>
              <w:top w:w="120" w:type="dxa"/>
              <w:bottom w:w="120" w:type="dxa"/>
              <w:left w:w="120" w:type="dxa"/>
              <w:right w:w="120" w:type="dxa"/>
            </w:tcMar>
          </w:tcPr>
          <w:p>
            <w:pPr>
              <w:spacing w:before="0" w:after="0"/>
              <w:jc w:val="left"/>
            </w:pPr>
            <w:r>
              <w:rPr>
                <w:rFonts w:ascii="Calibri" w:hAnsi="Calibri"/>
                <w:b/>
                <w:color w:val="FFFFFF"/>
                <w:sz w:val="19"/>
              </w:rPr>
              <w:t>Throughput (rows/s)</w:t>
            </w:r>
          </w:p>
        </w:tc>
      </w:tr>
      <w:tr>
        <w:tc>
          <w:tcPr>
            <w:tcW w:type="dxa" w:w="3168"/>
            <w:shd w:fill="FFFFFF"/>
            <w:tcMar>
              <w:top w:w="90" w:type="dxa"/>
              <w:bottom w:w="90" w:type="dxa"/>
              <w:left w:w="120" w:type="dxa"/>
              <w:right w:w="120" w:type="dxa"/>
            </w:tcMar>
          </w:tcPr>
          <w:p>
            <w:pPr>
              <w:spacing w:before="0" w:after="0"/>
              <w:jc w:val="left"/>
            </w:pPr>
            <w:r>
              <w:rPr>
                <w:rFonts w:ascii="Calibri" w:hAnsi="Calibri"/>
                <w:b/>
                <w:color w:val="1E293B"/>
                <w:sz w:val="18"/>
              </w:rPr>
              <w:t>SparkSession Initialization</w:t>
            </w:r>
          </w:p>
        </w:tc>
        <w:tc>
          <w:tcPr>
            <w:tcW w:type="dxa" w:w="2592"/>
            <w:shd w:fill="FFFFFF"/>
            <w:tcMar>
              <w:top w:w="90" w:type="dxa"/>
              <w:bottom w:w="90" w:type="dxa"/>
              <w:left w:w="120" w:type="dxa"/>
              <w:right w:w="120" w:type="dxa"/>
            </w:tcMar>
          </w:tcPr>
          <w:p>
            <w:pPr>
              <w:spacing w:before="0" w:after="0"/>
              <w:jc w:val="left"/>
            </w:pPr>
            <w:r>
              <w:rPr>
                <w:rFonts w:ascii="Calibri" w:hAnsi="Calibri"/>
                <w:color w:val="1E293B"/>
                <w:sz w:val="18"/>
              </w:rPr>
              <w:t>PySpark 4.2 / Java 21 LTS</w:t>
            </w:r>
          </w:p>
        </w:tc>
        <w:tc>
          <w:tcPr>
            <w:tcW w:type="dxa" w:w="1584"/>
            <w:shd w:fill="FFFFFF"/>
            <w:tcMar>
              <w:top w:w="90" w:type="dxa"/>
              <w:bottom w:w="90" w:type="dxa"/>
              <w:left w:w="120" w:type="dxa"/>
              <w:right w:w="120" w:type="dxa"/>
            </w:tcMar>
          </w:tcPr>
          <w:p>
            <w:pPr>
              <w:spacing w:before="0" w:after="0"/>
              <w:jc w:val="right"/>
            </w:pPr>
            <w:r>
              <w:rPr>
                <w:rFonts w:ascii="Calibri" w:hAnsi="Calibri"/>
                <w:color w:val="1E293B"/>
                <w:sz w:val="18"/>
              </w:rPr>
              <w:t>—</w:t>
            </w:r>
          </w:p>
        </w:tc>
        <w:tc>
          <w:tcPr>
            <w:tcW w:type="dxa" w:w="1296"/>
            <w:shd w:fill="FFFFFF"/>
            <w:tcMar>
              <w:top w:w="90" w:type="dxa"/>
              <w:bottom w:w="90" w:type="dxa"/>
              <w:left w:w="120" w:type="dxa"/>
              <w:right w:w="120" w:type="dxa"/>
            </w:tcMar>
          </w:tcPr>
          <w:p>
            <w:pPr>
              <w:spacing w:before="0" w:after="0"/>
              <w:jc w:val="right"/>
            </w:pPr>
            <w:r>
              <w:rPr>
                <w:rFonts w:ascii="Calibri" w:hAnsi="Calibri"/>
                <w:color w:val="1E293B"/>
                <w:sz w:val="18"/>
              </w:rPr>
              <w:t>5.93 s</w:t>
            </w:r>
          </w:p>
        </w:tc>
        <w:tc>
          <w:tcPr>
            <w:tcW w:type="dxa" w:w="1728"/>
            <w:shd w:fill="FFFFFF"/>
            <w:tcMar>
              <w:top w:w="90" w:type="dxa"/>
              <w:bottom w:w="90" w:type="dxa"/>
              <w:left w:w="120" w:type="dxa"/>
              <w:right w:w="120" w:type="dxa"/>
            </w:tcMar>
          </w:tcPr>
          <w:p>
            <w:pPr>
              <w:spacing w:before="0" w:after="0"/>
              <w:jc w:val="right"/>
            </w:pPr>
            <w:r>
              <w:rPr>
                <w:rFonts w:ascii="Calibri" w:hAnsi="Calibri"/>
                <w:color w:val="1E293B"/>
                <w:sz w:val="18"/>
              </w:rPr>
              <w:t>—</w:t>
            </w:r>
          </w:p>
        </w:tc>
      </w:tr>
      <w:tr>
        <w:tc>
          <w:tcPr>
            <w:tcW w:type="dxa" w:w="3168"/>
            <w:shd w:fill="F8FAFC"/>
            <w:tcMar>
              <w:top w:w="90" w:type="dxa"/>
              <w:bottom w:w="90" w:type="dxa"/>
              <w:left w:w="120" w:type="dxa"/>
              <w:right w:w="120" w:type="dxa"/>
            </w:tcMar>
          </w:tcPr>
          <w:p>
            <w:pPr>
              <w:spacing w:before="0" w:after="0"/>
              <w:jc w:val="left"/>
            </w:pPr>
            <w:r>
              <w:rPr>
                <w:rFonts w:ascii="Calibri" w:hAnsi="Calibri"/>
                <w:b/>
                <w:color w:val="1E293B"/>
                <w:sz w:val="18"/>
              </w:rPr>
              <w:t>Dataset Ingestion &amp; Schema Audit</w:t>
            </w:r>
          </w:p>
        </w:tc>
        <w:tc>
          <w:tcPr>
            <w:tcW w:type="dxa" w:w="2592"/>
            <w:shd w:fill="F8FAFC"/>
            <w:tcMar>
              <w:top w:w="90" w:type="dxa"/>
              <w:bottom w:w="90" w:type="dxa"/>
              <w:left w:w="120" w:type="dxa"/>
              <w:right w:w="120" w:type="dxa"/>
            </w:tcMar>
          </w:tcPr>
          <w:p>
            <w:pPr>
              <w:spacing w:before="0" w:after="0"/>
              <w:jc w:val="left"/>
            </w:pPr>
            <w:r>
              <w:rPr>
                <w:rFonts w:ascii="Calibri" w:hAnsi="Calibri"/>
                <w:color w:val="1E293B"/>
                <w:sz w:val="18"/>
              </w:rPr>
              <w:t>PySpark CSV Distributed Reader</w:t>
            </w:r>
          </w:p>
        </w:tc>
        <w:tc>
          <w:tcPr>
            <w:tcW w:type="dxa" w:w="1584"/>
            <w:shd w:fill="F8FAFC"/>
            <w:tcMar>
              <w:top w:w="90" w:type="dxa"/>
              <w:bottom w:w="90" w:type="dxa"/>
              <w:left w:w="120" w:type="dxa"/>
              <w:right w:w="120" w:type="dxa"/>
            </w:tcMar>
          </w:tcPr>
          <w:p>
            <w:pPr>
              <w:spacing w:before="0" w:after="0"/>
              <w:jc w:val="right"/>
            </w:pPr>
            <w:r>
              <w:rPr>
                <w:rFonts w:ascii="Calibri" w:hAnsi="Calibri"/>
                <w:color w:val="1E293B"/>
                <w:sz w:val="18"/>
              </w:rPr>
              <w:t>9,511,402</w:t>
            </w:r>
          </w:p>
        </w:tc>
        <w:tc>
          <w:tcPr>
            <w:tcW w:type="dxa" w:w="1296"/>
            <w:shd w:fill="F8FAFC"/>
            <w:tcMar>
              <w:top w:w="90" w:type="dxa"/>
              <w:bottom w:w="90" w:type="dxa"/>
              <w:left w:w="120" w:type="dxa"/>
              <w:right w:w="120" w:type="dxa"/>
            </w:tcMar>
          </w:tcPr>
          <w:p>
            <w:pPr>
              <w:spacing w:before="0" w:after="0"/>
              <w:jc w:val="right"/>
            </w:pPr>
            <w:r>
              <w:rPr>
                <w:rFonts w:ascii="Calibri" w:hAnsi="Calibri"/>
                <w:color w:val="1E293B"/>
                <w:sz w:val="18"/>
              </w:rPr>
              <w:t>10.15 s</w:t>
            </w:r>
          </w:p>
        </w:tc>
        <w:tc>
          <w:tcPr>
            <w:tcW w:type="dxa" w:w="1728"/>
            <w:shd w:fill="F8FAFC"/>
            <w:tcMar>
              <w:top w:w="90" w:type="dxa"/>
              <w:bottom w:w="90" w:type="dxa"/>
              <w:left w:w="120" w:type="dxa"/>
              <w:right w:w="120" w:type="dxa"/>
            </w:tcMar>
          </w:tcPr>
          <w:p>
            <w:pPr>
              <w:spacing w:before="0" w:after="0"/>
              <w:jc w:val="right"/>
            </w:pPr>
            <w:r>
              <w:rPr>
                <w:rFonts w:ascii="Calibri" w:hAnsi="Calibri"/>
                <w:color w:val="1E293B"/>
                <w:sz w:val="18"/>
              </w:rPr>
              <w:t>937,083 rows/s</w:t>
            </w:r>
          </w:p>
        </w:tc>
      </w:tr>
      <w:tr>
        <w:tc>
          <w:tcPr>
            <w:tcW w:type="dxa" w:w="3168"/>
            <w:shd w:fill="FFFFFF"/>
            <w:tcMar>
              <w:top w:w="90" w:type="dxa"/>
              <w:bottom w:w="90" w:type="dxa"/>
              <w:left w:w="120" w:type="dxa"/>
              <w:right w:w="120" w:type="dxa"/>
            </w:tcMar>
          </w:tcPr>
          <w:p>
            <w:pPr>
              <w:spacing w:before="0" w:after="0"/>
              <w:jc w:val="left"/>
            </w:pPr>
            <w:r>
              <w:rPr>
                <w:rFonts w:ascii="Calibri" w:hAnsi="Calibri"/>
                <w:b/>
                <w:color w:val="1E293B"/>
                <w:sz w:val="18"/>
              </w:rPr>
              <w:t>Data Cleaning, Casting &amp; Caching</w:t>
            </w:r>
          </w:p>
        </w:tc>
        <w:tc>
          <w:tcPr>
            <w:tcW w:type="dxa" w:w="2592"/>
            <w:shd w:fill="FFFFFF"/>
            <w:tcMar>
              <w:top w:w="90" w:type="dxa"/>
              <w:bottom w:w="90" w:type="dxa"/>
              <w:left w:w="120" w:type="dxa"/>
              <w:right w:w="120" w:type="dxa"/>
            </w:tcMar>
          </w:tcPr>
          <w:p>
            <w:pPr>
              <w:spacing w:before="0" w:after="0"/>
              <w:jc w:val="left"/>
            </w:pPr>
            <w:r>
              <w:rPr>
                <w:rFonts w:ascii="Calibri" w:hAnsi="Calibri"/>
                <w:color w:val="1E293B"/>
                <w:sz w:val="18"/>
              </w:rPr>
              <w:t>PySpark DataFrame API</w:t>
            </w:r>
          </w:p>
        </w:tc>
        <w:tc>
          <w:tcPr>
            <w:tcW w:type="dxa" w:w="1584"/>
            <w:shd w:fill="FFFFFF"/>
            <w:tcMar>
              <w:top w:w="90" w:type="dxa"/>
              <w:bottom w:w="90" w:type="dxa"/>
              <w:left w:w="120" w:type="dxa"/>
              <w:right w:w="120" w:type="dxa"/>
            </w:tcMar>
          </w:tcPr>
          <w:p>
            <w:pPr>
              <w:spacing w:before="0" w:after="0"/>
              <w:jc w:val="right"/>
            </w:pPr>
            <w:r>
              <w:rPr>
                <w:rFonts w:ascii="Calibri" w:hAnsi="Calibri"/>
                <w:color w:val="1E293B"/>
                <w:sz w:val="18"/>
              </w:rPr>
              <w:t>9,511,402</w:t>
            </w:r>
          </w:p>
        </w:tc>
        <w:tc>
          <w:tcPr>
            <w:tcW w:type="dxa" w:w="1296"/>
            <w:shd w:fill="FFFFFF"/>
            <w:tcMar>
              <w:top w:w="90" w:type="dxa"/>
              <w:bottom w:w="90" w:type="dxa"/>
              <w:left w:w="120" w:type="dxa"/>
              <w:right w:w="120" w:type="dxa"/>
            </w:tcMar>
          </w:tcPr>
          <w:p>
            <w:pPr>
              <w:spacing w:before="0" w:after="0"/>
              <w:jc w:val="right"/>
            </w:pPr>
            <w:r>
              <w:rPr>
                <w:rFonts w:ascii="Calibri" w:hAnsi="Calibri"/>
                <w:color w:val="1E293B"/>
                <w:sz w:val="18"/>
              </w:rPr>
              <w:t>9.35 s</w:t>
            </w:r>
          </w:p>
        </w:tc>
        <w:tc>
          <w:tcPr>
            <w:tcW w:type="dxa" w:w="1728"/>
            <w:shd w:fill="FFFFFF"/>
            <w:tcMar>
              <w:top w:w="90" w:type="dxa"/>
              <w:bottom w:w="90" w:type="dxa"/>
              <w:left w:w="120" w:type="dxa"/>
              <w:right w:w="120" w:type="dxa"/>
            </w:tcMar>
          </w:tcPr>
          <w:p>
            <w:pPr>
              <w:spacing w:before="0" w:after="0"/>
              <w:jc w:val="right"/>
            </w:pPr>
            <w:r>
              <w:rPr>
                <w:rFonts w:ascii="Calibri" w:hAnsi="Calibri"/>
                <w:color w:val="1E293B"/>
                <w:sz w:val="18"/>
              </w:rPr>
              <w:t>1,017,262 rows/s</w:t>
            </w:r>
          </w:p>
        </w:tc>
      </w:tr>
      <w:tr>
        <w:tc>
          <w:tcPr>
            <w:tcW w:type="dxa" w:w="3168"/>
            <w:shd w:fill="F8FAFC"/>
            <w:tcMar>
              <w:top w:w="90" w:type="dxa"/>
              <w:bottom w:w="90" w:type="dxa"/>
              <w:left w:w="120" w:type="dxa"/>
              <w:right w:w="120" w:type="dxa"/>
            </w:tcMar>
          </w:tcPr>
          <w:p>
            <w:pPr>
              <w:spacing w:before="0" w:after="0"/>
              <w:jc w:val="left"/>
            </w:pPr>
            <w:r>
              <w:rPr>
                <w:rFonts w:ascii="Calibri" w:hAnsi="Calibri"/>
                <w:b/>
                <w:color w:val="1E293B"/>
                <w:sz w:val="18"/>
              </w:rPr>
              <w:t>Daily Aggregation &amp; 7-Day Window</w:t>
            </w:r>
          </w:p>
        </w:tc>
        <w:tc>
          <w:tcPr>
            <w:tcW w:type="dxa" w:w="2592"/>
            <w:shd w:fill="F8FAFC"/>
            <w:tcMar>
              <w:top w:w="90" w:type="dxa"/>
              <w:bottom w:w="90" w:type="dxa"/>
              <w:left w:w="120" w:type="dxa"/>
              <w:right w:w="120" w:type="dxa"/>
            </w:tcMar>
          </w:tcPr>
          <w:p>
            <w:pPr>
              <w:spacing w:before="0" w:after="0"/>
              <w:jc w:val="left"/>
            </w:pPr>
            <w:r>
              <w:rPr>
                <w:rFonts w:ascii="Calibri" w:hAnsi="Calibri"/>
                <w:color w:val="1E293B"/>
                <w:sz w:val="18"/>
              </w:rPr>
              <w:t>PySpark Window API</w:t>
            </w:r>
          </w:p>
        </w:tc>
        <w:tc>
          <w:tcPr>
            <w:tcW w:type="dxa" w:w="1584"/>
            <w:shd w:fill="F8FAFC"/>
            <w:tcMar>
              <w:top w:w="90" w:type="dxa"/>
              <w:bottom w:w="90" w:type="dxa"/>
              <w:left w:w="120" w:type="dxa"/>
              <w:right w:w="120" w:type="dxa"/>
            </w:tcMar>
          </w:tcPr>
          <w:p>
            <w:pPr>
              <w:spacing w:before="0" w:after="0"/>
              <w:jc w:val="right"/>
            </w:pPr>
            <w:r>
              <w:rPr>
                <w:rFonts w:ascii="Calibri" w:hAnsi="Calibri"/>
                <w:color w:val="1E293B"/>
                <w:sz w:val="18"/>
              </w:rPr>
              <w:t>9,511,402</w:t>
            </w:r>
          </w:p>
        </w:tc>
        <w:tc>
          <w:tcPr>
            <w:tcW w:type="dxa" w:w="1296"/>
            <w:shd w:fill="F8FAFC"/>
            <w:tcMar>
              <w:top w:w="90" w:type="dxa"/>
              <w:bottom w:w="90" w:type="dxa"/>
              <w:left w:w="120" w:type="dxa"/>
              <w:right w:w="120" w:type="dxa"/>
            </w:tcMar>
          </w:tcPr>
          <w:p>
            <w:pPr>
              <w:spacing w:before="0" w:after="0"/>
              <w:jc w:val="right"/>
            </w:pPr>
            <w:r>
              <w:rPr>
                <w:rFonts w:ascii="Calibri" w:hAnsi="Calibri"/>
                <w:color w:val="1E293B"/>
                <w:sz w:val="18"/>
              </w:rPr>
              <w:t>2.51 s</w:t>
            </w:r>
          </w:p>
        </w:tc>
        <w:tc>
          <w:tcPr>
            <w:tcW w:type="dxa" w:w="1728"/>
            <w:shd w:fill="F8FAFC"/>
            <w:tcMar>
              <w:top w:w="90" w:type="dxa"/>
              <w:bottom w:w="90" w:type="dxa"/>
              <w:left w:w="120" w:type="dxa"/>
              <w:right w:w="120" w:type="dxa"/>
            </w:tcMar>
          </w:tcPr>
          <w:p>
            <w:pPr>
              <w:spacing w:before="0" w:after="0"/>
              <w:jc w:val="right"/>
            </w:pPr>
            <w:r>
              <w:rPr>
                <w:rFonts w:ascii="Calibri" w:hAnsi="Calibri"/>
                <w:color w:val="1E293B"/>
                <w:sz w:val="18"/>
              </w:rPr>
              <w:t>3,789,403 rows/s</w:t>
            </w:r>
          </w:p>
        </w:tc>
      </w:tr>
      <w:tr>
        <w:tc>
          <w:tcPr>
            <w:tcW w:type="dxa" w:w="3168"/>
            <w:shd w:fill="FFFFFF"/>
            <w:tcMar>
              <w:top w:w="90" w:type="dxa"/>
              <w:bottom w:w="90" w:type="dxa"/>
              <w:left w:w="120" w:type="dxa"/>
              <w:right w:w="120" w:type="dxa"/>
            </w:tcMar>
          </w:tcPr>
          <w:p>
            <w:pPr>
              <w:spacing w:before="0" w:after="0"/>
              <w:jc w:val="left"/>
            </w:pPr>
            <w:r>
              <w:rPr>
                <w:rFonts w:ascii="Calibri" w:hAnsi="Calibri"/>
                <w:b/>
                <w:color w:val="1E293B"/>
                <w:sz w:val="18"/>
              </w:rPr>
              <w:t>Monthly Temporal Aggregation</w:t>
            </w:r>
          </w:p>
        </w:tc>
        <w:tc>
          <w:tcPr>
            <w:tcW w:type="dxa" w:w="2592"/>
            <w:shd w:fill="FFFFFF"/>
            <w:tcMar>
              <w:top w:w="90" w:type="dxa"/>
              <w:bottom w:w="90" w:type="dxa"/>
              <w:left w:w="120" w:type="dxa"/>
              <w:right w:w="120" w:type="dxa"/>
            </w:tcMar>
          </w:tcPr>
          <w:p>
            <w:pPr>
              <w:spacing w:before="0" w:after="0"/>
              <w:jc w:val="left"/>
            </w:pPr>
            <w:r>
              <w:rPr>
                <w:rFonts w:ascii="Calibri" w:hAnsi="Calibri"/>
                <w:color w:val="1E293B"/>
                <w:sz w:val="18"/>
              </w:rPr>
              <w:t>Spark SQL GroupBy</w:t>
            </w:r>
          </w:p>
        </w:tc>
        <w:tc>
          <w:tcPr>
            <w:tcW w:type="dxa" w:w="1584"/>
            <w:shd w:fill="FFFFFF"/>
            <w:tcMar>
              <w:top w:w="90" w:type="dxa"/>
              <w:bottom w:w="90" w:type="dxa"/>
              <w:left w:w="120" w:type="dxa"/>
              <w:right w:w="120" w:type="dxa"/>
            </w:tcMar>
          </w:tcPr>
          <w:p>
            <w:pPr>
              <w:spacing w:before="0" w:after="0"/>
              <w:jc w:val="right"/>
            </w:pPr>
            <w:r>
              <w:rPr>
                <w:rFonts w:ascii="Calibri" w:hAnsi="Calibri"/>
                <w:color w:val="1E293B"/>
                <w:sz w:val="18"/>
              </w:rPr>
              <w:t>9,511,402</w:t>
            </w:r>
          </w:p>
        </w:tc>
        <w:tc>
          <w:tcPr>
            <w:tcW w:type="dxa" w:w="1296"/>
            <w:shd w:fill="FFFFFF"/>
            <w:tcMar>
              <w:top w:w="90" w:type="dxa"/>
              <w:bottom w:w="90" w:type="dxa"/>
              <w:left w:w="120" w:type="dxa"/>
              <w:right w:w="120" w:type="dxa"/>
            </w:tcMar>
          </w:tcPr>
          <w:p>
            <w:pPr>
              <w:spacing w:before="0" w:after="0"/>
              <w:jc w:val="right"/>
            </w:pPr>
            <w:r>
              <w:rPr>
                <w:rFonts w:ascii="Calibri" w:hAnsi="Calibri"/>
                <w:color w:val="1E293B"/>
                <w:sz w:val="18"/>
              </w:rPr>
              <w:t>1.52 s</w:t>
            </w:r>
          </w:p>
        </w:tc>
        <w:tc>
          <w:tcPr>
            <w:tcW w:type="dxa" w:w="1728"/>
            <w:shd w:fill="FFFFFF"/>
            <w:tcMar>
              <w:top w:w="90" w:type="dxa"/>
              <w:bottom w:w="90" w:type="dxa"/>
              <w:left w:w="120" w:type="dxa"/>
              <w:right w:w="120" w:type="dxa"/>
            </w:tcMar>
          </w:tcPr>
          <w:p>
            <w:pPr>
              <w:spacing w:before="0" w:after="0"/>
              <w:jc w:val="right"/>
            </w:pPr>
            <w:r>
              <w:rPr>
                <w:rFonts w:ascii="Calibri" w:hAnsi="Calibri"/>
                <w:color w:val="1E293B"/>
                <w:sz w:val="18"/>
              </w:rPr>
              <w:t>6,257,501 rows/s</w:t>
            </w:r>
          </w:p>
        </w:tc>
      </w:tr>
      <w:tr>
        <w:tc>
          <w:tcPr>
            <w:tcW w:type="dxa" w:w="3168"/>
            <w:shd w:fill="F8FAFC"/>
            <w:tcMar>
              <w:top w:w="90" w:type="dxa"/>
              <w:bottom w:w="90" w:type="dxa"/>
              <w:left w:w="120" w:type="dxa"/>
              <w:right w:w="120" w:type="dxa"/>
            </w:tcMar>
          </w:tcPr>
          <w:p>
            <w:pPr>
              <w:spacing w:before="0" w:after="0"/>
              <w:jc w:val="left"/>
            </w:pPr>
            <w:r>
              <w:rPr>
                <w:rFonts w:ascii="Calibri" w:hAnsi="Calibri"/>
                <w:b/>
                <w:color w:val="1E293B"/>
                <w:sz w:val="18"/>
              </w:rPr>
              <w:t>Hourly UTC Diurnal Cycle (0-23)</w:t>
            </w:r>
          </w:p>
        </w:tc>
        <w:tc>
          <w:tcPr>
            <w:tcW w:type="dxa" w:w="2592"/>
            <w:shd w:fill="F8FAFC"/>
            <w:tcMar>
              <w:top w:w="90" w:type="dxa"/>
              <w:bottom w:w="90" w:type="dxa"/>
              <w:left w:w="120" w:type="dxa"/>
              <w:right w:w="120" w:type="dxa"/>
            </w:tcMar>
          </w:tcPr>
          <w:p>
            <w:pPr>
              <w:spacing w:before="0" w:after="0"/>
              <w:jc w:val="left"/>
            </w:pPr>
            <w:r>
              <w:rPr>
                <w:rFonts w:ascii="Calibri" w:hAnsi="Calibri"/>
                <w:color w:val="1E293B"/>
                <w:sz w:val="18"/>
              </w:rPr>
              <w:t>Spark SQL GroupBy</w:t>
            </w:r>
          </w:p>
        </w:tc>
        <w:tc>
          <w:tcPr>
            <w:tcW w:type="dxa" w:w="1584"/>
            <w:shd w:fill="F8FAFC"/>
            <w:tcMar>
              <w:top w:w="90" w:type="dxa"/>
              <w:bottom w:w="90" w:type="dxa"/>
              <w:left w:w="120" w:type="dxa"/>
              <w:right w:w="120" w:type="dxa"/>
            </w:tcMar>
          </w:tcPr>
          <w:p>
            <w:pPr>
              <w:spacing w:before="0" w:after="0"/>
              <w:jc w:val="right"/>
            </w:pPr>
            <w:r>
              <w:rPr>
                <w:rFonts w:ascii="Calibri" w:hAnsi="Calibri"/>
                <w:color w:val="1E293B"/>
                <w:sz w:val="18"/>
              </w:rPr>
              <w:t>9,511,402</w:t>
            </w:r>
          </w:p>
        </w:tc>
        <w:tc>
          <w:tcPr>
            <w:tcW w:type="dxa" w:w="1296"/>
            <w:shd w:fill="F8FAFC"/>
            <w:tcMar>
              <w:top w:w="90" w:type="dxa"/>
              <w:bottom w:w="90" w:type="dxa"/>
              <w:left w:w="120" w:type="dxa"/>
              <w:right w:w="120" w:type="dxa"/>
            </w:tcMar>
          </w:tcPr>
          <w:p>
            <w:pPr>
              <w:spacing w:before="0" w:after="0"/>
              <w:jc w:val="right"/>
            </w:pPr>
            <w:r>
              <w:rPr>
                <w:rFonts w:ascii="Calibri" w:hAnsi="Calibri"/>
                <w:color w:val="1E293B"/>
                <w:sz w:val="18"/>
              </w:rPr>
              <w:t>0.99 s</w:t>
            </w:r>
          </w:p>
        </w:tc>
        <w:tc>
          <w:tcPr>
            <w:tcW w:type="dxa" w:w="1728"/>
            <w:shd w:fill="F8FAFC"/>
            <w:tcMar>
              <w:top w:w="90" w:type="dxa"/>
              <w:bottom w:w="90" w:type="dxa"/>
              <w:left w:w="120" w:type="dxa"/>
              <w:right w:w="120" w:type="dxa"/>
            </w:tcMar>
          </w:tcPr>
          <w:p>
            <w:pPr>
              <w:spacing w:before="0" w:after="0"/>
              <w:jc w:val="right"/>
            </w:pPr>
            <w:r>
              <w:rPr>
                <w:rFonts w:ascii="Calibri" w:hAnsi="Calibri"/>
                <w:color w:val="1E293B"/>
                <w:sz w:val="18"/>
              </w:rPr>
              <w:t>9,607,476 rows/s</w:t>
            </w:r>
          </w:p>
        </w:tc>
      </w:tr>
      <w:tr>
        <w:tc>
          <w:tcPr>
            <w:tcW w:type="dxa" w:w="3168"/>
            <w:shd w:fill="FFFFFF"/>
            <w:tcMar>
              <w:top w:w="90" w:type="dxa"/>
              <w:bottom w:w="90" w:type="dxa"/>
              <w:left w:w="120" w:type="dxa"/>
              <w:right w:w="120" w:type="dxa"/>
            </w:tcMar>
          </w:tcPr>
          <w:p>
            <w:pPr>
              <w:spacing w:before="0" w:after="0"/>
              <w:jc w:val="left"/>
            </w:pPr>
            <w:r>
              <w:rPr>
                <w:rFonts w:ascii="Calibri" w:hAnsi="Calibri"/>
                <w:b/>
                <w:color w:val="1E293B"/>
                <w:sz w:val="18"/>
              </w:rPr>
              <w:t>Day/Night Temporal Aggregation</w:t>
            </w:r>
          </w:p>
        </w:tc>
        <w:tc>
          <w:tcPr>
            <w:tcW w:type="dxa" w:w="2592"/>
            <w:shd w:fill="FFFFFF"/>
            <w:tcMar>
              <w:top w:w="90" w:type="dxa"/>
              <w:bottom w:w="90" w:type="dxa"/>
              <w:left w:w="120" w:type="dxa"/>
              <w:right w:w="120" w:type="dxa"/>
            </w:tcMar>
          </w:tcPr>
          <w:p>
            <w:pPr>
              <w:spacing w:before="0" w:after="0"/>
              <w:jc w:val="left"/>
            </w:pPr>
            <w:r>
              <w:rPr>
                <w:rFonts w:ascii="Calibri" w:hAnsi="Calibri"/>
                <w:color w:val="1E293B"/>
                <w:sz w:val="18"/>
              </w:rPr>
              <w:t>Spark SQL GroupBy</w:t>
            </w:r>
          </w:p>
        </w:tc>
        <w:tc>
          <w:tcPr>
            <w:tcW w:type="dxa" w:w="1584"/>
            <w:shd w:fill="FFFFFF"/>
            <w:tcMar>
              <w:top w:w="90" w:type="dxa"/>
              <w:bottom w:w="90" w:type="dxa"/>
              <w:left w:w="120" w:type="dxa"/>
              <w:right w:w="120" w:type="dxa"/>
            </w:tcMar>
          </w:tcPr>
          <w:p>
            <w:pPr>
              <w:spacing w:before="0" w:after="0"/>
              <w:jc w:val="right"/>
            </w:pPr>
            <w:r>
              <w:rPr>
                <w:rFonts w:ascii="Calibri" w:hAnsi="Calibri"/>
                <w:color w:val="1E293B"/>
                <w:sz w:val="18"/>
              </w:rPr>
              <w:t>9,511,402</w:t>
            </w:r>
          </w:p>
        </w:tc>
        <w:tc>
          <w:tcPr>
            <w:tcW w:type="dxa" w:w="1296"/>
            <w:shd w:fill="FFFFFF"/>
            <w:tcMar>
              <w:top w:w="90" w:type="dxa"/>
              <w:bottom w:w="90" w:type="dxa"/>
              <w:left w:w="120" w:type="dxa"/>
              <w:right w:w="120" w:type="dxa"/>
            </w:tcMar>
          </w:tcPr>
          <w:p>
            <w:pPr>
              <w:spacing w:before="0" w:after="0"/>
              <w:jc w:val="right"/>
            </w:pPr>
            <w:r>
              <w:rPr>
                <w:rFonts w:ascii="Calibri" w:hAnsi="Calibri"/>
                <w:color w:val="1E293B"/>
                <w:sz w:val="18"/>
              </w:rPr>
              <w:t>1.24 s</w:t>
            </w:r>
          </w:p>
        </w:tc>
        <w:tc>
          <w:tcPr>
            <w:tcW w:type="dxa" w:w="1728"/>
            <w:shd w:fill="FFFFFF"/>
            <w:tcMar>
              <w:top w:w="90" w:type="dxa"/>
              <w:bottom w:w="90" w:type="dxa"/>
              <w:left w:w="120" w:type="dxa"/>
              <w:right w:w="120" w:type="dxa"/>
            </w:tcMar>
          </w:tcPr>
          <w:p>
            <w:pPr>
              <w:spacing w:before="0" w:after="0"/>
              <w:jc w:val="right"/>
            </w:pPr>
            <w:r>
              <w:rPr>
                <w:rFonts w:ascii="Calibri" w:hAnsi="Calibri"/>
                <w:color w:val="1E293B"/>
                <w:sz w:val="18"/>
              </w:rPr>
              <w:t>7,670,485 rows/s</w:t>
            </w:r>
          </w:p>
        </w:tc>
      </w:tr>
      <w:tr>
        <w:tc>
          <w:tcPr>
            <w:tcW w:type="dxa" w:w="3168"/>
            <w:shd w:fill="F8FAFC"/>
            <w:tcMar>
              <w:top w:w="90" w:type="dxa"/>
              <w:bottom w:w="90" w:type="dxa"/>
              <w:left w:w="120" w:type="dxa"/>
              <w:right w:w="120" w:type="dxa"/>
            </w:tcMar>
          </w:tcPr>
          <w:p>
            <w:pPr>
              <w:spacing w:before="0" w:after="0"/>
              <w:jc w:val="left"/>
            </w:pPr>
            <w:r>
              <w:rPr>
                <w:rFonts w:ascii="Calibri" w:hAnsi="Calibri"/>
                <w:b/>
                <w:color w:val="1E293B"/>
                <w:sz w:val="18"/>
              </w:rPr>
              <w:t>TOTAL PYSPARK DISTRIBUTED PIPELINE</w:t>
            </w:r>
          </w:p>
        </w:tc>
        <w:tc>
          <w:tcPr>
            <w:tcW w:type="dxa" w:w="2592"/>
            <w:shd w:fill="F8FAFC"/>
            <w:tcMar>
              <w:top w:w="90" w:type="dxa"/>
              <w:bottom w:w="90" w:type="dxa"/>
              <w:left w:w="120" w:type="dxa"/>
              <w:right w:w="120" w:type="dxa"/>
            </w:tcMar>
          </w:tcPr>
          <w:p>
            <w:pPr>
              <w:spacing w:before="0" w:after="0"/>
              <w:jc w:val="left"/>
            </w:pPr>
            <w:r>
              <w:rPr>
                <w:rFonts w:ascii="Calibri" w:hAnsi="Calibri"/>
                <w:color w:val="1E293B"/>
                <w:sz w:val="18"/>
              </w:rPr>
              <w:t>Apache PySpark Distributed</w:t>
            </w:r>
          </w:p>
        </w:tc>
        <w:tc>
          <w:tcPr>
            <w:tcW w:type="dxa" w:w="1584"/>
            <w:shd w:fill="F8FAFC"/>
            <w:tcMar>
              <w:top w:w="90" w:type="dxa"/>
              <w:bottom w:w="90" w:type="dxa"/>
              <w:left w:w="120" w:type="dxa"/>
              <w:right w:w="120" w:type="dxa"/>
            </w:tcMar>
          </w:tcPr>
          <w:p>
            <w:pPr>
              <w:spacing w:before="0" w:after="0"/>
              <w:jc w:val="right"/>
            </w:pPr>
            <w:r>
              <w:rPr>
                <w:rFonts w:ascii="Calibri" w:hAnsi="Calibri"/>
                <w:color w:val="1E293B"/>
                <w:sz w:val="18"/>
              </w:rPr>
              <w:t>9,511,402</w:t>
            </w:r>
          </w:p>
        </w:tc>
        <w:tc>
          <w:tcPr>
            <w:tcW w:type="dxa" w:w="1296"/>
            <w:shd w:fill="F8FAFC"/>
            <w:tcMar>
              <w:top w:w="90" w:type="dxa"/>
              <w:bottom w:w="90" w:type="dxa"/>
              <w:left w:w="120" w:type="dxa"/>
              <w:right w:w="120" w:type="dxa"/>
            </w:tcMar>
          </w:tcPr>
          <w:p>
            <w:pPr>
              <w:spacing w:before="0" w:after="0"/>
              <w:jc w:val="right"/>
            </w:pPr>
            <w:r>
              <w:rPr>
                <w:rFonts w:ascii="Calibri" w:hAnsi="Calibri"/>
                <w:color w:val="1E293B"/>
                <w:sz w:val="18"/>
              </w:rPr>
              <w:t>31.75 s</w:t>
            </w:r>
          </w:p>
        </w:tc>
        <w:tc>
          <w:tcPr>
            <w:tcW w:type="dxa" w:w="1728"/>
            <w:shd w:fill="F8FAFC"/>
            <w:tcMar>
              <w:top w:w="90" w:type="dxa"/>
              <w:bottom w:w="90" w:type="dxa"/>
              <w:left w:w="120" w:type="dxa"/>
              <w:right w:w="120" w:type="dxa"/>
            </w:tcMar>
          </w:tcPr>
          <w:p>
            <w:pPr>
              <w:spacing w:before="0" w:after="0"/>
              <w:jc w:val="right"/>
            </w:pPr>
            <w:r>
              <w:rPr>
                <w:rFonts w:ascii="Calibri" w:hAnsi="Calibri"/>
                <w:color w:val="1E293B"/>
                <w:sz w:val="18"/>
              </w:rPr>
              <w:t>299,571 rows/s</w:t>
            </w:r>
          </w:p>
        </w:tc>
      </w:tr>
      <w:tr>
        <w:tc>
          <w:tcPr>
            <w:tcW w:type="dxa" w:w="3168"/>
            <w:shd w:fill="FFFFFF"/>
            <w:tcMar>
              <w:top w:w="90" w:type="dxa"/>
              <w:bottom w:w="90" w:type="dxa"/>
              <w:left w:w="120" w:type="dxa"/>
              <w:right w:w="120" w:type="dxa"/>
            </w:tcMar>
          </w:tcPr>
          <w:p>
            <w:pPr>
              <w:spacing w:before="0" w:after="0"/>
              <w:jc w:val="left"/>
            </w:pPr>
            <w:r>
              <w:rPr>
                <w:rFonts w:ascii="Calibri" w:hAnsi="Calibri"/>
                <w:b/>
                <w:color w:val="1E293B"/>
                <w:sz w:val="18"/>
              </w:rPr>
              <w:t>High-Perf Vectorized Fallback Engine</w:t>
            </w:r>
          </w:p>
        </w:tc>
        <w:tc>
          <w:tcPr>
            <w:tcW w:type="dxa" w:w="2592"/>
            <w:shd w:fill="FFFFFF"/>
            <w:tcMar>
              <w:top w:w="90" w:type="dxa"/>
              <w:bottom w:w="90" w:type="dxa"/>
              <w:left w:w="120" w:type="dxa"/>
              <w:right w:w="120" w:type="dxa"/>
            </w:tcMar>
          </w:tcPr>
          <w:p>
            <w:pPr>
              <w:spacing w:before="0" w:after="0"/>
              <w:jc w:val="left"/>
            </w:pPr>
            <w:r>
              <w:rPr>
                <w:rFonts w:ascii="Calibri" w:hAnsi="Calibri"/>
                <w:color w:val="1E293B"/>
                <w:sz w:val="18"/>
              </w:rPr>
              <w:t>Vectorized PyArrow / Polars</w:t>
            </w:r>
          </w:p>
        </w:tc>
        <w:tc>
          <w:tcPr>
            <w:tcW w:type="dxa" w:w="1584"/>
            <w:shd w:fill="FFFFFF"/>
            <w:tcMar>
              <w:top w:w="90" w:type="dxa"/>
              <w:bottom w:w="90" w:type="dxa"/>
              <w:left w:w="120" w:type="dxa"/>
              <w:right w:w="120" w:type="dxa"/>
            </w:tcMar>
          </w:tcPr>
          <w:p>
            <w:pPr>
              <w:spacing w:before="0" w:after="0"/>
              <w:jc w:val="right"/>
            </w:pPr>
            <w:r>
              <w:rPr>
                <w:rFonts w:ascii="Calibri" w:hAnsi="Calibri"/>
                <w:color w:val="1E293B"/>
                <w:sz w:val="18"/>
              </w:rPr>
              <w:t>9,511,402</w:t>
            </w:r>
          </w:p>
        </w:tc>
        <w:tc>
          <w:tcPr>
            <w:tcW w:type="dxa" w:w="1296"/>
            <w:shd w:fill="FFFFFF"/>
            <w:tcMar>
              <w:top w:w="90" w:type="dxa"/>
              <w:bottom w:w="90" w:type="dxa"/>
              <w:left w:w="120" w:type="dxa"/>
              <w:right w:w="120" w:type="dxa"/>
            </w:tcMar>
          </w:tcPr>
          <w:p>
            <w:pPr>
              <w:spacing w:before="0" w:after="0"/>
              <w:jc w:val="right"/>
            </w:pPr>
            <w:r>
              <w:rPr>
                <w:rFonts w:ascii="Calibri" w:hAnsi="Calibri"/>
                <w:color w:val="1E293B"/>
                <w:sz w:val="18"/>
              </w:rPr>
              <w:t>15.69 s</w:t>
            </w:r>
          </w:p>
        </w:tc>
        <w:tc>
          <w:tcPr>
            <w:tcW w:type="dxa" w:w="1728"/>
            <w:shd w:fill="FFFFFF"/>
            <w:tcMar>
              <w:top w:w="90" w:type="dxa"/>
              <w:bottom w:w="90" w:type="dxa"/>
              <w:left w:w="120" w:type="dxa"/>
              <w:right w:w="120" w:type="dxa"/>
            </w:tcMar>
          </w:tcPr>
          <w:p>
            <w:pPr>
              <w:spacing w:before="0" w:after="0"/>
              <w:jc w:val="right"/>
            </w:pPr>
            <w:r>
              <w:rPr>
                <w:rFonts w:ascii="Calibri" w:hAnsi="Calibri"/>
                <w:color w:val="1E293B"/>
                <w:sz w:val="18"/>
              </w:rPr>
              <w:t>606,207 rows/s</w:t>
            </w:r>
          </w:p>
        </w:tc>
      </w:tr>
      <w:tr>
        <w:tc>
          <w:tcPr>
            <w:tcW w:type="dxa" w:w="3168"/>
            <w:shd w:fill="F8FAFC"/>
            <w:tcMar>
              <w:top w:w="90" w:type="dxa"/>
              <w:bottom w:w="90" w:type="dxa"/>
              <w:left w:w="120" w:type="dxa"/>
              <w:right w:w="120" w:type="dxa"/>
            </w:tcMar>
          </w:tcPr>
          <w:p>
            <w:pPr>
              <w:spacing w:before="0" w:after="0"/>
              <w:jc w:val="left"/>
            </w:pPr>
            <w:r>
              <w:rPr>
                <w:rFonts w:ascii="Calibri" w:hAnsi="Calibri"/>
                <w:b/>
                <w:color w:val="1E293B"/>
                <w:sz w:val="18"/>
              </w:rPr>
              <w:t>ML Model Training &amp; Temporal Holdout</w:t>
            </w:r>
          </w:p>
        </w:tc>
        <w:tc>
          <w:tcPr>
            <w:tcW w:type="dxa" w:w="2592"/>
            <w:shd w:fill="F8FAFC"/>
            <w:tcMar>
              <w:top w:w="90" w:type="dxa"/>
              <w:bottom w:w="90" w:type="dxa"/>
              <w:left w:w="120" w:type="dxa"/>
              <w:right w:w="120" w:type="dxa"/>
            </w:tcMar>
          </w:tcPr>
          <w:p>
            <w:pPr>
              <w:spacing w:before="0" w:after="0"/>
              <w:jc w:val="left"/>
            </w:pPr>
            <w:r>
              <w:rPr>
                <w:rFonts w:ascii="Calibri" w:hAnsi="Calibri"/>
                <w:color w:val="1E293B"/>
                <w:sz w:val="18"/>
              </w:rPr>
              <w:t>Scikit-Learn Multi-Threaded</w:t>
            </w:r>
          </w:p>
        </w:tc>
        <w:tc>
          <w:tcPr>
            <w:tcW w:type="dxa" w:w="1584"/>
            <w:shd w:fill="F8FAFC"/>
            <w:tcMar>
              <w:top w:w="90" w:type="dxa"/>
              <w:bottom w:w="90" w:type="dxa"/>
              <w:left w:w="120" w:type="dxa"/>
              <w:right w:w="120" w:type="dxa"/>
            </w:tcMar>
          </w:tcPr>
          <w:p>
            <w:pPr>
              <w:spacing w:before="0" w:after="0"/>
              <w:jc w:val="right"/>
            </w:pPr>
            <w:r>
              <w:rPr>
                <w:rFonts w:ascii="Calibri" w:hAnsi="Calibri"/>
                <w:color w:val="1E293B"/>
                <w:sz w:val="18"/>
              </w:rPr>
              <w:t>200,000</w:t>
            </w:r>
          </w:p>
        </w:tc>
        <w:tc>
          <w:tcPr>
            <w:tcW w:type="dxa" w:w="1296"/>
            <w:shd w:fill="F8FAFC"/>
            <w:tcMar>
              <w:top w:w="90" w:type="dxa"/>
              <w:bottom w:w="90" w:type="dxa"/>
              <w:left w:w="120" w:type="dxa"/>
              <w:right w:w="120" w:type="dxa"/>
            </w:tcMar>
          </w:tcPr>
          <w:p>
            <w:pPr>
              <w:spacing w:before="0" w:after="0"/>
              <w:jc w:val="right"/>
            </w:pPr>
            <w:r>
              <w:rPr>
                <w:rFonts w:ascii="Calibri" w:hAnsi="Calibri"/>
                <w:color w:val="1E293B"/>
                <w:sz w:val="18"/>
              </w:rPr>
              <w:t>10.39 s</w:t>
            </w:r>
          </w:p>
        </w:tc>
        <w:tc>
          <w:tcPr>
            <w:tcW w:type="dxa" w:w="1728"/>
            <w:shd w:fill="F8FAFC"/>
            <w:tcMar>
              <w:top w:w="90" w:type="dxa"/>
              <w:bottom w:w="90" w:type="dxa"/>
              <w:left w:w="120" w:type="dxa"/>
              <w:right w:w="120" w:type="dxa"/>
            </w:tcMar>
          </w:tcPr>
          <w:p>
            <w:pPr>
              <w:spacing w:before="0" w:after="0"/>
              <w:jc w:val="right"/>
            </w:pPr>
            <w:r>
              <w:rPr>
                <w:rFonts w:ascii="Calibri" w:hAnsi="Calibri"/>
                <w:color w:val="1E293B"/>
                <w:sz w:val="18"/>
              </w:rPr>
              <w:t>19,250 samples/s</w:t>
            </w:r>
          </w:p>
        </w:tc>
      </w:tr>
      <w:tr>
        <w:tc>
          <w:tcPr>
            <w:tcW w:type="dxa" w:w="3168"/>
            <w:shd w:fill="FFFFFF"/>
            <w:tcMar>
              <w:top w:w="90" w:type="dxa"/>
              <w:bottom w:w="90" w:type="dxa"/>
              <w:left w:w="120" w:type="dxa"/>
              <w:right w:w="120" w:type="dxa"/>
            </w:tcMar>
          </w:tcPr>
          <w:p>
            <w:pPr>
              <w:spacing w:before="0" w:after="0"/>
              <w:jc w:val="left"/>
            </w:pPr>
            <w:r>
              <w:rPr>
                <w:rFonts w:ascii="Calibri" w:hAnsi="Calibri"/>
                <w:b/>
                <w:color w:val="1E293B"/>
                <w:sz w:val="18"/>
              </w:rPr>
              <w:t>NoSQL Storage Persistence</w:t>
            </w:r>
          </w:p>
        </w:tc>
        <w:tc>
          <w:tcPr>
            <w:tcW w:type="dxa" w:w="2592"/>
            <w:shd w:fill="FFFFFF"/>
            <w:tcMar>
              <w:top w:w="90" w:type="dxa"/>
              <w:bottom w:w="90" w:type="dxa"/>
              <w:left w:w="120" w:type="dxa"/>
              <w:right w:w="120" w:type="dxa"/>
            </w:tcMar>
          </w:tcPr>
          <w:p>
            <w:pPr>
              <w:spacing w:before="0" w:after="0"/>
              <w:jc w:val="left"/>
            </w:pPr>
            <w:r>
              <w:rPr>
                <w:rFonts w:ascii="Calibri" w:hAnsi="Calibri"/>
                <w:color w:val="1E293B"/>
                <w:sz w:val="18"/>
              </w:rPr>
              <w:t>SQLite Document Store</w:t>
            </w:r>
          </w:p>
        </w:tc>
        <w:tc>
          <w:tcPr>
            <w:tcW w:type="dxa" w:w="1584"/>
            <w:shd w:fill="FFFFFF"/>
            <w:tcMar>
              <w:top w:w="90" w:type="dxa"/>
              <w:bottom w:w="90" w:type="dxa"/>
              <w:left w:w="120" w:type="dxa"/>
              <w:right w:w="120" w:type="dxa"/>
            </w:tcMar>
          </w:tcPr>
          <w:p>
            <w:pPr>
              <w:spacing w:before="0" w:after="0"/>
              <w:jc w:val="right"/>
            </w:pPr>
            <w:r>
              <w:rPr>
                <w:rFonts w:ascii="Calibri" w:hAnsi="Calibri"/>
                <w:color w:val="1E293B"/>
                <w:sz w:val="18"/>
              </w:rPr>
              <w:t>5,000 + 38</w:t>
            </w:r>
          </w:p>
        </w:tc>
        <w:tc>
          <w:tcPr>
            <w:tcW w:type="dxa" w:w="1296"/>
            <w:shd w:fill="FFFFFF"/>
            <w:tcMar>
              <w:top w:w="90" w:type="dxa"/>
              <w:bottom w:w="90" w:type="dxa"/>
              <w:left w:w="120" w:type="dxa"/>
              <w:right w:w="120" w:type="dxa"/>
            </w:tcMar>
          </w:tcPr>
          <w:p>
            <w:pPr>
              <w:spacing w:before="0" w:after="0"/>
              <w:jc w:val="right"/>
            </w:pPr>
            <w:r>
              <w:rPr>
                <w:rFonts w:ascii="Calibri" w:hAnsi="Calibri"/>
                <w:color w:val="1E293B"/>
                <w:sz w:val="18"/>
              </w:rPr>
              <w:t>0.12 s</w:t>
            </w:r>
          </w:p>
        </w:tc>
        <w:tc>
          <w:tcPr>
            <w:tcW w:type="dxa" w:w="1728"/>
            <w:shd w:fill="FFFFFF"/>
            <w:tcMar>
              <w:top w:w="90" w:type="dxa"/>
              <w:bottom w:w="90" w:type="dxa"/>
              <w:left w:w="120" w:type="dxa"/>
              <w:right w:w="120" w:type="dxa"/>
            </w:tcMar>
          </w:tcPr>
          <w:p>
            <w:pPr>
              <w:spacing w:before="0" w:after="0"/>
              <w:jc w:val="right"/>
            </w:pPr>
            <w:r>
              <w:rPr>
                <w:rFonts w:ascii="Calibri" w:hAnsi="Calibri"/>
                <w:color w:val="1E293B"/>
                <w:sz w:val="18"/>
              </w:rPr>
              <w:t>42,000 docs/s</w:t>
            </w:r>
          </w:p>
        </w:tc>
      </w:tr>
    </w:tbl>
    <w:p>
      <w:pPr>
        <w:spacing w:after="120"/>
      </w:pPr>
    </w:p>
    <w:p>
      <w:pPr>
        <w:spacing w:before="160" w:after="60"/>
        <w:jc w:val="center"/>
      </w:pPr>
      <w:r>
        <w:drawing>
          <wp:inline xmlns:a="http://schemas.openxmlformats.org/drawingml/2006/main" xmlns:pic="http://schemas.openxmlformats.org/drawingml/2006/picture">
            <wp:extent cx="5669280" cy="1400008"/>
            <wp:docPr id="2" name="Picture 2"/>
            <wp:cNvGraphicFramePr>
              <a:graphicFrameLocks noChangeAspect="1"/>
            </wp:cNvGraphicFramePr>
            <a:graphic>
              <a:graphicData uri="http://schemas.openxmlformats.org/drawingml/2006/picture">
                <pic:pic>
                  <pic:nvPicPr>
                    <pic:cNvPr id="0" name="fig2_runtime_benchmark.png"/>
                    <pic:cNvPicPr/>
                  </pic:nvPicPr>
                  <pic:blipFill>
                    <a:blip r:embed="rId10"/>
                    <a:stretch>
                      <a:fillRect/>
                    </a:stretch>
                  </pic:blipFill>
                  <pic:spPr>
                    <a:xfrm>
                      <a:off x="0" y="0"/>
                      <a:ext cx="5669280" cy="1400008"/>
                    </a:xfrm>
                    <a:prstGeom prst="rect"/>
                  </pic:spPr>
                </pic:pic>
              </a:graphicData>
            </a:graphic>
          </wp:inline>
        </w:drawing>
      </w:r>
    </w:p>
    <w:p>
      <w:pPr>
        <w:spacing w:before="0" w:after="160"/>
        <w:jc w:val="center"/>
      </w:pPr>
      <w:r>
        <w:rPr>
          <w:rFonts w:ascii="Calibri" w:hAnsi="Calibri"/>
          <w:i/>
          <w:color w:val="64748B"/>
          <w:sz w:val="19"/>
        </w:rPr>
        <w:t>Figure 2: Empirical PySpark Distributed Execution Runtime Table and Verification Logs (Recorded live on multi-core workstation)</w:t>
      </w:r>
    </w:p>
    <w:p>
      <w:pPr>
        <w:spacing w:before="160" w:after="60"/>
        <w:jc w:val="center"/>
      </w:pPr>
      <w:r>
        <w:drawing>
          <wp:inline xmlns:a="http://schemas.openxmlformats.org/drawingml/2006/main" xmlns:pic="http://schemas.openxmlformats.org/drawingml/2006/picture">
            <wp:extent cx="5669280" cy="1109014"/>
            <wp:docPr id="3" name="Picture 3"/>
            <wp:cNvGraphicFramePr>
              <a:graphicFrameLocks noChangeAspect="1"/>
            </wp:cNvGraphicFramePr>
            <a:graphic>
              <a:graphicData uri="http://schemas.openxmlformats.org/drawingml/2006/picture">
                <pic:pic>
                  <pic:nvPicPr>
                    <pic:cNvPr id="0" name="fig3_pyspark_code.png"/>
                    <pic:cNvPicPr/>
                  </pic:nvPicPr>
                  <pic:blipFill>
                    <a:blip r:embed="rId11"/>
                    <a:stretch>
                      <a:fillRect/>
                    </a:stretch>
                  </pic:blipFill>
                  <pic:spPr>
                    <a:xfrm>
                      <a:off x="0" y="0"/>
                      <a:ext cx="5669280" cy="1109014"/>
                    </a:xfrm>
                    <a:prstGeom prst="rect"/>
                  </pic:spPr>
                </pic:pic>
              </a:graphicData>
            </a:graphic>
          </wp:inline>
        </w:drawing>
      </w:r>
    </w:p>
    <w:p>
      <w:pPr>
        <w:spacing w:before="0" w:after="160"/>
        <w:jc w:val="center"/>
      </w:pPr>
      <w:r>
        <w:rPr>
          <w:rFonts w:ascii="Calibri" w:hAnsi="Calibri"/>
          <w:i/>
          <w:color w:val="64748B"/>
          <w:sz w:val="19"/>
        </w:rPr>
        <w:t>Figure 3: Distributed PySpark SQL GroupBy Code Snippet for UTC Hourly Extraction and Aggregation</w:t>
      </w:r>
    </w:p>
    <w:p>
      <w:pPr>
        <w:pStyle w:val="Heading1"/>
        <w:keepNext/>
        <w:spacing w:before="280" w:after="80"/>
      </w:pPr>
      <w:r>
        <w:rPr>
          <w:rFonts w:ascii="Calibri" w:hAnsi="Calibri"/>
          <w:b/>
          <w:color w:val="0B3D91"/>
          <w:sz w:val="36"/>
        </w:rPr>
        <w:t>3. Empirical Temporal Discoveries &amp; Data Science Findings</w:t>
      </w:r>
    </w:p>
    <w:p>
      <w:pPr>
        <w:pStyle w:val="Heading2"/>
        <w:keepNext/>
        <w:spacing w:before="280" w:after="80"/>
      </w:pPr>
      <w:r>
        <w:rPr>
          <w:rFonts w:ascii="Calibri" w:hAnsi="Calibri"/>
          <w:b/>
          <w:color w:val="1E293B"/>
          <w:sz w:val="27"/>
        </w:rPr>
        <w:t>Finding 1: Single Worst Wildfire Day &amp; Top 10 Disaster Dates</w:t>
      </w:r>
    </w:p>
    <w:p>
      <w:pPr>
        <w:spacing w:before="0" w:after="120" w:line="276" w:lineRule="auto"/>
      </w:pPr>
      <w:r>
        <w:rPr>
          <w:rFonts w:ascii="Calibri" w:hAnsi="Calibri"/>
          <w:b/>
          <w:color w:val="0F172A"/>
          <w:sz w:val="22"/>
        </w:rPr>
        <w:t xml:space="preserve">Peak Observed Date: </w:t>
      </w:r>
      <w:r>
        <w:rPr>
          <w:rFonts w:ascii="Calibri" w:hAnsi="Calibri"/>
          <w:i w:val="0"/>
          <w:color w:val="334155"/>
          <w:sz w:val="22"/>
        </w:rPr>
        <w:t>Across the 9.51 million observations, the single busiest day in recorded satellite telemetry occurred on October 16, 2025, recording 66,867 distinct wildfire hotspots and radiating an astronomical 675,835 MegaWatts (MW) of thermal radiative power (averaging 10.11 MW per fire). This global flare-up was driven by intense agricultural biomass clearing in Sub-Saharan Africa and boreal forest dryness in high latitudes.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1656"/>
        <w:gridCol w:w="1656"/>
        <w:gridCol w:w="1656"/>
        <w:gridCol w:w="1656"/>
        <w:gridCol w:w="1656"/>
        <w:gridCol w:w="1656"/>
      </w:tblGrid>
      <w:tr>
        <w:tc>
          <w:tcPr>
            <w:tcW w:type="dxa" w:w="864"/>
            <w:shd w:fill="0B3D91"/>
            <w:tcMar>
              <w:top w:w="120" w:type="dxa"/>
              <w:bottom w:w="120" w:type="dxa"/>
              <w:left w:w="120" w:type="dxa"/>
              <w:right w:w="120" w:type="dxa"/>
            </w:tcMar>
          </w:tcPr>
          <w:p>
            <w:pPr>
              <w:spacing w:before="0" w:after="0"/>
              <w:jc w:val="center"/>
            </w:pPr>
            <w:r>
              <w:rPr>
                <w:rFonts w:ascii="Calibri" w:hAnsi="Calibri"/>
                <w:b/>
                <w:color w:val="FFFFFF"/>
                <w:sz w:val="19"/>
              </w:rPr>
              <w:t>Rank</w:t>
            </w:r>
          </w:p>
        </w:tc>
        <w:tc>
          <w:tcPr>
            <w:tcW w:type="dxa" w:w="1728"/>
            <w:shd w:fill="0B3D91"/>
            <w:tcMar>
              <w:top w:w="120" w:type="dxa"/>
              <w:bottom w:w="120" w:type="dxa"/>
              <w:left w:w="120" w:type="dxa"/>
              <w:right w:w="120" w:type="dxa"/>
            </w:tcMar>
          </w:tcPr>
          <w:p>
            <w:pPr>
              <w:spacing w:before="0" w:after="0"/>
              <w:jc w:val="center"/>
            </w:pPr>
            <w:r>
              <w:rPr>
                <w:rFonts w:ascii="Calibri" w:hAnsi="Calibri"/>
                <w:b/>
                <w:color w:val="FFFFFF"/>
                <w:sz w:val="19"/>
              </w:rPr>
              <w:t>Acquisition Date</w:t>
            </w:r>
          </w:p>
        </w:tc>
        <w:tc>
          <w:tcPr>
            <w:tcW w:type="dxa" w:w="1584"/>
            <w:shd w:fill="0B3D91"/>
            <w:tcMar>
              <w:top w:w="120" w:type="dxa"/>
              <w:bottom w:w="120" w:type="dxa"/>
              <w:left w:w="120" w:type="dxa"/>
              <w:right w:w="120" w:type="dxa"/>
            </w:tcMar>
          </w:tcPr>
          <w:p>
            <w:pPr>
              <w:spacing w:before="0" w:after="0"/>
              <w:jc w:val="left"/>
            </w:pPr>
            <w:r>
              <w:rPr>
                <w:rFonts w:ascii="Calibri" w:hAnsi="Calibri"/>
                <w:b/>
                <w:color w:val="FFFFFF"/>
                <w:sz w:val="19"/>
              </w:rPr>
              <w:t>Hotspot Count</w:t>
            </w:r>
          </w:p>
        </w:tc>
        <w:tc>
          <w:tcPr>
            <w:tcW w:type="dxa" w:w="1584"/>
            <w:shd w:fill="0B3D91"/>
            <w:tcMar>
              <w:top w:w="120" w:type="dxa"/>
              <w:bottom w:w="120" w:type="dxa"/>
              <w:left w:w="120" w:type="dxa"/>
              <w:right w:w="120" w:type="dxa"/>
            </w:tcMar>
          </w:tcPr>
          <w:p>
            <w:pPr>
              <w:spacing w:before="0" w:after="0"/>
              <w:jc w:val="left"/>
            </w:pPr>
            <w:r>
              <w:rPr>
                <w:rFonts w:ascii="Calibri" w:hAnsi="Calibri"/>
                <w:b/>
                <w:color w:val="FFFFFF"/>
                <w:sz w:val="19"/>
              </w:rPr>
              <w:t>Mean FRP (MW)</w:t>
            </w:r>
          </w:p>
        </w:tc>
        <w:tc>
          <w:tcPr>
            <w:tcW w:type="dxa" w:w="1872"/>
            <w:shd w:fill="0B3D91"/>
            <w:tcMar>
              <w:top w:w="120" w:type="dxa"/>
              <w:bottom w:w="120" w:type="dxa"/>
              <w:left w:w="120" w:type="dxa"/>
              <w:right w:w="120" w:type="dxa"/>
            </w:tcMar>
          </w:tcPr>
          <w:p>
            <w:pPr>
              <w:spacing w:before="0" w:after="0"/>
              <w:jc w:val="left"/>
            </w:pPr>
            <w:r>
              <w:rPr>
                <w:rFonts w:ascii="Calibri" w:hAnsi="Calibri"/>
                <w:b/>
                <w:color w:val="FFFFFF"/>
                <w:sz w:val="19"/>
              </w:rPr>
              <w:t>Daily Total FRP (MW)</w:t>
            </w:r>
          </w:p>
        </w:tc>
        <w:tc>
          <w:tcPr>
            <w:tcW w:type="dxa" w:w="2736"/>
            <w:shd w:fill="0B3D91"/>
            <w:tcMar>
              <w:top w:w="120" w:type="dxa"/>
              <w:bottom w:w="120" w:type="dxa"/>
              <w:left w:w="120" w:type="dxa"/>
              <w:right w:w="120" w:type="dxa"/>
            </w:tcMar>
          </w:tcPr>
          <w:p>
            <w:pPr>
              <w:spacing w:before="0" w:after="0"/>
              <w:jc w:val="left"/>
            </w:pPr>
            <w:r>
              <w:rPr>
                <w:rFonts w:ascii="Calibri" w:hAnsi="Calibri"/>
                <w:b/>
                <w:color w:val="FFFFFF"/>
                <w:sz w:val="19"/>
              </w:rPr>
              <w:t>Regional Activity Driver</w:t>
            </w:r>
          </w:p>
        </w:tc>
      </w:tr>
      <w:tr>
        <w:tc>
          <w:tcPr>
            <w:tcW w:type="dxa" w:w="864"/>
            <w:shd w:fill="FFFFFF"/>
            <w:tcMar>
              <w:top w:w="90" w:type="dxa"/>
              <w:bottom w:w="90" w:type="dxa"/>
              <w:left w:w="120" w:type="dxa"/>
              <w:right w:w="120" w:type="dxa"/>
            </w:tcMar>
          </w:tcPr>
          <w:p>
            <w:pPr>
              <w:spacing w:before="0" w:after="0"/>
              <w:jc w:val="center"/>
            </w:pPr>
            <w:r>
              <w:rPr>
                <w:rFonts w:ascii="Calibri" w:hAnsi="Calibri"/>
                <w:b/>
                <w:color w:val="1E293B"/>
                <w:sz w:val="18"/>
              </w:rPr>
              <w:t>1</w:t>
            </w:r>
          </w:p>
        </w:tc>
        <w:tc>
          <w:tcPr>
            <w:tcW w:type="dxa" w:w="1728"/>
            <w:shd w:fill="FFFFFF"/>
            <w:tcMar>
              <w:top w:w="90" w:type="dxa"/>
              <w:bottom w:w="90" w:type="dxa"/>
              <w:left w:w="120" w:type="dxa"/>
              <w:right w:w="120" w:type="dxa"/>
            </w:tcMar>
          </w:tcPr>
          <w:p>
            <w:pPr>
              <w:spacing w:before="0" w:after="0"/>
              <w:jc w:val="center"/>
            </w:pPr>
            <w:r>
              <w:rPr>
                <w:rFonts w:ascii="Calibri" w:hAnsi="Calibri"/>
                <w:color w:val="1E293B"/>
                <w:sz w:val="18"/>
              </w:rPr>
              <w:t>2025-10-16</w:t>
            </w:r>
          </w:p>
        </w:tc>
        <w:tc>
          <w:tcPr>
            <w:tcW w:type="dxa" w:w="1584"/>
            <w:shd w:fill="FFFFFF"/>
            <w:tcMar>
              <w:top w:w="90" w:type="dxa"/>
              <w:bottom w:w="90" w:type="dxa"/>
              <w:left w:w="120" w:type="dxa"/>
              <w:right w:w="120" w:type="dxa"/>
            </w:tcMar>
          </w:tcPr>
          <w:p>
            <w:pPr>
              <w:spacing w:before="0" w:after="0"/>
              <w:jc w:val="right"/>
            </w:pPr>
            <w:r>
              <w:rPr>
                <w:rFonts w:ascii="Calibri" w:hAnsi="Calibri"/>
                <w:color w:val="1E293B"/>
                <w:sz w:val="18"/>
              </w:rPr>
              <w:t>66,867</w:t>
            </w:r>
          </w:p>
        </w:tc>
        <w:tc>
          <w:tcPr>
            <w:tcW w:type="dxa" w:w="1584"/>
            <w:shd w:fill="FFFFFF"/>
            <w:tcMar>
              <w:top w:w="90" w:type="dxa"/>
              <w:bottom w:w="90" w:type="dxa"/>
              <w:left w:w="120" w:type="dxa"/>
              <w:right w:w="120" w:type="dxa"/>
            </w:tcMar>
          </w:tcPr>
          <w:p>
            <w:pPr>
              <w:spacing w:before="0" w:after="0"/>
              <w:jc w:val="right"/>
            </w:pPr>
            <w:r>
              <w:rPr>
                <w:rFonts w:ascii="Calibri" w:hAnsi="Calibri"/>
                <w:color w:val="1E293B"/>
                <w:sz w:val="18"/>
              </w:rPr>
              <w:t>10.11 MW</w:t>
            </w:r>
          </w:p>
        </w:tc>
        <w:tc>
          <w:tcPr>
            <w:tcW w:type="dxa" w:w="1872"/>
            <w:shd w:fill="FFFFFF"/>
            <w:tcMar>
              <w:top w:w="90" w:type="dxa"/>
              <w:bottom w:w="90" w:type="dxa"/>
              <w:left w:w="120" w:type="dxa"/>
              <w:right w:w="120" w:type="dxa"/>
            </w:tcMar>
          </w:tcPr>
          <w:p>
            <w:pPr>
              <w:spacing w:before="0" w:after="0"/>
              <w:jc w:val="right"/>
            </w:pPr>
            <w:r>
              <w:rPr>
                <w:rFonts w:ascii="Calibri" w:hAnsi="Calibri"/>
                <w:color w:val="1E293B"/>
                <w:sz w:val="18"/>
              </w:rPr>
              <w:t>675,835 MW</w:t>
            </w:r>
          </w:p>
        </w:tc>
        <w:tc>
          <w:tcPr>
            <w:tcW w:type="dxa" w:w="2736"/>
            <w:shd w:fill="FFFFFF"/>
            <w:tcMar>
              <w:top w:w="90" w:type="dxa"/>
              <w:bottom w:w="90" w:type="dxa"/>
              <w:left w:w="120" w:type="dxa"/>
              <w:right w:w="120" w:type="dxa"/>
            </w:tcMar>
          </w:tcPr>
          <w:p>
            <w:pPr>
              <w:spacing w:before="0" w:after="0"/>
              <w:jc w:val="left"/>
            </w:pPr>
            <w:r>
              <w:rPr>
                <w:rFonts w:ascii="Calibri" w:hAnsi="Calibri"/>
                <w:color w:val="1E293B"/>
                <w:sz w:val="18"/>
              </w:rPr>
              <w:t>Boreal &amp; Sub-Saharan clearance</w:t>
            </w:r>
          </w:p>
        </w:tc>
      </w:tr>
      <w:tr>
        <w:tc>
          <w:tcPr>
            <w:tcW w:type="dxa" w:w="864"/>
            <w:shd w:fill="F8FAFC"/>
            <w:tcMar>
              <w:top w:w="90" w:type="dxa"/>
              <w:bottom w:w="90" w:type="dxa"/>
              <w:left w:w="120" w:type="dxa"/>
              <w:right w:w="120" w:type="dxa"/>
            </w:tcMar>
          </w:tcPr>
          <w:p>
            <w:pPr>
              <w:spacing w:before="0" w:after="0"/>
              <w:jc w:val="center"/>
            </w:pPr>
            <w:r>
              <w:rPr>
                <w:rFonts w:ascii="Calibri" w:hAnsi="Calibri"/>
                <w:b/>
                <w:color w:val="1E293B"/>
                <w:sz w:val="18"/>
              </w:rPr>
              <w:t>2</w:t>
            </w:r>
          </w:p>
        </w:tc>
        <w:tc>
          <w:tcPr>
            <w:tcW w:type="dxa" w:w="1728"/>
            <w:shd w:fill="F8FAFC"/>
            <w:tcMar>
              <w:top w:w="90" w:type="dxa"/>
              <w:bottom w:w="90" w:type="dxa"/>
              <w:left w:w="120" w:type="dxa"/>
              <w:right w:w="120" w:type="dxa"/>
            </w:tcMar>
          </w:tcPr>
          <w:p>
            <w:pPr>
              <w:spacing w:before="0" w:after="0"/>
              <w:jc w:val="center"/>
            </w:pPr>
            <w:r>
              <w:rPr>
                <w:rFonts w:ascii="Calibri" w:hAnsi="Calibri"/>
                <w:color w:val="1E293B"/>
                <w:sz w:val="18"/>
              </w:rPr>
              <w:t>2025-10-17</w:t>
            </w:r>
          </w:p>
        </w:tc>
        <w:tc>
          <w:tcPr>
            <w:tcW w:type="dxa" w:w="1584"/>
            <w:shd w:fill="F8FAFC"/>
            <w:tcMar>
              <w:top w:w="90" w:type="dxa"/>
              <w:bottom w:w="90" w:type="dxa"/>
              <w:left w:w="120" w:type="dxa"/>
              <w:right w:w="120" w:type="dxa"/>
            </w:tcMar>
          </w:tcPr>
          <w:p>
            <w:pPr>
              <w:spacing w:before="0" w:after="0"/>
              <w:jc w:val="right"/>
            </w:pPr>
            <w:r>
              <w:rPr>
                <w:rFonts w:ascii="Calibri" w:hAnsi="Calibri"/>
                <w:color w:val="1E293B"/>
                <w:sz w:val="18"/>
              </w:rPr>
              <w:t>65,679</w:t>
            </w:r>
          </w:p>
        </w:tc>
        <w:tc>
          <w:tcPr>
            <w:tcW w:type="dxa" w:w="1584"/>
            <w:shd w:fill="F8FAFC"/>
            <w:tcMar>
              <w:top w:w="90" w:type="dxa"/>
              <w:bottom w:w="90" w:type="dxa"/>
              <w:left w:w="120" w:type="dxa"/>
              <w:right w:w="120" w:type="dxa"/>
            </w:tcMar>
          </w:tcPr>
          <w:p>
            <w:pPr>
              <w:spacing w:before="0" w:after="0"/>
              <w:jc w:val="right"/>
            </w:pPr>
            <w:r>
              <w:rPr>
                <w:rFonts w:ascii="Calibri" w:hAnsi="Calibri"/>
                <w:color w:val="1E293B"/>
                <w:sz w:val="18"/>
              </w:rPr>
              <w:t>10.09 MW</w:t>
            </w:r>
          </w:p>
        </w:tc>
        <w:tc>
          <w:tcPr>
            <w:tcW w:type="dxa" w:w="1872"/>
            <w:shd w:fill="F8FAFC"/>
            <w:tcMar>
              <w:top w:w="90" w:type="dxa"/>
              <w:bottom w:w="90" w:type="dxa"/>
              <w:left w:w="120" w:type="dxa"/>
              <w:right w:w="120" w:type="dxa"/>
            </w:tcMar>
          </w:tcPr>
          <w:p>
            <w:pPr>
              <w:spacing w:before="0" w:after="0"/>
              <w:jc w:val="right"/>
            </w:pPr>
            <w:r>
              <w:rPr>
                <w:rFonts w:ascii="Calibri" w:hAnsi="Calibri"/>
                <w:color w:val="1E293B"/>
                <w:sz w:val="18"/>
              </w:rPr>
              <w:t>662,580 MW</w:t>
            </w:r>
          </w:p>
        </w:tc>
        <w:tc>
          <w:tcPr>
            <w:tcW w:type="dxa" w:w="2736"/>
            <w:shd w:fill="F8FAFC"/>
            <w:tcMar>
              <w:top w:w="90" w:type="dxa"/>
              <w:bottom w:w="90" w:type="dxa"/>
              <w:left w:w="120" w:type="dxa"/>
              <w:right w:w="120" w:type="dxa"/>
            </w:tcMar>
          </w:tcPr>
          <w:p>
            <w:pPr>
              <w:spacing w:before="0" w:after="0"/>
              <w:jc w:val="left"/>
            </w:pPr>
            <w:r>
              <w:rPr>
                <w:rFonts w:ascii="Calibri" w:hAnsi="Calibri"/>
                <w:color w:val="1E293B"/>
                <w:sz w:val="18"/>
              </w:rPr>
              <w:t>South American savanna / African bush</w:t>
            </w:r>
          </w:p>
        </w:tc>
      </w:tr>
      <w:tr>
        <w:tc>
          <w:tcPr>
            <w:tcW w:type="dxa" w:w="864"/>
            <w:shd w:fill="FFFFFF"/>
            <w:tcMar>
              <w:top w:w="90" w:type="dxa"/>
              <w:bottom w:w="90" w:type="dxa"/>
              <w:left w:w="120" w:type="dxa"/>
              <w:right w:w="120" w:type="dxa"/>
            </w:tcMar>
          </w:tcPr>
          <w:p>
            <w:pPr>
              <w:spacing w:before="0" w:after="0"/>
              <w:jc w:val="center"/>
            </w:pPr>
            <w:r>
              <w:rPr>
                <w:rFonts w:ascii="Calibri" w:hAnsi="Calibri"/>
                <w:b/>
                <w:color w:val="1E293B"/>
                <w:sz w:val="18"/>
              </w:rPr>
              <w:t>3</w:t>
            </w:r>
          </w:p>
        </w:tc>
        <w:tc>
          <w:tcPr>
            <w:tcW w:type="dxa" w:w="1728"/>
            <w:shd w:fill="FFFFFF"/>
            <w:tcMar>
              <w:top w:w="90" w:type="dxa"/>
              <w:bottom w:w="90" w:type="dxa"/>
              <w:left w:w="120" w:type="dxa"/>
              <w:right w:w="120" w:type="dxa"/>
            </w:tcMar>
          </w:tcPr>
          <w:p>
            <w:pPr>
              <w:spacing w:before="0" w:after="0"/>
              <w:jc w:val="center"/>
            </w:pPr>
            <w:r>
              <w:rPr>
                <w:rFonts w:ascii="Calibri" w:hAnsi="Calibri"/>
                <w:color w:val="1E293B"/>
                <w:sz w:val="18"/>
              </w:rPr>
              <w:t>2025-10-25</w:t>
            </w:r>
          </w:p>
        </w:tc>
        <w:tc>
          <w:tcPr>
            <w:tcW w:type="dxa" w:w="1584"/>
            <w:shd w:fill="FFFFFF"/>
            <w:tcMar>
              <w:top w:w="90" w:type="dxa"/>
              <w:bottom w:w="90" w:type="dxa"/>
              <w:left w:w="120" w:type="dxa"/>
              <w:right w:w="120" w:type="dxa"/>
            </w:tcMar>
          </w:tcPr>
          <w:p>
            <w:pPr>
              <w:spacing w:before="0" w:after="0"/>
              <w:jc w:val="right"/>
            </w:pPr>
            <w:r>
              <w:rPr>
                <w:rFonts w:ascii="Calibri" w:hAnsi="Calibri"/>
                <w:color w:val="1E293B"/>
                <w:sz w:val="18"/>
              </w:rPr>
              <w:t>65,099</w:t>
            </w:r>
          </w:p>
        </w:tc>
        <w:tc>
          <w:tcPr>
            <w:tcW w:type="dxa" w:w="1584"/>
            <w:shd w:fill="FFFFFF"/>
            <w:tcMar>
              <w:top w:w="90" w:type="dxa"/>
              <w:bottom w:w="90" w:type="dxa"/>
              <w:left w:w="120" w:type="dxa"/>
              <w:right w:w="120" w:type="dxa"/>
            </w:tcMar>
          </w:tcPr>
          <w:p>
            <w:pPr>
              <w:spacing w:before="0" w:after="0"/>
              <w:jc w:val="right"/>
            </w:pPr>
            <w:r>
              <w:rPr>
                <w:rFonts w:ascii="Calibri" w:hAnsi="Calibri"/>
                <w:color w:val="1E293B"/>
                <w:sz w:val="18"/>
              </w:rPr>
              <w:t>10.12 MW</w:t>
            </w:r>
          </w:p>
        </w:tc>
        <w:tc>
          <w:tcPr>
            <w:tcW w:type="dxa" w:w="1872"/>
            <w:shd w:fill="FFFFFF"/>
            <w:tcMar>
              <w:top w:w="90" w:type="dxa"/>
              <w:bottom w:w="90" w:type="dxa"/>
              <w:left w:w="120" w:type="dxa"/>
              <w:right w:w="120" w:type="dxa"/>
            </w:tcMar>
          </w:tcPr>
          <w:p>
            <w:pPr>
              <w:spacing w:before="0" w:after="0"/>
              <w:jc w:val="right"/>
            </w:pPr>
            <w:r>
              <w:rPr>
                <w:rFonts w:ascii="Calibri" w:hAnsi="Calibri"/>
                <w:color w:val="1E293B"/>
                <w:sz w:val="18"/>
              </w:rPr>
              <w:t>658,900 MW</w:t>
            </w:r>
          </w:p>
        </w:tc>
        <w:tc>
          <w:tcPr>
            <w:tcW w:type="dxa" w:w="2736"/>
            <w:shd w:fill="FFFFFF"/>
            <w:tcMar>
              <w:top w:w="90" w:type="dxa"/>
              <w:bottom w:w="90" w:type="dxa"/>
              <w:left w:w="120" w:type="dxa"/>
              <w:right w:w="120" w:type="dxa"/>
            </w:tcMar>
          </w:tcPr>
          <w:p>
            <w:pPr>
              <w:spacing w:before="0" w:after="0"/>
              <w:jc w:val="left"/>
            </w:pPr>
            <w:r>
              <w:rPr>
                <w:rFonts w:ascii="Calibri" w:hAnsi="Calibri"/>
                <w:color w:val="1E293B"/>
                <w:sz w:val="18"/>
              </w:rPr>
              <w:t>Tropical equatorial fire clearance</w:t>
            </w:r>
          </w:p>
        </w:tc>
      </w:tr>
      <w:tr>
        <w:tc>
          <w:tcPr>
            <w:tcW w:type="dxa" w:w="864"/>
            <w:shd w:fill="F8FAFC"/>
            <w:tcMar>
              <w:top w:w="90" w:type="dxa"/>
              <w:bottom w:w="90" w:type="dxa"/>
              <w:left w:w="120" w:type="dxa"/>
              <w:right w:w="120" w:type="dxa"/>
            </w:tcMar>
          </w:tcPr>
          <w:p>
            <w:pPr>
              <w:spacing w:before="0" w:after="0"/>
              <w:jc w:val="center"/>
            </w:pPr>
            <w:r>
              <w:rPr>
                <w:rFonts w:ascii="Calibri" w:hAnsi="Calibri"/>
                <w:b/>
                <w:color w:val="1E293B"/>
                <w:sz w:val="18"/>
              </w:rPr>
              <w:t>4</w:t>
            </w:r>
          </w:p>
        </w:tc>
        <w:tc>
          <w:tcPr>
            <w:tcW w:type="dxa" w:w="1728"/>
            <w:shd w:fill="F8FAFC"/>
            <w:tcMar>
              <w:top w:w="90" w:type="dxa"/>
              <w:bottom w:w="90" w:type="dxa"/>
              <w:left w:w="120" w:type="dxa"/>
              <w:right w:w="120" w:type="dxa"/>
            </w:tcMar>
          </w:tcPr>
          <w:p>
            <w:pPr>
              <w:spacing w:before="0" w:after="0"/>
              <w:jc w:val="center"/>
            </w:pPr>
            <w:r>
              <w:rPr>
                <w:rFonts w:ascii="Calibri" w:hAnsi="Calibri"/>
                <w:color w:val="1E293B"/>
                <w:sz w:val="18"/>
              </w:rPr>
              <w:t>2026-01-09</w:t>
            </w:r>
          </w:p>
        </w:tc>
        <w:tc>
          <w:tcPr>
            <w:tcW w:type="dxa" w:w="1584"/>
            <w:shd w:fill="F8FAFC"/>
            <w:tcMar>
              <w:top w:w="90" w:type="dxa"/>
              <w:bottom w:w="90" w:type="dxa"/>
              <w:left w:w="120" w:type="dxa"/>
              <w:right w:w="120" w:type="dxa"/>
            </w:tcMar>
          </w:tcPr>
          <w:p>
            <w:pPr>
              <w:spacing w:before="0" w:after="0"/>
              <w:jc w:val="right"/>
            </w:pPr>
            <w:r>
              <w:rPr>
                <w:rFonts w:ascii="Calibri" w:hAnsi="Calibri"/>
                <w:color w:val="1E293B"/>
                <w:sz w:val="18"/>
              </w:rPr>
              <w:t>64,548</w:t>
            </w:r>
          </w:p>
        </w:tc>
        <w:tc>
          <w:tcPr>
            <w:tcW w:type="dxa" w:w="1584"/>
            <w:shd w:fill="F8FAFC"/>
            <w:tcMar>
              <w:top w:w="90" w:type="dxa"/>
              <w:bottom w:w="90" w:type="dxa"/>
              <w:left w:w="120" w:type="dxa"/>
              <w:right w:w="120" w:type="dxa"/>
            </w:tcMar>
          </w:tcPr>
          <w:p>
            <w:pPr>
              <w:spacing w:before="0" w:after="0"/>
              <w:jc w:val="right"/>
            </w:pPr>
            <w:r>
              <w:rPr>
                <w:rFonts w:ascii="Calibri" w:hAnsi="Calibri"/>
                <w:color w:val="1E293B"/>
                <w:sz w:val="18"/>
              </w:rPr>
              <w:t>7.91 MW</w:t>
            </w:r>
          </w:p>
        </w:tc>
        <w:tc>
          <w:tcPr>
            <w:tcW w:type="dxa" w:w="1872"/>
            <w:shd w:fill="F8FAFC"/>
            <w:tcMar>
              <w:top w:w="90" w:type="dxa"/>
              <w:bottom w:w="90" w:type="dxa"/>
              <w:left w:w="120" w:type="dxa"/>
              <w:right w:w="120" w:type="dxa"/>
            </w:tcMar>
          </w:tcPr>
          <w:p>
            <w:pPr>
              <w:spacing w:before="0" w:after="0"/>
              <w:jc w:val="right"/>
            </w:pPr>
            <w:r>
              <w:rPr>
                <w:rFonts w:ascii="Calibri" w:hAnsi="Calibri"/>
                <w:color w:val="1E293B"/>
                <w:sz w:val="18"/>
              </w:rPr>
              <w:t>510,420 MW</w:t>
            </w:r>
          </w:p>
        </w:tc>
        <w:tc>
          <w:tcPr>
            <w:tcW w:type="dxa" w:w="2736"/>
            <w:shd w:fill="F8FAFC"/>
            <w:tcMar>
              <w:top w:w="90" w:type="dxa"/>
              <w:bottom w:w="90" w:type="dxa"/>
              <w:left w:w="120" w:type="dxa"/>
              <w:right w:w="120" w:type="dxa"/>
            </w:tcMar>
          </w:tcPr>
          <w:p>
            <w:pPr>
              <w:spacing w:before="0" w:after="0"/>
              <w:jc w:val="left"/>
            </w:pPr>
            <w:r>
              <w:rPr>
                <w:rFonts w:ascii="Calibri" w:hAnsi="Calibri"/>
                <w:color w:val="1E293B"/>
                <w:sz w:val="18"/>
              </w:rPr>
              <w:t>Australian summer bushfire activity</w:t>
            </w:r>
          </w:p>
        </w:tc>
      </w:tr>
      <w:tr>
        <w:tc>
          <w:tcPr>
            <w:tcW w:type="dxa" w:w="864"/>
            <w:shd w:fill="FFFFFF"/>
            <w:tcMar>
              <w:top w:w="90" w:type="dxa"/>
              <w:bottom w:w="90" w:type="dxa"/>
              <w:left w:w="120" w:type="dxa"/>
              <w:right w:w="120" w:type="dxa"/>
            </w:tcMar>
          </w:tcPr>
          <w:p>
            <w:pPr>
              <w:spacing w:before="0" w:after="0"/>
              <w:jc w:val="center"/>
            </w:pPr>
            <w:r>
              <w:rPr>
                <w:rFonts w:ascii="Calibri" w:hAnsi="Calibri"/>
                <w:b/>
                <w:color w:val="1E293B"/>
                <w:sz w:val="18"/>
              </w:rPr>
              <w:t>5</w:t>
            </w:r>
          </w:p>
        </w:tc>
        <w:tc>
          <w:tcPr>
            <w:tcW w:type="dxa" w:w="1728"/>
            <w:shd w:fill="FFFFFF"/>
            <w:tcMar>
              <w:top w:w="90" w:type="dxa"/>
              <w:bottom w:w="90" w:type="dxa"/>
              <w:left w:w="120" w:type="dxa"/>
              <w:right w:w="120" w:type="dxa"/>
            </w:tcMar>
          </w:tcPr>
          <w:p>
            <w:pPr>
              <w:spacing w:before="0" w:after="0"/>
              <w:jc w:val="center"/>
            </w:pPr>
            <w:r>
              <w:rPr>
                <w:rFonts w:ascii="Calibri" w:hAnsi="Calibri"/>
                <w:color w:val="1E293B"/>
                <w:sz w:val="18"/>
              </w:rPr>
              <w:t>2026-01-26</w:t>
            </w:r>
          </w:p>
        </w:tc>
        <w:tc>
          <w:tcPr>
            <w:tcW w:type="dxa" w:w="1584"/>
            <w:shd w:fill="FFFFFF"/>
            <w:tcMar>
              <w:top w:w="90" w:type="dxa"/>
              <w:bottom w:w="90" w:type="dxa"/>
              <w:left w:w="120" w:type="dxa"/>
              <w:right w:w="120" w:type="dxa"/>
            </w:tcMar>
          </w:tcPr>
          <w:p>
            <w:pPr>
              <w:spacing w:before="0" w:after="0"/>
              <w:jc w:val="right"/>
            </w:pPr>
            <w:r>
              <w:rPr>
                <w:rFonts w:ascii="Calibri" w:hAnsi="Calibri"/>
                <w:color w:val="1E293B"/>
                <w:sz w:val="18"/>
              </w:rPr>
              <w:t>64,057</w:t>
            </w:r>
          </w:p>
        </w:tc>
        <w:tc>
          <w:tcPr>
            <w:tcW w:type="dxa" w:w="1584"/>
            <w:shd w:fill="FFFFFF"/>
            <w:tcMar>
              <w:top w:w="90" w:type="dxa"/>
              <w:bottom w:w="90" w:type="dxa"/>
              <w:left w:w="120" w:type="dxa"/>
              <w:right w:w="120" w:type="dxa"/>
            </w:tcMar>
          </w:tcPr>
          <w:p>
            <w:pPr>
              <w:spacing w:before="0" w:after="0"/>
              <w:jc w:val="right"/>
            </w:pPr>
            <w:r>
              <w:rPr>
                <w:rFonts w:ascii="Calibri" w:hAnsi="Calibri"/>
                <w:color w:val="1E293B"/>
                <w:sz w:val="18"/>
              </w:rPr>
              <w:t>7.91 MW</w:t>
            </w:r>
          </w:p>
        </w:tc>
        <w:tc>
          <w:tcPr>
            <w:tcW w:type="dxa" w:w="1872"/>
            <w:shd w:fill="FFFFFF"/>
            <w:tcMar>
              <w:top w:w="90" w:type="dxa"/>
              <w:bottom w:w="90" w:type="dxa"/>
              <w:left w:w="120" w:type="dxa"/>
              <w:right w:w="120" w:type="dxa"/>
            </w:tcMar>
          </w:tcPr>
          <w:p>
            <w:pPr>
              <w:spacing w:before="0" w:after="0"/>
              <w:jc w:val="right"/>
            </w:pPr>
            <w:r>
              <w:rPr>
                <w:rFonts w:ascii="Calibri" w:hAnsi="Calibri"/>
                <w:color w:val="1E293B"/>
                <w:sz w:val="18"/>
              </w:rPr>
              <w:t>506,980 MW</w:t>
            </w:r>
          </w:p>
        </w:tc>
        <w:tc>
          <w:tcPr>
            <w:tcW w:type="dxa" w:w="2736"/>
            <w:shd w:fill="FFFFFF"/>
            <w:tcMar>
              <w:top w:w="90" w:type="dxa"/>
              <w:bottom w:w="90" w:type="dxa"/>
              <w:left w:w="120" w:type="dxa"/>
              <w:right w:w="120" w:type="dxa"/>
            </w:tcMar>
          </w:tcPr>
          <w:p>
            <w:pPr>
              <w:spacing w:before="0" w:after="0"/>
              <w:jc w:val="left"/>
            </w:pPr>
            <w:r>
              <w:rPr>
                <w:rFonts w:ascii="Calibri" w:hAnsi="Calibri"/>
                <w:color w:val="1E293B"/>
                <w:sz w:val="18"/>
              </w:rPr>
              <w:t>Australian &amp; Cerrado fires</w:t>
            </w:r>
          </w:p>
        </w:tc>
      </w:tr>
      <w:tr>
        <w:tc>
          <w:tcPr>
            <w:tcW w:type="dxa" w:w="864"/>
            <w:shd w:fill="F8FAFC"/>
            <w:tcMar>
              <w:top w:w="90" w:type="dxa"/>
              <w:bottom w:w="90" w:type="dxa"/>
              <w:left w:w="120" w:type="dxa"/>
              <w:right w:w="120" w:type="dxa"/>
            </w:tcMar>
          </w:tcPr>
          <w:p>
            <w:pPr>
              <w:spacing w:before="0" w:after="0"/>
              <w:jc w:val="center"/>
            </w:pPr>
            <w:r>
              <w:rPr>
                <w:rFonts w:ascii="Calibri" w:hAnsi="Calibri"/>
                <w:b/>
                <w:color w:val="1E293B"/>
                <w:sz w:val="18"/>
              </w:rPr>
              <w:t>6</w:t>
            </w:r>
          </w:p>
        </w:tc>
        <w:tc>
          <w:tcPr>
            <w:tcW w:type="dxa" w:w="1728"/>
            <w:shd w:fill="F8FAFC"/>
            <w:tcMar>
              <w:top w:w="90" w:type="dxa"/>
              <w:bottom w:w="90" w:type="dxa"/>
              <w:left w:w="120" w:type="dxa"/>
              <w:right w:w="120" w:type="dxa"/>
            </w:tcMar>
          </w:tcPr>
          <w:p>
            <w:pPr>
              <w:spacing w:before="0" w:after="0"/>
              <w:jc w:val="center"/>
            </w:pPr>
            <w:r>
              <w:rPr>
                <w:rFonts w:ascii="Calibri" w:hAnsi="Calibri"/>
                <w:color w:val="1E293B"/>
                <w:sz w:val="18"/>
              </w:rPr>
              <w:t>2026-01-14</w:t>
            </w:r>
          </w:p>
        </w:tc>
        <w:tc>
          <w:tcPr>
            <w:tcW w:type="dxa" w:w="1584"/>
            <w:shd w:fill="F8FAFC"/>
            <w:tcMar>
              <w:top w:w="90" w:type="dxa"/>
              <w:bottom w:w="90" w:type="dxa"/>
              <w:left w:w="120" w:type="dxa"/>
              <w:right w:w="120" w:type="dxa"/>
            </w:tcMar>
          </w:tcPr>
          <w:p>
            <w:pPr>
              <w:spacing w:before="0" w:after="0"/>
              <w:jc w:val="right"/>
            </w:pPr>
            <w:r>
              <w:rPr>
                <w:rFonts w:ascii="Calibri" w:hAnsi="Calibri"/>
                <w:color w:val="1E293B"/>
                <w:sz w:val="18"/>
              </w:rPr>
              <w:t>62,972</w:t>
            </w:r>
          </w:p>
        </w:tc>
        <w:tc>
          <w:tcPr>
            <w:tcW w:type="dxa" w:w="1584"/>
            <w:shd w:fill="F8FAFC"/>
            <w:tcMar>
              <w:top w:w="90" w:type="dxa"/>
              <w:bottom w:w="90" w:type="dxa"/>
              <w:left w:w="120" w:type="dxa"/>
              <w:right w:w="120" w:type="dxa"/>
            </w:tcMar>
          </w:tcPr>
          <w:p>
            <w:pPr>
              <w:spacing w:before="0" w:after="0"/>
              <w:jc w:val="right"/>
            </w:pPr>
            <w:r>
              <w:rPr>
                <w:rFonts w:ascii="Calibri" w:hAnsi="Calibri"/>
                <w:color w:val="1E293B"/>
                <w:sz w:val="18"/>
              </w:rPr>
              <w:t>7.92 MW</w:t>
            </w:r>
          </w:p>
        </w:tc>
        <w:tc>
          <w:tcPr>
            <w:tcW w:type="dxa" w:w="1872"/>
            <w:shd w:fill="F8FAFC"/>
            <w:tcMar>
              <w:top w:w="90" w:type="dxa"/>
              <w:bottom w:w="90" w:type="dxa"/>
              <w:left w:w="120" w:type="dxa"/>
              <w:right w:w="120" w:type="dxa"/>
            </w:tcMar>
          </w:tcPr>
          <w:p>
            <w:pPr>
              <w:spacing w:before="0" w:after="0"/>
              <w:jc w:val="right"/>
            </w:pPr>
            <w:r>
              <w:rPr>
                <w:rFonts w:ascii="Calibri" w:hAnsi="Calibri"/>
                <w:color w:val="1E293B"/>
                <w:sz w:val="18"/>
              </w:rPr>
              <w:t>498,320 MW</w:t>
            </w:r>
          </w:p>
        </w:tc>
        <w:tc>
          <w:tcPr>
            <w:tcW w:type="dxa" w:w="2736"/>
            <w:shd w:fill="F8FAFC"/>
            <w:tcMar>
              <w:top w:w="90" w:type="dxa"/>
              <w:bottom w:w="90" w:type="dxa"/>
              <w:left w:w="120" w:type="dxa"/>
              <w:right w:w="120" w:type="dxa"/>
            </w:tcMar>
          </w:tcPr>
          <w:p>
            <w:pPr>
              <w:spacing w:before="0" w:after="0"/>
              <w:jc w:val="left"/>
            </w:pPr>
            <w:r>
              <w:rPr>
                <w:rFonts w:ascii="Calibri" w:hAnsi="Calibri"/>
                <w:color w:val="1E293B"/>
                <w:sz w:val="18"/>
              </w:rPr>
              <w:t>Savanna seasonal burning</w:t>
            </w:r>
          </w:p>
        </w:tc>
      </w:tr>
      <w:tr>
        <w:tc>
          <w:tcPr>
            <w:tcW w:type="dxa" w:w="864"/>
            <w:shd w:fill="FFFFFF"/>
            <w:tcMar>
              <w:top w:w="90" w:type="dxa"/>
              <w:bottom w:w="90" w:type="dxa"/>
              <w:left w:w="120" w:type="dxa"/>
              <w:right w:w="120" w:type="dxa"/>
            </w:tcMar>
          </w:tcPr>
          <w:p>
            <w:pPr>
              <w:spacing w:before="0" w:after="0"/>
              <w:jc w:val="center"/>
            </w:pPr>
            <w:r>
              <w:rPr>
                <w:rFonts w:ascii="Calibri" w:hAnsi="Calibri"/>
                <w:b/>
                <w:color w:val="1E293B"/>
                <w:sz w:val="18"/>
              </w:rPr>
              <w:t>7</w:t>
            </w:r>
          </w:p>
        </w:tc>
        <w:tc>
          <w:tcPr>
            <w:tcW w:type="dxa" w:w="1728"/>
            <w:shd w:fill="FFFFFF"/>
            <w:tcMar>
              <w:top w:w="90" w:type="dxa"/>
              <w:bottom w:w="90" w:type="dxa"/>
              <w:left w:w="120" w:type="dxa"/>
              <w:right w:w="120" w:type="dxa"/>
            </w:tcMar>
          </w:tcPr>
          <w:p>
            <w:pPr>
              <w:spacing w:before="0" w:after="0"/>
              <w:jc w:val="center"/>
            </w:pPr>
            <w:r>
              <w:rPr>
                <w:rFonts w:ascii="Calibri" w:hAnsi="Calibri"/>
                <w:color w:val="1E293B"/>
                <w:sz w:val="18"/>
              </w:rPr>
              <w:t>2026-01-06</w:t>
            </w:r>
          </w:p>
        </w:tc>
        <w:tc>
          <w:tcPr>
            <w:tcW w:type="dxa" w:w="1584"/>
            <w:shd w:fill="FFFFFF"/>
            <w:tcMar>
              <w:top w:w="90" w:type="dxa"/>
              <w:bottom w:w="90" w:type="dxa"/>
              <w:left w:w="120" w:type="dxa"/>
              <w:right w:w="120" w:type="dxa"/>
            </w:tcMar>
          </w:tcPr>
          <w:p>
            <w:pPr>
              <w:spacing w:before="0" w:after="0"/>
              <w:jc w:val="right"/>
            </w:pPr>
            <w:r>
              <w:rPr>
                <w:rFonts w:ascii="Calibri" w:hAnsi="Calibri"/>
                <w:color w:val="1E293B"/>
                <w:sz w:val="18"/>
              </w:rPr>
              <w:t>61,369</w:t>
            </w:r>
          </w:p>
        </w:tc>
        <w:tc>
          <w:tcPr>
            <w:tcW w:type="dxa" w:w="1584"/>
            <w:shd w:fill="FFFFFF"/>
            <w:tcMar>
              <w:top w:w="90" w:type="dxa"/>
              <w:bottom w:w="90" w:type="dxa"/>
              <w:left w:w="120" w:type="dxa"/>
              <w:right w:w="120" w:type="dxa"/>
            </w:tcMar>
          </w:tcPr>
          <w:p>
            <w:pPr>
              <w:spacing w:before="0" w:after="0"/>
              <w:jc w:val="right"/>
            </w:pPr>
            <w:r>
              <w:rPr>
                <w:rFonts w:ascii="Calibri" w:hAnsi="Calibri"/>
                <w:color w:val="1E293B"/>
                <w:sz w:val="18"/>
              </w:rPr>
              <w:t>7.91 MW</w:t>
            </w:r>
          </w:p>
        </w:tc>
        <w:tc>
          <w:tcPr>
            <w:tcW w:type="dxa" w:w="1872"/>
            <w:shd w:fill="FFFFFF"/>
            <w:tcMar>
              <w:top w:w="90" w:type="dxa"/>
              <w:bottom w:w="90" w:type="dxa"/>
              <w:left w:w="120" w:type="dxa"/>
              <w:right w:w="120" w:type="dxa"/>
            </w:tcMar>
          </w:tcPr>
          <w:p>
            <w:pPr>
              <w:spacing w:before="0" w:after="0"/>
              <w:jc w:val="right"/>
            </w:pPr>
            <w:r>
              <w:rPr>
                <w:rFonts w:ascii="Calibri" w:hAnsi="Calibri"/>
                <w:color w:val="1E293B"/>
                <w:sz w:val="18"/>
              </w:rPr>
              <w:t>485,120 MW</w:t>
            </w:r>
          </w:p>
        </w:tc>
        <w:tc>
          <w:tcPr>
            <w:tcW w:type="dxa" w:w="2736"/>
            <w:shd w:fill="FFFFFF"/>
            <w:tcMar>
              <w:top w:w="90" w:type="dxa"/>
              <w:bottom w:w="90" w:type="dxa"/>
              <w:left w:w="120" w:type="dxa"/>
              <w:right w:w="120" w:type="dxa"/>
            </w:tcMar>
          </w:tcPr>
          <w:p>
            <w:pPr>
              <w:spacing w:before="0" w:after="0"/>
              <w:jc w:val="left"/>
            </w:pPr>
            <w:r>
              <w:rPr>
                <w:rFonts w:ascii="Calibri" w:hAnsi="Calibri"/>
                <w:color w:val="1E293B"/>
                <w:sz w:val="18"/>
              </w:rPr>
              <w:t>Australian bushfires</w:t>
            </w:r>
          </w:p>
        </w:tc>
      </w:tr>
      <w:tr>
        <w:tc>
          <w:tcPr>
            <w:tcW w:type="dxa" w:w="864"/>
            <w:shd w:fill="F8FAFC"/>
            <w:tcMar>
              <w:top w:w="90" w:type="dxa"/>
              <w:bottom w:w="90" w:type="dxa"/>
              <w:left w:w="120" w:type="dxa"/>
              <w:right w:w="120" w:type="dxa"/>
            </w:tcMar>
          </w:tcPr>
          <w:p>
            <w:pPr>
              <w:spacing w:before="0" w:after="0"/>
              <w:jc w:val="center"/>
            </w:pPr>
            <w:r>
              <w:rPr>
                <w:rFonts w:ascii="Calibri" w:hAnsi="Calibri"/>
                <w:b/>
                <w:color w:val="1E293B"/>
                <w:sz w:val="18"/>
              </w:rPr>
              <w:t>8</w:t>
            </w:r>
          </w:p>
        </w:tc>
        <w:tc>
          <w:tcPr>
            <w:tcW w:type="dxa" w:w="1728"/>
            <w:shd w:fill="F8FAFC"/>
            <w:tcMar>
              <w:top w:w="90" w:type="dxa"/>
              <w:bottom w:w="90" w:type="dxa"/>
              <w:left w:w="120" w:type="dxa"/>
              <w:right w:w="120" w:type="dxa"/>
            </w:tcMar>
          </w:tcPr>
          <w:p>
            <w:pPr>
              <w:spacing w:before="0" w:after="0"/>
              <w:jc w:val="center"/>
            </w:pPr>
            <w:r>
              <w:rPr>
                <w:rFonts w:ascii="Calibri" w:hAnsi="Calibri"/>
                <w:color w:val="1E293B"/>
                <w:sz w:val="18"/>
              </w:rPr>
              <w:t>2025-10-15</w:t>
            </w:r>
          </w:p>
        </w:tc>
        <w:tc>
          <w:tcPr>
            <w:tcW w:type="dxa" w:w="1584"/>
            <w:shd w:fill="F8FAFC"/>
            <w:tcMar>
              <w:top w:w="90" w:type="dxa"/>
              <w:bottom w:w="90" w:type="dxa"/>
              <w:left w:w="120" w:type="dxa"/>
              <w:right w:w="120" w:type="dxa"/>
            </w:tcMar>
          </w:tcPr>
          <w:p>
            <w:pPr>
              <w:spacing w:before="0" w:after="0"/>
              <w:jc w:val="right"/>
            </w:pPr>
            <w:r>
              <w:rPr>
                <w:rFonts w:ascii="Calibri" w:hAnsi="Calibri"/>
                <w:color w:val="1E293B"/>
                <w:sz w:val="18"/>
              </w:rPr>
              <w:t>60,936</w:t>
            </w:r>
          </w:p>
        </w:tc>
        <w:tc>
          <w:tcPr>
            <w:tcW w:type="dxa" w:w="1584"/>
            <w:shd w:fill="F8FAFC"/>
            <w:tcMar>
              <w:top w:w="90" w:type="dxa"/>
              <w:bottom w:w="90" w:type="dxa"/>
              <w:left w:w="120" w:type="dxa"/>
              <w:right w:w="120" w:type="dxa"/>
            </w:tcMar>
          </w:tcPr>
          <w:p>
            <w:pPr>
              <w:spacing w:before="0" w:after="0"/>
              <w:jc w:val="right"/>
            </w:pPr>
            <w:r>
              <w:rPr>
                <w:rFonts w:ascii="Calibri" w:hAnsi="Calibri"/>
                <w:color w:val="1E293B"/>
                <w:sz w:val="18"/>
              </w:rPr>
              <w:t>10.10 MW</w:t>
            </w:r>
          </w:p>
        </w:tc>
        <w:tc>
          <w:tcPr>
            <w:tcW w:type="dxa" w:w="1872"/>
            <w:shd w:fill="F8FAFC"/>
            <w:tcMar>
              <w:top w:w="90" w:type="dxa"/>
              <w:bottom w:w="90" w:type="dxa"/>
              <w:left w:w="120" w:type="dxa"/>
              <w:right w:w="120" w:type="dxa"/>
            </w:tcMar>
          </w:tcPr>
          <w:p>
            <w:pPr>
              <w:spacing w:before="0" w:after="0"/>
              <w:jc w:val="right"/>
            </w:pPr>
            <w:r>
              <w:rPr>
                <w:rFonts w:ascii="Calibri" w:hAnsi="Calibri"/>
                <w:color w:val="1E293B"/>
                <w:sz w:val="18"/>
              </w:rPr>
              <w:t>615,400 MW</w:t>
            </w:r>
          </w:p>
        </w:tc>
        <w:tc>
          <w:tcPr>
            <w:tcW w:type="dxa" w:w="2736"/>
            <w:shd w:fill="F8FAFC"/>
            <w:tcMar>
              <w:top w:w="90" w:type="dxa"/>
              <w:bottom w:w="90" w:type="dxa"/>
              <w:left w:w="120" w:type="dxa"/>
              <w:right w:w="120" w:type="dxa"/>
            </w:tcMar>
          </w:tcPr>
          <w:p>
            <w:pPr>
              <w:spacing w:before="0" w:after="0"/>
              <w:jc w:val="left"/>
            </w:pPr>
            <w:r>
              <w:rPr>
                <w:rFonts w:ascii="Calibri" w:hAnsi="Calibri"/>
                <w:color w:val="1E293B"/>
                <w:sz w:val="18"/>
              </w:rPr>
              <w:t>Northern autumn agricultural clearing</w:t>
            </w:r>
          </w:p>
        </w:tc>
      </w:tr>
      <w:tr>
        <w:tc>
          <w:tcPr>
            <w:tcW w:type="dxa" w:w="864"/>
            <w:shd w:fill="FFFFFF"/>
            <w:tcMar>
              <w:top w:w="90" w:type="dxa"/>
              <w:bottom w:w="90" w:type="dxa"/>
              <w:left w:w="120" w:type="dxa"/>
              <w:right w:w="120" w:type="dxa"/>
            </w:tcMar>
          </w:tcPr>
          <w:p>
            <w:pPr>
              <w:spacing w:before="0" w:after="0"/>
              <w:jc w:val="center"/>
            </w:pPr>
            <w:r>
              <w:rPr>
                <w:rFonts w:ascii="Calibri" w:hAnsi="Calibri"/>
                <w:b/>
                <w:color w:val="1E293B"/>
                <w:sz w:val="18"/>
              </w:rPr>
              <w:t>9</w:t>
            </w:r>
          </w:p>
        </w:tc>
        <w:tc>
          <w:tcPr>
            <w:tcW w:type="dxa" w:w="1728"/>
            <w:shd w:fill="FFFFFF"/>
            <w:tcMar>
              <w:top w:w="90" w:type="dxa"/>
              <w:bottom w:w="90" w:type="dxa"/>
              <w:left w:w="120" w:type="dxa"/>
              <w:right w:w="120" w:type="dxa"/>
            </w:tcMar>
          </w:tcPr>
          <w:p>
            <w:pPr>
              <w:spacing w:before="0" w:after="0"/>
              <w:jc w:val="center"/>
            </w:pPr>
            <w:r>
              <w:rPr>
                <w:rFonts w:ascii="Calibri" w:hAnsi="Calibri"/>
                <w:color w:val="1E293B"/>
                <w:sz w:val="18"/>
              </w:rPr>
              <w:t>2026-03-28</w:t>
            </w:r>
          </w:p>
        </w:tc>
        <w:tc>
          <w:tcPr>
            <w:tcW w:type="dxa" w:w="1584"/>
            <w:shd w:fill="FFFFFF"/>
            <w:tcMar>
              <w:top w:w="90" w:type="dxa"/>
              <w:bottom w:w="90" w:type="dxa"/>
              <w:left w:w="120" w:type="dxa"/>
              <w:right w:w="120" w:type="dxa"/>
            </w:tcMar>
          </w:tcPr>
          <w:p>
            <w:pPr>
              <w:spacing w:before="0" w:after="0"/>
              <w:jc w:val="right"/>
            </w:pPr>
            <w:r>
              <w:rPr>
                <w:rFonts w:ascii="Calibri" w:hAnsi="Calibri"/>
                <w:color w:val="1E293B"/>
                <w:sz w:val="18"/>
              </w:rPr>
              <w:t>60,267</w:t>
            </w:r>
          </w:p>
        </w:tc>
        <w:tc>
          <w:tcPr>
            <w:tcW w:type="dxa" w:w="1584"/>
            <w:shd w:fill="FFFFFF"/>
            <w:tcMar>
              <w:top w:w="90" w:type="dxa"/>
              <w:bottom w:w="90" w:type="dxa"/>
              <w:left w:w="120" w:type="dxa"/>
              <w:right w:w="120" w:type="dxa"/>
            </w:tcMar>
          </w:tcPr>
          <w:p>
            <w:pPr>
              <w:spacing w:before="0" w:after="0"/>
              <w:jc w:val="right"/>
            </w:pPr>
            <w:r>
              <w:rPr>
                <w:rFonts w:ascii="Calibri" w:hAnsi="Calibri"/>
                <w:color w:val="1E293B"/>
                <w:sz w:val="18"/>
              </w:rPr>
              <w:t>8.38 MW</w:t>
            </w:r>
          </w:p>
        </w:tc>
        <w:tc>
          <w:tcPr>
            <w:tcW w:type="dxa" w:w="1872"/>
            <w:shd w:fill="FFFFFF"/>
            <w:tcMar>
              <w:top w:w="90" w:type="dxa"/>
              <w:bottom w:w="90" w:type="dxa"/>
              <w:left w:w="120" w:type="dxa"/>
              <w:right w:w="120" w:type="dxa"/>
            </w:tcMar>
          </w:tcPr>
          <w:p>
            <w:pPr>
              <w:spacing w:before="0" w:after="0"/>
              <w:jc w:val="right"/>
            </w:pPr>
            <w:r>
              <w:rPr>
                <w:rFonts w:ascii="Calibri" w:hAnsi="Calibri"/>
                <w:color w:val="1E293B"/>
                <w:sz w:val="18"/>
              </w:rPr>
              <w:t>505,037 MW</w:t>
            </w:r>
          </w:p>
        </w:tc>
        <w:tc>
          <w:tcPr>
            <w:tcW w:type="dxa" w:w="2736"/>
            <w:shd w:fill="FFFFFF"/>
            <w:tcMar>
              <w:top w:w="90" w:type="dxa"/>
              <w:bottom w:w="90" w:type="dxa"/>
              <w:left w:w="120" w:type="dxa"/>
              <w:right w:w="120" w:type="dxa"/>
            </w:tcMar>
          </w:tcPr>
          <w:p>
            <w:pPr>
              <w:spacing w:before="0" w:after="0"/>
              <w:jc w:val="left"/>
            </w:pPr>
            <w:r>
              <w:rPr>
                <w:rFonts w:ascii="Calibri" w:hAnsi="Calibri"/>
                <w:color w:val="1E293B"/>
                <w:sz w:val="18"/>
              </w:rPr>
              <w:t>Indochina dry season biomass burning</w:t>
            </w:r>
          </w:p>
        </w:tc>
      </w:tr>
      <w:tr>
        <w:tc>
          <w:tcPr>
            <w:tcW w:type="dxa" w:w="864"/>
            <w:shd w:fill="F8FAFC"/>
            <w:tcMar>
              <w:top w:w="90" w:type="dxa"/>
              <w:bottom w:w="90" w:type="dxa"/>
              <w:left w:w="120" w:type="dxa"/>
              <w:right w:w="120" w:type="dxa"/>
            </w:tcMar>
          </w:tcPr>
          <w:p>
            <w:pPr>
              <w:spacing w:before="0" w:after="0"/>
              <w:jc w:val="center"/>
            </w:pPr>
            <w:r>
              <w:rPr>
                <w:rFonts w:ascii="Calibri" w:hAnsi="Calibri"/>
                <w:b/>
                <w:color w:val="1E293B"/>
                <w:sz w:val="18"/>
              </w:rPr>
              <w:t>10</w:t>
            </w:r>
          </w:p>
        </w:tc>
        <w:tc>
          <w:tcPr>
            <w:tcW w:type="dxa" w:w="1728"/>
            <w:shd w:fill="F8FAFC"/>
            <w:tcMar>
              <w:top w:w="90" w:type="dxa"/>
              <w:bottom w:w="90" w:type="dxa"/>
              <w:left w:w="120" w:type="dxa"/>
              <w:right w:w="120" w:type="dxa"/>
            </w:tcMar>
          </w:tcPr>
          <w:p>
            <w:pPr>
              <w:spacing w:before="0" w:after="0"/>
              <w:jc w:val="center"/>
            </w:pPr>
            <w:r>
              <w:rPr>
                <w:rFonts w:ascii="Calibri" w:hAnsi="Calibri"/>
                <w:color w:val="1E293B"/>
                <w:sz w:val="18"/>
              </w:rPr>
              <w:t>2026-01-25</w:t>
            </w:r>
          </w:p>
        </w:tc>
        <w:tc>
          <w:tcPr>
            <w:tcW w:type="dxa" w:w="1584"/>
            <w:shd w:fill="F8FAFC"/>
            <w:tcMar>
              <w:top w:w="90" w:type="dxa"/>
              <w:bottom w:w="90" w:type="dxa"/>
              <w:left w:w="120" w:type="dxa"/>
              <w:right w:w="120" w:type="dxa"/>
            </w:tcMar>
          </w:tcPr>
          <w:p>
            <w:pPr>
              <w:spacing w:before="0" w:after="0"/>
              <w:jc w:val="right"/>
            </w:pPr>
            <w:r>
              <w:rPr>
                <w:rFonts w:ascii="Calibri" w:hAnsi="Calibri"/>
                <w:color w:val="1E293B"/>
                <w:sz w:val="18"/>
              </w:rPr>
              <w:t>59,145</w:t>
            </w:r>
          </w:p>
        </w:tc>
        <w:tc>
          <w:tcPr>
            <w:tcW w:type="dxa" w:w="1584"/>
            <w:shd w:fill="F8FAFC"/>
            <w:tcMar>
              <w:top w:w="90" w:type="dxa"/>
              <w:bottom w:w="90" w:type="dxa"/>
              <w:left w:w="120" w:type="dxa"/>
              <w:right w:w="120" w:type="dxa"/>
            </w:tcMar>
          </w:tcPr>
          <w:p>
            <w:pPr>
              <w:spacing w:before="0" w:after="0"/>
              <w:jc w:val="right"/>
            </w:pPr>
            <w:r>
              <w:rPr>
                <w:rFonts w:ascii="Calibri" w:hAnsi="Calibri"/>
                <w:color w:val="1E293B"/>
                <w:sz w:val="18"/>
              </w:rPr>
              <w:t>7.91 MW</w:t>
            </w:r>
          </w:p>
        </w:tc>
        <w:tc>
          <w:tcPr>
            <w:tcW w:type="dxa" w:w="1872"/>
            <w:shd w:fill="F8FAFC"/>
            <w:tcMar>
              <w:top w:w="90" w:type="dxa"/>
              <w:bottom w:w="90" w:type="dxa"/>
              <w:left w:w="120" w:type="dxa"/>
              <w:right w:w="120" w:type="dxa"/>
            </w:tcMar>
          </w:tcPr>
          <w:p>
            <w:pPr>
              <w:spacing w:before="0" w:after="0"/>
              <w:jc w:val="right"/>
            </w:pPr>
            <w:r>
              <w:rPr>
                <w:rFonts w:ascii="Calibri" w:hAnsi="Calibri"/>
                <w:color w:val="1E293B"/>
                <w:sz w:val="18"/>
              </w:rPr>
              <w:t>467,837 MW</w:t>
            </w:r>
          </w:p>
        </w:tc>
        <w:tc>
          <w:tcPr>
            <w:tcW w:type="dxa" w:w="2736"/>
            <w:shd w:fill="F8FAFC"/>
            <w:tcMar>
              <w:top w:w="90" w:type="dxa"/>
              <w:bottom w:w="90" w:type="dxa"/>
              <w:left w:w="120" w:type="dxa"/>
              <w:right w:w="120" w:type="dxa"/>
            </w:tcMar>
          </w:tcPr>
          <w:p>
            <w:pPr>
              <w:spacing w:before="0" w:after="0"/>
              <w:jc w:val="left"/>
            </w:pPr>
            <w:r>
              <w:rPr>
                <w:rFonts w:ascii="Calibri" w:hAnsi="Calibri"/>
                <w:color w:val="1E293B"/>
                <w:sz w:val="18"/>
              </w:rPr>
              <w:t>Southern Hemisphere peak</w:t>
            </w:r>
          </w:p>
        </w:tc>
      </w:tr>
    </w:tbl>
    <w:p>
      <w:pPr>
        <w:spacing w:after="120"/>
      </w:pPr>
    </w:p>
    <w:p>
      <w:pPr>
        <w:spacing w:before="160" w:after="60"/>
        <w:jc w:val="center"/>
      </w:pPr>
      <w:r>
        <w:drawing>
          <wp:inline xmlns:a="http://schemas.openxmlformats.org/drawingml/2006/main" xmlns:pic="http://schemas.openxmlformats.org/drawingml/2006/picture">
            <wp:extent cx="5669280" cy="1151668"/>
            <wp:docPr id="4" name="Picture 4"/>
            <wp:cNvGraphicFramePr>
              <a:graphicFrameLocks noChangeAspect="1"/>
            </wp:cNvGraphicFramePr>
            <a:graphic>
              <a:graphicData uri="http://schemas.openxmlformats.org/drawingml/2006/picture">
                <pic:pic>
                  <pic:nvPicPr>
                    <pic:cNvPr id="0" name="fig4_peak_dates.png"/>
                    <pic:cNvPicPr/>
                  </pic:nvPicPr>
                  <pic:blipFill>
                    <a:blip r:embed="rId12"/>
                    <a:stretch>
                      <a:fillRect/>
                    </a:stretch>
                  </pic:blipFill>
                  <pic:spPr>
                    <a:xfrm>
                      <a:off x="0" y="0"/>
                      <a:ext cx="5669280" cy="1151668"/>
                    </a:xfrm>
                    <a:prstGeom prst="rect"/>
                  </pic:spPr>
                </pic:pic>
              </a:graphicData>
            </a:graphic>
          </wp:inline>
        </w:drawing>
      </w:r>
    </w:p>
    <w:p>
      <w:pPr>
        <w:spacing w:before="0" w:after="160"/>
        <w:jc w:val="center"/>
      </w:pPr>
      <w:r>
        <w:rPr>
          <w:rFonts w:ascii="Calibri" w:hAnsi="Calibri"/>
          <w:i/>
          <w:color w:val="64748B"/>
          <w:sz w:val="19"/>
        </w:rPr>
        <w:t>Figure 4: PySpark Terminal Output — Top 10 Peak Hotspot Dates Ranked by Frequency with Thermal Power and Drivers</w:t>
      </w:r>
    </w:p>
    <w:p>
      <w:pPr>
        <w:spacing w:before="160" w:after="60"/>
        <w:jc w:val="center"/>
      </w:pPr>
      <w:r>
        <w:drawing>
          <wp:inline xmlns:a="http://schemas.openxmlformats.org/drawingml/2006/main" xmlns:pic="http://schemas.openxmlformats.org/drawingml/2006/picture">
            <wp:extent cx="5669280" cy="2429691"/>
            <wp:docPr id="5" name="Picture 5"/>
            <wp:cNvGraphicFramePr>
              <a:graphicFrameLocks noChangeAspect="1"/>
            </wp:cNvGraphicFramePr>
            <a:graphic>
              <a:graphicData uri="http://schemas.openxmlformats.org/drawingml/2006/picture">
                <pic:pic>
                  <pic:nvPicPr>
                    <pic:cNvPr id="0" name="member2_daily_trend.png"/>
                    <pic:cNvPicPr/>
                  </pic:nvPicPr>
                  <pic:blipFill>
                    <a:blip r:embed="rId13"/>
                    <a:stretch>
                      <a:fillRect/>
                    </a:stretch>
                  </pic:blipFill>
                  <pic:spPr>
                    <a:xfrm>
                      <a:off x="0" y="0"/>
                      <a:ext cx="5669280" cy="2429691"/>
                    </a:xfrm>
                    <a:prstGeom prst="rect"/>
                  </pic:spPr>
                </pic:pic>
              </a:graphicData>
            </a:graphic>
          </wp:inline>
        </w:drawing>
      </w:r>
    </w:p>
    <w:p>
      <w:pPr>
        <w:spacing w:before="0" w:after="160"/>
        <w:jc w:val="center"/>
      </w:pPr>
      <w:r>
        <w:rPr>
          <w:rFonts w:ascii="Calibri" w:hAnsi="Calibri"/>
          <w:i/>
          <w:color w:val="64748B"/>
          <w:sz w:val="19"/>
        </w:rPr>
        <w:t>Figure 5: 300-DPI Publication Chart — Global Daily Hotspot Detection Volume, 7-Day Rolling Window, and Cumulative FRP (MW)</w:t>
      </w:r>
    </w:p>
    <w:p>
      <w:pPr>
        <w:pStyle w:val="Heading2"/>
        <w:keepNext/>
        <w:spacing w:before="280" w:after="80"/>
      </w:pPr>
      <w:r>
        <w:rPr>
          <w:rFonts w:ascii="Calibri" w:hAnsi="Calibri"/>
          <w:b/>
          <w:color w:val="1E293B"/>
          <w:sz w:val="27"/>
        </w:rPr>
        <w:t>Finding 2: Monthly Seasonal Dynamics &amp; Data Gap Discovery</w:t>
      </w:r>
    </w:p>
    <w:p>
      <w:pPr>
        <w:spacing w:before="0" w:after="120" w:line="276" w:lineRule="auto"/>
      </w:pPr>
      <w:r>
        <w:rPr>
          <w:rFonts w:ascii="Calibri" w:hAnsi="Calibri"/>
          <w:b/>
          <w:color w:val="0F172A"/>
          <w:sz w:val="22"/>
        </w:rPr>
        <w:t xml:space="preserve">Chronological Dynamics: </w:t>
      </w:r>
      <w:r>
        <w:rPr>
          <w:rFonts w:ascii="Calibri" w:hAnsi="Calibri"/>
          <w:i w:val="0"/>
          <w:color w:val="334155"/>
          <w:sz w:val="22"/>
        </w:rPr>
        <w:t>Aggregating by Year-Month rather than calendar month resolves the seasonal dynamics of global biomass burning:</w:t>
      </w:r>
    </w:p>
    <w:p>
      <w:pPr>
        <w:spacing w:before="0" w:after="120" w:line="276" w:lineRule="auto"/>
      </w:pPr>
      <w:r>
        <w:rPr>
          <w:rFonts w:ascii="Calibri" w:hAnsi="Calibri"/>
          <w:b/>
          <w:color w:val="0F172A"/>
          <w:sz w:val="22"/>
        </w:rPr>
        <w:t xml:space="preserve">• Peak Detection Volume: </w:t>
      </w:r>
      <w:r>
        <w:rPr>
          <w:rFonts w:ascii="Calibri" w:hAnsi="Calibri"/>
          <w:i w:val="0"/>
          <w:color w:val="334155"/>
          <w:sz w:val="22"/>
        </w:rPr>
        <w:t>January 2026 recorded 1,531,105 hotspots (16.10% of total volume), driven by Southern Hemisphere summer heatwaves across Australia, Madagascar, and the African savannah.</w:t>
      </w:r>
    </w:p>
    <w:p>
      <w:pPr>
        <w:spacing w:before="0" w:after="120" w:line="276" w:lineRule="auto"/>
      </w:pPr>
      <w:r>
        <w:rPr>
          <w:rFonts w:ascii="Calibri" w:hAnsi="Calibri"/>
          <w:b/>
          <w:color w:val="0F172A"/>
          <w:sz w:val="22"/>
        </w:rPr>
        <w:t xml:space="preserve">• Peak Thermal Destructiveness: </w:t>
      </w:r>
      <w:r>
        <w:rPr>
          <w:rFonts w:ascii="Calibri" w:hAnsi="Calibri"/>
          <w:i w:val="0"/>
          <w:color w:val="334155"/>
          <w:sz w:val="22"/>
        </w:rPr>
        <w:t>June 2026 exhibited the highest mean radiative power (10.32 MW per detection, generating 12,356,080 MW total energy). These high-intensity burns correspond to high-latitude boreal forest crown fires in Siberia and Western Canada.</w:t>
      </w:r>
    </w:p>
    <w:p>
      <w:pPr>
        <w:spacing w:before="0" w:after="120" w:line="276" w:lineRule="auto"/>
      </w:pPr>
      <w:r>
        <w:rPr>
          <w:rFonts w:ascii="Calibri" w:hAnsi="Calibri"/>
          <w:b/>
          <w:color w:val="0F172A"/>
          <w:sz w:val="22"/>
        </w:rPr>
        <w:t xml:space="preserve">• Quietest Complete Month: </w:t>
      </w:r>
      <w:r>
        <w:rPr>
          <w:rFonts w:ascii="Calibri" w:hAnsi="Calibri"/>
          <w:i w:val="0"/>
          <w:color w:val="334155"/>
          <w:sz w:val="22"/>
        </w:rPr>
        <w:t>December 2025 recorded the lowest volume among complete months (1,079,467 hotspots, 11.35%).</w:t>
      </w:r>
    </w:p>
    <w:p>
      <w:pPr>
        <w:spacing w:before="0" w:after="120" w:line="276" w:lineRule="auto"/>
      </w:pPr>
      <w:r>
        <w:rPr>
          <w:rFonts w:ascii="Calibri" w:hAnsi="Calibri"/>
          <w:b/>
          <w:color w:val="0F172A"/>
          <w:sz w:val="22"/>
        </w:rPr>
        <w:t xml:space="preserve">• Data Continuity Audit (Sensor Gap Discovery): </w:t>
      </w:r>
      <w:r>
        <w:rPr>
          <w:rFonts w:ascii="Calibri" w:hAnsi="Calibri"/>
          <w:i w:val="0"/>
          <w:color w:val="334155"/>
          <w:sz w:val="22"/>
        </w:rPr>
        <w:t>Member 2 conducted an exhaustive calendar sequence audit across the expected 262-day operational span. The audit revealed exactly 39 missing calendar days, most notably a total sensor archive cutoff across the entire month of May 2026 (0 records from 2026-05-01 to 2026-05-31). This empirical finding prevents false inferences of zero wildfire activity during late spring.</w:t>
      </w:r>
    </w:p>
    <w:p>
      <w:pPr>
        <w:spacing w:before="160" w:after="60"/>
        <w:jc w:val="center"/>
      </w:pPr>
      <w:r>
        <w:drawing>
          <wp:inline xmlns:a="http://schemas.openxmlformats.org/drawingml/2006/main" xmlns:pic="http://schemas.openxmlformats.org/drawingml/2006/picture">
            <wp:extent cx="5669280" cy="1298825"/>
            <wp:docPr id="6" name="Picture 6"/>
            <wp:cNvGraphicFramePr>
              <a:graphicFrameLocks noChangeAspect="1"/>
            </wp:cNvGraphicFramePr>
            <a:graphic>
              <a:graphicData uri="http://schemas.openxmlformats.org/drawingml/2006/picture">
                <pic:pic>
                  <pic:nvPicPr>
                    <pic:cNvPr id="0" name="fig6_monthly_gap.png"/>
                    <pic:cNvPicPr/>
                  </pic:nvPicPr>
                  <pic:blipFill>
                    <a:blip r:embed="rId14"/>
                    <a:stretch>
                      <a:fillRect/>
                    </a:stretch>
                  </pic:blipFill>
                  <pic:spPr>
                    <a:xfrm>
                      <a:off x="0" y="0"/>
                      <a:ext cx="5669280" cy="1298825"/>
                    </a:xfrm>
                    <a:prstGeom prst="rect"/>
                  </pic:spPr>
                </pic:pic>
              </a:graphicData>
            </a:graphic>
          </wp:inline>
        </w:drawing>
      </w:r>
    </w:p>
    <w:p>
      <w:pPr>
        <w:spacing w:before="0" w:after="160"/>
        <w:jc w:val="center"/>
      </w:pPr>
      <w:r>
        <w:rPr>
          <w:rFonts w:ascii="Calibri" w:hAnsi="Calibri"/>
          <w:i/>
          <w:color w:val="64748B"/>
          <w:sz w:val="19"/>
        </w:rPr>
        <w:t>Figure 6: PySpark Terminal Output — Monthly Seasonal Volume, Radiative Power Divergence, and 39-Day Gap Discovery</w:t>
      </w:r>
    </w:p>
    <w:p>
      <w:pPr>
        <w:spacing w:before="160" w:after="60"/>
        <w:jc w:val="center"/>
      </w:pPr>
      <w:r>
        <w:drawing>
          <wp:inline xmlns:a="http://schemas.openxmlformats.org/drawingml/2006/main" xmlns:pic="http://schemas.openxmlformats.org/drawingml/2006/picture">
            <wp:extent cx="5669280" cy="2834640"/>
            <wp:docPr id="7" name="Picture 7"/>
            <wp:cNvGraphicFramePr>
              <a:graphicFrameLocks noChangeAspect="1"/>
            </wp:cNvGraphicFramePr>
            <a:graphic>
              <a:graphicData uri="http://schemas.openxmlformats.org/drawingml/2006/picture">
                <pic:pic>
                  <pic:nvPicPr>
                    <pic:cNvPr id="0" name="member2_monthly_trend.png"/>
                    <pic:cNvPicPr/>
                  </pic:nvPicPr>
                  <pic:blipFill>
                    <a:blip r:embed="rId15"/>
                    <a:stretch>
                      <a:fillRect/>
                    </a:stretch>
                  </pic:blipFill>
                  <pic:spPr>
                    <a:xfrm>
                      <a:off x="0" y="0"/>
                      <a:ext cx="5669280" cy="2834640"/>
                    </a:xfrm>
                    <a:prstGeom prst="rect"/>
                  </pic:spPr>
                </pic:pic>
              </a:graphicData>
            </a:graphic>
          </wp:inline>
        </w:drawing>
      </w:r>
    </w:p>
    <w:p>
      <w:pPr>
        <w:spacing w:before="0" w:after="160"/>
        <w:jc w:val="center"/>
      </w:pPr>
      <w:r>
        <w:rPr>
          <w:rFonts w:ascii="Calibri" w:hAnsi="Calibri"/>
          <w:i/>
          <w:color w:val="64748B"/>
          <w:sz w:val="19"/>
        </w:rPr>
        <w:t>Figure 7: 300-DPI Publication Chart — Year-Month Fire Hotspot Counts and Dual-Axis Mean Fire Radiative Power (MW)</w:t>
      </w:r>
    </w:p>
    <w:p>
      <w:pPr>
        <w:pStyle w:val="Heading2"/>
        <w:keepNext/>
        <w:spacing w:before="280" w:after="80"/>
      </w:pPr>
      <w:r>
        <w:rPr>
          <w:rFonts w:ascii="Calibri" w:hAnsi="Calibri"/>
          <w:b/>
          <w:color w:val="1E293B"/>
          <w:sz w:val="27"/>
        </w:rPr>
        <w:t>Finding 3: 24-Hour UTC Diurnal Convective Cycle</w:t>
      </w:r>
    </w:p>
    <w:p>
      <w:pPr>
        <w:spacing w:before="0" w:after="120" w:line="276" w:lineRule="auto"/>
      </w:pPr>
      <w:r>
        <w:rPr>
          <w:rFonts w:ascii="Calibri" w:hAnsi="Calibri"/>
          <w:b/>
          <w:color w:val="0F172A"/>
          <w:sz w:val="22"/>
        </w:rPr>
        <w:t xml:space="preserve">Diurnal Solar Windows: </w:t>
      </w:r>
      <w:r>
        <w:rPr>
          <w:rFonts w:ascii="Calibri" w:hAnsi="Calibri"/>
          <w:i w:val="0"/>
          <w:color w:val="334155"/>
          <w:sz w:val="22"/>
        </w:rPr>
        <w:t>Member 2 parsed satellite acquisition timestamps (acq_time formatted as UTC HHMM integers) into discrete hourly bins (0 to 23 UTC). Global detections exhibit a dramatic, narrow diurnal peak:</w:t>
      </w:r>
    </w:p>
    <w:p>
      <w:pPr>
        <w:spacing w:before="0" w:after="120" w:line="276" w:lineRule="auto"/>
      </w:pPr>
      <w:r>
        <w:rPr>
          <w:rFonts w:ascii="Calibri" w:hAnsi="Calibri"/>
          <w:b/>
          <w:color w:val="0F172A"/>
          <w:sz w:val="22"/>
        </w:rPr>
        <w:t xml:space="preserve">• Hour 11:00 UTC: </w:t>
      </w:r>
      <w:r>
        <w:rPr>
          <w:rFonts w:ascii="Calibri" w:hAnsi="Calibri"/>
          <w:i w:val="0"/>
          <w:color w:val="334155"/>
          <w:sz w:val="22"/>
        </w:rPr>
        <w:t>1,525,521 detections (mean FRP: 10.06 MW).</w:t>
      </w:r>
    </w:p>
    <w:p>
      <w:pPr>
        <w:spacing w:before="0" w:after="120" w:line="276" w:lineRule="auto"/>
      </w:pPr>
      <w:r>
        <w:rPr>
          <w:rFonts w:ascii="Calibri" w:hAnsi="Calibri"/>
          <w:b/>
          <w:color w:val="0F172A"/>
          <w:sz w:val="22"/>
        </w:rPr>
        <w:t xml:space="preserve">• Hour 12:00 UTC: </w:t>
      </w:r>
      <w:r>
        <w:rPr>
          <w:rFonts w:ascii="Calibri" w:hAnsi="Calibri"/>
          <w:i w:val="0"/>
          <w:color w:val="334155"/>
          <w:sz w:val="22"/>
        </w:rPr>
        <w:t>1,330,823 detections (mean FRP: 9.11 MW). Combined, over 2.85 million fires (30.0% of the entire 9.5M dataset) occur in this 2-hour window!</w:t>
      </w:r>
    </w:p>
    <w:p>
      <w:pPr>
        <w:spacing w:before="0" w:after="120" w:line="276" w:lineRule="auto"/>
      </w:pPr>
      <w:r>
        <w:rPr>
          <w:rFonts w:ascii="Calibri" w:hAnsi="Calibri"/>
          <w:b/>
          <w:color w:val="0F172A"/>
          <w:sz w:val="22"/>
        </w:rPr>
        <w:t xml:space="preserve">• Secondary Morning Peak (06:00 UTC): </w:t>
      </w:r>
      <w:r>
        <w:rPr>
          <w:rFonts w:ascii="Calibri" w:hAnsi="Calibri"/>
          <w:i w:val="0"/>
          <w:color w:val="334155"/>
          <w:sz w:val="22"/>
        </w:rPr>
        <w:t>513,532 detections, capturing afternoon solar heating in East Asia and Australia.</w:t>
      </w:r>
    </w:p>
    <w:p>
      <w:pPr>
        <w:spacing w:before="0" w:after="120" w:line="276" w:lineRule="auto"/>
      </w:pPr>
      <w:r>
        <w:rPr>
          <w:rFonts w:ascii="Calibri" w:hAnsi="Calibri"/>
          <w:b/>
          <w:color w:val="0F172A"/>
          <w:sz w:val="22"/>
        </w:rPr>
        <w:t xml:space="preserve">• Quietest Observation Windows: </w:t>
      </w:r>
      <w:r>
        <w:rPr>
          <w:rFonts w:ascii="Calibri" w:hAnsi="Calibri"/>
          <w:i w:val="0"/>
          <w:color w:val="334155"/>
          <w:sz w:val="22"/>
        </w:rPr>
        <w:t>Hour 02:00 UTC (111,534) and Hour 09:00 UTC (109,108).</w:t>
      </w:r>
    </w:p>
    <w:tbl>
      <w:tblPr>
        <w:tblW w:type="auto" w:w="0"/>
        <w:jc w:val="center"/>
        <w:tblLook w:firstColumn="1" w:firstRow="1" w:lastColumn="0" w:lastRow="0" w:noHBand="0" w:noVBand="1" w:val="04A0"/>
      </w:tblPr>
      <w:tblGrid>
        <w:gridCol w:w="9936"/>
      </w:tblGrid>
      <w:tr>
        <w:tc>
          <w:tcPr>
            <w:tcW w:type="dxa" w:w="9936"/>
            <w:shd w:fill="F1F5F9"/>
            <w:tcBorders>
              <w:top w:val="none"/>
              <w:left w:val="single" w:sz="36" w:space="0" w:color="0B3D91"/>
              <w:bottom w:val="none"/>
              <w:right w:val="none"/>
            </w:tcBorders>
            <w:tcMar>
              <w:top w:w="140" w:type="dxa"/>
              <w:bottom w:w="140" w:type="dxa"/>
              <w:left w:w="200" w:type="dxa"/>
              <w:right w:w="200" w:type="dxa"/>
            </w:tcMar>
          </w:tcPr>
          <w:p>
            <w:pPr>
              <w:spacing w:before="0" w:after="0" w:line="276" w:lineRule="auto"/>
            </w:pPr>
            <w:r>
              <w:rPr>
                <w:rFonts w:ascii="Calibri" w:hAnsi="Calibri"/>
                <w:b/>
                <w:color w:val="0B3D91"/>
                <w:sz w:val="22"/>
              </w:rPr>
              <w:t>PHYSICAL SATELLITE LIMITATION &amp; ORBITAL DYNAMICS</w:t>
              <w:br/>
            </w:r>
            <w:r>
              <w:rPr>
                <w:rFonts w:ascii="Calibri" w:hAnsi="Calibri"/>
                <w:color w:val="1E293B"/>
                <w:sz w:val="20"/>
              </w:rPr>
              <w:t>Because the Suomi-NPP VIIRS satellite orbits in a sun-synchronous sun-tracking trajectory (local solar crossing time ~13:30 descending), UTC hours represent satellite overpass geometry across specific terrestrial longitudes. Hour 11:00-12:00 UTC corresponds to local afternoon convective solar heating across sub-Saharan Africa, the Mediterranean basin, and Eastern Europe, where peak surface temperatures and lowest relative humidity ignite explosive wildfire spread.</w:t>
            </w:r>
          </w:p>
        </w:tc>
      </w:tr>
    </w:tbl>
    <w:p>
      <w:pPr>
        <w:spacing w:after="80"/>
      </w:pPr>
    </w:p>
    <w:p>
      <w:pPr>
        <w:spacing w:before="160" w:after="60"/>
        <w:jc w:val="center"/>
      </w:pPr>
      <w:r>
        <w:drawing>
          <wp:inline xmlns:a="http://schemas.openxmlformats.org/drawingml/2006/main" xmlns:pic="http://schemas.openxmlformats.org/drawingml/2006/picture">
            <wp:extent cx="5669280" cy="721328"/>
            <wp:docPr id="8" name="Picture 8"/>
            <wp:cNvGraphicFramePr>
              <a:graphicFrameLocks noChangeAspect="1"/>
            </wp:cNvGraphicFramePr>
            <a:graphic>
              <a:graphicData uri="http://schemas.openxmlformats.org/drawingml/2006/picture">
                <pic:pic>
                  <pic:nvPicPr>
                    <pic:cNvPr id="0" name="fig8_diurnal_cycle.png"/>
                    <pic:cNvPicPr/>
                  </pic:nvPicPr>
                  <pic:blipFill>
                    <a:blip r:embed="rId16"/>
                    <a:stretch>
                      <a:fillRect/>
                    </a:stretch>
                  </pic:blipFill>
                  <pic:spPr>
                    <a:xfrm>
                      <a:off x="0" y="0"/>
                      <a:ext cx="5669280" cy="721328"/>
                    </a:xfrm>
                    <a:prstGeom prst="rect"/>
                  </pic:spPr>
                </pic:pic>
              </a:graphicData>
            </a:graphic>
          </wp:inline>
        </w:drawing>
      </w:r>
    </w:p>
    <w:p>
      <w:pPr>
        <w:spacing w:before="0" w:after="160"/>
        <w:jc w:val="center"/>
      </w:pPr>
      <w:r>
        <w:rPr>
          <w:rFonts w:ascii="Calibri" w:hAnsi="Calibri"/>
          <w:i/>
          <w:color w:val="64748B"/>
          <w:sz w:val="19"/>
        </w:rPr>
        <w:t>Figure 8: PySpark Terminal Output — Diurnal UTC Acquisition Cycle Breakdown and Orbital Explanation</w:t>
      </w:r>
    </w:p>
    <w:p>
      <w:pPr>
        <w:spacing w:before="160" w:after="60"/>
        <w:jc w:val="center"/>
      </w:pPr>
      <w:r>
        <w:drawing>
          <wp:inline xmlns:a="http://schemas.openxmlformats.org/drawingml/2006/main" xmlns:pic="http://schemas.openxmlformats.org/drawingml/2006/picture">
            <wp:extent cx="5669280" cy="2362200"/>
            <wp:docPr id="9" name="Picture 9"/>
            <wp:cNvGraphicFramePr>
              <a:graphicFrameLocks noChangeAspect="1"/>
            </wp:cNvGraphicFramePr>
            <a:graphic>
              <a:graphicData uri="http://schemas.openxmlformats.org/drawingml/2006/picture">
                <pic:pic>
                  <pic:nvPicPr>
                    <pic:cNvPr id="0" name="member2_hourly_distribution.png"/>
                    <pic:cNvPicPr/>
                  </pic:nvPicPr>
                  <pic:blipFill>
                    <a:blip r:embed="rId17"/>
                    <a:stretch>
                      <a:fillRect/>
                    </a:stretch>
                  </pic:blipFill>
                  <pic:spPr>
                    <a:xfrm>
                      <a:off x="0" y="0"/>
                      <a:ext cx="5669280" cy="2362200"/>
                    </a:xfrm>
                    <a:prstGeom prst="rect"/>
                  </pic:spPr>
                </pic:pic>
              </a:graphicData>
            </a:graphic>
          </wp:inline>
        </w:drawing>
      </w:r>
    </w:p>
    <w:p>
      <w:pPr>
        <w:spacing w:before="0" w:after="160"/>
        <w:jc w:val="center"/>
      </w:pPr>
      <w:r>
        <w:rPr>
          <w:rFonts w:ascii="Calibri" w:hAnsi="Calibri"/>
          <w:i/>
          <w:color w:val="64748B"/>
          <w:sz w:val="19"/>
        </w:rPr>
        <w:t>Figure 9: 300-DPI Publication Chart — Global 24-Hour UTC Diurnal Hotspot Distribution with Satellite Sun-Synchronous Windows</w:t>
      </w:r>
    </w:p>
    <w:p>
      <w:pPr>
        <w:pStyle w:val="Heading2"/>
        <w:keepNext/>
        <w:spacing w:before="280" w:after="80"/>
      </w:pPr>
      <w:r>
        <w:rPr>
          <w:rFonts w:ascii="Calibri" w:hAnsi="Calibri"/>
          <w:b/>
          <w:color w:val="1E293B"/>
          <w:sz w:val="27"/>
        </w:rPr>
        <w:t>Finding 4: Diurnal vs. Nocturnal Thermal Energetics</w:t>
      </w:r>
    </w:p>
    <w:p>
      <w:pPr>
        <w:spacing w:before="0" w:after="120" w:line="276" w:lineRule="auto"/>
      </w:pPr>
      <w:r>
        <w:rPr>
          <w:rFonts w:ascii="Calibri" w:hAnsi="Calibri"/>
          <w:b/>
          <w:color w:val="0F172A"/>
          <w:sz w:val="22"/>
        </w:rPr>
        <w:t xml:space="preserve">• Daytime Hotspots (D): </w:t>
      </w:r>
      <w:r>
        <w:rPr>
          <w:rFonts w:ascii="Calibri" w:hAnsi="Calibri"/>
          <w:i w:val="0"/>
          <w:color w:val="334155"/>
          <w:sz w:val="22"/>
        </w:rPr>
        <w:t>7,246,710 detections (76.19% share) | Mean FRP: 9.85 MW | Mean Brightness: 337.8 K.</w:t>
      </w:r>
    </w:p>
    <w:p>
      <w:pPr>
        <w:spacing w:before="0" w:after="120" w:line="276" w:lineRule="auto"/>
      </w:pPr>
      <w:r>
        <w:rPr>
          <w:rFonts w:ascii="Calibri" w:hAnsi="Calibri"/>
          <w:b/>
          <w:color w:val="0F172A"/>
          <w:sz w:val="22"/>
        </w:rPr>
        <w:t xml:space="preserve">• Nighttime Hotspots (N): </w:t>
      </w:r>
      <w:r>
        <w:rPr>
          <w:rFonts w:ascii="Calibri" w:hAnsi="Calibri"/>
          <w:i w:val="0"/>
          <w:color w:val="334155"/>
          <w:sz w:val="22"/>
        </w:rPr>
        <w:t>2,264,692 detections (23.81% share) | Mean FRP: 4.72 MW | Mean Brightness: 326.1 K.</w:t>
      </w:r>
    </w:p>
    <w:tbl>
      <w:tblPr>
        <w:tblW w:type="auto" w:w="0"/>
        <w:jc w:val="center"/>
        <w:tblLook w:firstColumn="1" w:firstRow="1" w:lastColumn="0" w:lastRow="0" w:noHBand="0" w:noVBand="1" w:val="04A0"/>
      </w:tblPr>
      <w:tblGrid>
        <w:gridCol w:w="9936"/>
      </w:tblGrid>
      <w:tr>
        <w:tc>
          <w:tcPr>
            <w:tcW w:type="dxa" w:w="9936"/>
            <w:shd w:fill="FFF7ED"/>
            <w:tcBorders>
              <w:top w:val="none"/>
              <w:left w:val="single" w:sz="36" w:space="0" w:color="C2410C"/>
              <w:bottom w:val="none"/>
              <w:right w:val="none"/>
            </w:tcBorders>
            <w:tcMar>
              <w:top w:w="140" w:type="dxa"/>
              <w:bottom w:w="140" w:type="dxa"/>
              <w:left w:w="200" w:type="dxa"/>
              <w:right w:w="200" w:type="dxa"/>
            </w:tcMar>
          </w:tcPr>
          <w:p>
            <w:pPr>
              <w:spacing w:before="0" w:after="0" w:line="276" w:lineRule="auto"/>
            </w:pPr>
            <w:r>
              <w:rPr>
                <w:rFonts w:ascii="Calibri" w:hAnsi="Calibri"/>
                <w:b/>
                <w:color w:val="C2410C"/>
                <w:sz w:val="22"/>
              </w:rPr>
              <w:t>OPERATIONAL INTELLIGENCE PROTOCOL (WARD DISPATCH RULE)</w:t>
              <w:br/>
            </w:r>
            <w:r>
              <w:rPr>
                <w:rFonts w:ascii="Calibri" w:hAnsi="Calibri"/>
                <w:color w:val="1E293B"/>
                <w:sz w:val="20"/>
              </w:rPr>
              <w:t>Under standard atmospheric conditions, nocturnal relative humidity recovery and surface cooling dampens wildfire combustion. Consequently, any nocturnal detection exhibiting an FRP &gt;= 30 MW represents an uncontrollable crown fire that has breached atmospheric temperature inversions. Member 2 formulated this empirical threshold into the WARD Decision Engine, requiring immediate Level-1 emergency aerial and night-vision water bomber escalation.</w:t>
            </w:r>
          </w:p>
        </w:tc>
      </w:tr>
    </w:tbl>
    <w:p>
      <w:pPr>
        <w:spacing w:after="80"/>
      </w:pPr>
    </w:p>
    <w:p>
      <w:pPr>
        <w:spacing w:before="160" w:after="60"/>
        <w:jc w:val="center"/>
      </w:pPr>
      <w:r>
        <w:drawing>
          <wp:inline xmlns:a="http://schemas.openxmlformats.org/drawingml/2006/main" xmlns:pic="http://schemas.openxmlformats.org/drawingml/2006/picture">
            <wp:extent cx="5669280" cy="488248"/>
            <wp:docPr id="10" name="Picture 10"/>
            <wp:cNvGraphicFramePr>
              <a:graphicFrameLocks noChangeAspect="1"/>
            </wp:cNvGraphicFramePr>
            <a:graphic>
              <a:graphicData uri="http://schemas.openxmlformats.org/drawingml/2006/picture">
                <pic:pic>
                  <pic:nvPicPr>
                    <pic:cNvPr id="0" name="fig10_day_night.png"/>
                    <pic:cNvPicPr/>
                  </pic:nvPicPr>
                  <pic:blipFill>
                    <a:blip r:embed="rId18"/>
                    <a:stretch>
                      <a:fillRect/>
                    </a:stretch>
                  </pic:blipFill>
                  <pic:spPr>
                    <a:xfrm>
                      <a:off x="0" y="0"/>
                      <a:ext cx="5669280" cy="488248"/>
                    </a:xfrm>
                    <a:prstGeom prst="rect"/>
                  </pic:spPr>
                </pic:pic>
              </a:graphicData>
            </a:graphic>
          </wp:inline>
        </w:drawing>
      </w:r>
    </w:p>
    <w:p>
      <w:pPr>
        <w:spacing w:before="0" w:after="160"/>
        <w:jc w:val="center"/>
      </w:pPr>
      <w:r>
        <w:rPr>
          <w:rFonts w:ascii="Calibri" w:hAnsi="Calibri"/>
          <w:i/>
          <w:color w:val="64748B"/>
          <w:sz w:val="19"/>
        </w:rPr>
        <w:t>Figure 10: PySpark Terminal Output — Day vs. Night Ratio and WARD Nocturnal Triage Rule Formulation</w:t>
      </w:r>
    </w:p>
    <w:p>
      <w:pPr>
        <w:spacing w:before="160" w:after="60"/>
        <w:jc w:val="center"/>
      </w:pPr>
      <w:r>
        <w:drawing>
          <wp:inline xmlns:a="http://schemas.openxmlformats.org/drawingml/2006/main" xmlns:pic="http://schemas.openxmlformats.org/drawingml/2006/picture">
            <wp:extent cx="5669280" cy="2024743"/>
            <wp:docPr id="11" name="Picture 11"/>
            <wp:cNvGraphicFramePr>
              <a:graphicFrameLocks noChangeAspect="1"/>
            </wp:cNvGraphicFramePr>
            <a:graphic>
              <a:graphicData uri="http://schemas.openxmlformats.org/drawingml/2006/picture">
                <pic:pic>
                  <pic:nvPicPr>
                    <pic:cNvPr id="0" name="member2_day_vs_night.png"/>
                    <pic:cNvPicPr/>
                  </pic:nvPicPr>
                  <pic:blipFill>
                    <a:blip r:embed="rId19"/>
                    <a:stretch>
                      <a:fillRect/>
                    </a:stretch>
                  </pic:blipFill>
                  <pic:spPr>
                    <a:xfrm>
                      <a:off x="0" y="0"/>
                      <a:ext cx="5669280" cy="2024743"/>
                    </a:xfrm>
                    <a:prstGeom prst="rect"/>
                  </pic:spPr>
                </pic:pic>
              </a:graphicData>
            </a:graphic>
          </wp:inline>
        </w:drawing>
      </w:r>
    </w:p>
    <w:p>
      <w:pPr>
        <w:spacing w:before="0" w:after="160"/>
        <w:jc w:val="center"/>
      </w:pPr>
      <w:r>
        <w:rPr>
          <w:rFonts w:ascii="Calibri" w:hAnsi="Calibri"/>
          <w:i/>
          <w:color w:val="64748B"/>
          <w:sz w:val="19"/>
        </w:rPr>
        <w:t>Figure 11: 300-DPI Publication Chart — Day vs. Night Proportion Ratio and Mean Fire Radiative Power (MW) Contrast</w:t>
      </w:r>
    </w:p>
    <w:p>
      <w:pPr>
        <w:pStyle w:val="Heading2"/>
        <w:keepNext/>
        <w:spacing w:before="280" w:after="80"/>
      </w:pPr>
      <w:r>
        <w:rPr>
          <w:rFonts w:ascii="Calibri" w:hAnsi="Calibri"/>
          <w:b/>
          <w:color w:val="1E293B"/>
          <w:sz w:val="27"/>
        </w:rPr>
        <w:t>Finding 5: Frequency vs. Radiative Energy Disparity</w:t>
      </w:r>
    </w:p>
    <w:p>
      <w:pPr>
        <w:spacing w:before="0" w:after="120" w:line="276" w:lineRule="auto"/>
      </w:pPr>
      <w:r>
        <w:rPr>
          <w:rFonts w:ascii="Calibri" w:hAnsi="Calibri"/>
          <w:b/>
          <w:color w:val="0F172A"/>
          <w:sz w:val="22"/>
        </w:rPr>
        <w:t xml:space="preserve">Core Analytical Insight: </w:t>
      </w:r>
      <w:r>
        <w:rPr>
          <w:rFonts w:ascii="Calibri" w:hAnsi="Calibri"/>
          <w:i w:val="0"/>
          <w:color w:val="334155"/>
          <w:sz w:val="22"/>
        </w:rPr>
        <w:t>A fundamental data science insight derived by Member 2 is that raw fire count is a deceptive operational metric. Ranking calendar dates by event frequency prioritizes January dates characterized by hundreds of thousands of low-energy agricultural stubble burns (~7.9 MW). In contrast, ranking dates by cumulative thermal energy prioritizes October and June dates dominated by destructive boreal crown fires (avg 10.1 - 10.3 MW). Fire dispatch algorithms must prioritize Total Fire Radiative Power (MW) over raw frequency to prevent misallocation of emergency aircraft.</w:t>
      </w:r>
    </w:p>
    <w:p>
      <w:pPr>
        <w:spacing w:before="160" w:after="60"/>
        <w:jc w:val="center"/>
      </w:pPr>
      <w:r>
        <w:drawing>
          <wp:inline xmlns:a="http://schemas.openxmlformats.org/drawingml/2006/main" xmlns:pic="http://schemas.openxmlformats.org/drawingml/2006/picture">
            <wp:extent cx="5669280" cy="2024743"/>
            <wp:docPr id="12" name="Picture 12"/>
            <wp:cNvGraphicFramePr>
              <a:graphicFrameLocks noChangeAspect="1"/>
            </wp:cNvGraphicFramePr>
            <a:graphic>
              <a:graphicData uri="http://schemas.openxmlformats.org/drawingml/2006/picture">
                <pic:pic>
                  <pic:nvPicPr>
                    <pic:cNvPr id="0" name="member2_top_dates_comparison.png"/>
                    <pic:cNvPicPr/>
                  </pic:nvPicPr>
                  <pic:blipFill>
                    <a:blip r:embed="rId20"/>
                    <a:stretch>
                      <a:fillRect/>
                    </a:stretch>
                  </pic:blipFill>
                  <pic:spPr>
                    <a:xfrm>
                      <a:off x="0" y="0"/>
                      <a:ext cx="5669280" cy="2024743"/>
                    </a:xfrm>
                    <a:prstGeom prst="rect"/>
                  </pic:spPr>
                </pic:pic>
              </a:graphicData>
            </a:graphic>
          </wp:inline>
        </w:drawing>
      </w:r>
    </w:p>
    <w:p>
      <w:pPr>
        <w:spacing w:before="0" w:after="160"/>
        <w:jc w:val="center"/>
      </w:pPr>
      <w:r>
        <w:rPr>
          <w:rFonts w:ascii="Calibri" w:hAnsi="Calibri"/>
          <w:i/>
          <w:color w:val="64748B"/>
          <w:sz w:val="19"/>
        </w:rPr>
        <w:t>Figure 12: 300-DPI Publication Chart — Frequency vs. Radiative Energy Discrepancy Across Top Global Wildfire Dates</w:t>
      </w:r>
    </w:p>
    <w:p>
      <w:pPr>
        <w:pStyle w:val="Heading1"/>
        <w:keepNext/>
        <w:spacing w:before="280" w:after="80"/>
      </w:pPr>
      <w:r>
        <w:rPr>
          <w:rFonts w:ascii="Calibri" w:hAnsi="Calibri"/>
          <w:b/>
          <w:color w:val="0B3D91"/>
          <w:sz w:val="36"/>
        </w:rPr>
        <w:t>4. Machine Learning &amp; Concept Drift Validation (Temporal Holdout)</w:t>
      </w:r>
    </w:p>
    <w:p>
      <w:pPr>
        <w:spacing w:before="0" w:after="120" w:line="276" w:lineRule="auto"/>
      </w:pPr>
      <w:r>
        <w:rPr>
          <w:rFonts w:ascii="Calibri" w:hAnsi="Calibri"/>
          <w:b/>
          <w:color w:val="0F172A"/>
          <w:sz w:val="22"/>
        </w:rPr>
        <w:t xml:space="preserve">The Data Leakage Vulnerability: </w:t>
      </w:r>
      <w:r>
        <w:rPr>
          <w:rFonts w:ascii="Calibri" w:hAnsi="Calibri"/>
          <w:i w:val="0"/>
          <w:color w:val="334155"/>
          <w:sz w:val="22"/>
        </w:rPr>
        <w:t>Standard machine learning pipelines evaluate performance by randomly shuffling data into an 80% train / 20% test split. In time-series and environmental telemetry, this introduces severe Temporal Data Leakage: future atmospheric conditions, fuel moisture, and seasonal weather patterns leak into the training partition, creating artificial, overly optimistic accuracy scores that fail catastrophically in production.</w:t>
      </w:r>
    </w:p>
    <w:p>
      <w:pPr>
        <w:spacing w:before="0" w:after="120" w:line="276" w:lineRule="auto"/>
      </w:pPr>
      <w:r>
        <w:rPr>
          <w:rFonts w:ascii="Calibri" w:hAnsi="Calibri"/>
          <w:b/>
          <w:color w:val="0F172A"/>
          <w:sz w:val="22"/>
        </w:rPr>
        <w:t xml:space="preserve">Member 2 Leakage-Safe Architecture: </w:t>
      </w:r>
      <w:r>
        <w:rPr>
          <w:rFonts w:ascii="Calibri" w:hAnsi="Calibri"/>
          <w:i w:val="0"/>
          <w:color w:val="334155"/>
          <w:sz w:val="22"/>
        </w:rPr>
        <w:t>To resolve this flaw, Member 2 engineered a Forward-Chronological Holdout Split. The model was trained strictly on historical observations up to October 15, 2025 (160,000 samples) and evaluated forward in time on subsequent future observations from October 16, 2025 through June 30, 2026 (40,000 samples). FRP was strictly excluded from feature inputs to ensure zero target leakage.</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1419"/>
        <w:gridCol w:w="1419"/>
        <w:gridCol w:w="1419"/>
        <w:gridCol w:w="1419"/>
        <w:gridCol w:w="1419"/>
        <w:gridCol w:w="1419"/>
        <w:gridCol w:w="1419"/>
      </w:tblGrid>
      <w:tr>
        <w:tc>
          <w:tcPr>
            <w:tcW w:type="dxa" w:w="2592"/>
            <w:shd w:fill="0B3D91"/>
            <w:tcMar>
              <w:top w:w="120" w:type="dxa"/>
              <w:bottom w:w="120" w:type="dxa"/>
              <w:left w:w="120" w:type="dxa"/>
              <w:right w:w="120" w:type="dxa"/>
            </w:tcMar>
          </w:tcPr>
          <w:p>
            <w:pPr>
              <w:spacing w:before="0" w:after="0"/>
              <w:jc w:val="left"/>
            </w:pPr>
            <w:r>
              <w:rPr>
                <w:rFonts w:ascii="Calibri" w:hAnsi="Calibri"/>
                <w:b/>
                <w:color w:val="FFFFFF"/>
                <w:sz w:val="19"/>
              </w:rPr>
              <w:t>Model Architecture</w:t>
            </w:r>
          </w:p>
        </w:tc>
        <w:tc>
          <w:tcPr>
            <w:tcW w:type="dxa" w:w="2016"/>
            <w:shd w:fill="0B3D91"/>
            <w:tcMar>
              <w:top w:w="120" w:type="dxa"/>
              <w:bottom w:w="120" w:type="dxa"/>
              <w:left w:w="120" w:type="dxa"/>
              <w:right w:w="120" w:type="dxa"/>
            </w:tcMar>
          </w:tcPr>
          <w:p>
            <w:pPr>
              <w:spacing w:before="0" w:after="0"/>
              <w:jc w:val="left"/>
            </w:pPr>
            <w:r>
              <w:rPr>
                <w:rFonts w:ascii="Calibri" w:hAnsi="Calibri"/>
                <w:b/>
                <w:color w:val="FFFFFF"/>
                <w:sz w:val="19"/>
              </w:rPr>
              <w:t>Target Variable</w:t>
            </w:r>
          </w:p>
        </w:tc>
        <w:tc>
          <w:tcPr>
            <w:tcW w:type="dxa" w:w="2304"/>
            <w:shd w:fill="0B3D91"/>
            <w:tcMar>
              <w:top w:w="120" w:type="dxa"/>
              <w:bottom w:w="120" w:type="dxa"/>
              <w:left w:w="120" w:type="dxa"/>
              <w:right w:w="120" w:type="dxa"/>
            </w:tcMar>
          </w:tcPr>
          <w:p>
            <w:pPr>
              <w:spacing w:before="0" w:after="0"/>
              <w:jc w:val="left"/>
            </w:pPr>
            <w:r>
              <w:rPr>
                <w:rFonts w:ascii="Calibri" w:hAnsi="Calibri"/>
                <w:b/>
                <w:color w:val="FFFFFF"/>
                <w:sz w:val="19"/>
              </w:rPr>
              <w:t>Evaluation Strategy</w:t>
            </w:r>
          </w:p>
        </w:tc>
        <w:tc>
          <w:tcPr>
            <w:tcW w:type="dxa" w:w="1008"/>
            <w:shd w:fill="0B3D91"/>
            <w:tcMar>
              <w:top w:w="120" w:type="dxa"/>
              <w:bottom w:w="120" w:type="dxa"/>
              <w:left w:w="120" w:type="dxa"/>
              <w:right w:w="120" w:type="dxa"/>
            </w:tcMar>
          </w:tcPr>
          <w:p>
            <w:pPr>
              <w:spacing w:before="0" w:after="0"/>
              <w:jc w:val="center"/>
            </w:pPr>
            <w:r>
              <w:rPr>
                <w:rFonts w:ascii="Calibri" w:hAnsi="Calibri"/>
                <w:b/>
                <w:color w:val="FFFFFF"/>
                <w:sz w:val="19"/>
              </w:rPr>
              <w:t>Accuracy</w:t>
            </w:r>
          </w:p>
        </w:tc>
        <w:tc>
          <w:tcPr>
            <w:tcW w:type="dxa" w:w="1008"/>
            <w:shd w:fill="0B3D91"/>
            <w:tcMar>
              <w:top w:w="120" w:type="dxa"/>
              <w:bottom w:w="120" w:type="dxa"/>
              <w:left w:w="120" w:type="dxa"/>
              <w:right w:w="120" w:type="dxa"/>
            </w:tcMar>
          </w:tcPr>
          <w:p>
            <w:pPr>
              <w:spacing w:before="0" w:after="0"/>
              <w:jc w:val="center"/>
            </w:pPr>
            <w:r>
              <w:rPr>
                <w:rFonts w:ascii="Calibri" w:hAnsi="Calibri"/>
                <w:b/>
                <w:color w:val="FFFFFF"/>
                <w:sz w:val="19"/>
              </w:rPr>
              <w:t>Weighted F1</w:t>
            </w:r>
          </w:p>
        </w:tc>
        <w:tc>
          <w:tcPr>
            <w:tcW w:type="dxa" w:w="1152"/>
            <w:shd w:fill="0B3D91"/>
            <w:tcMar>
              <w:top w:w="120" w:type="dxa"/>
              <w:bottom w:w="120" w:type="dxa"/>
              <w:left w:w="120" w:type="dxa"/>
              <w:right w:w="120" w:type="dxa"/>
            </w:tcMar>
          </w:tcPr>
          <w:p>
            <w:pPr>
              <w:spacing w:before="0" w:after="0"/>
              <w:jc w:val="center"/>
            </w:pPr>
            <w:r>
              <w:rPr>
                <w:rFonts w:ascii="Calibri" w:hAnsi="Calibri"/>
                <w:b/>
                <w:color w:val="FFFFFF"/>
                <w:sz w:val="19"/>
              </w:rPr>
              <w:t>ROC-AUC</w:t>
            </w:r>
          </w:p>
        </w:tc>
        <w:tc>
          <w:tcPr>
            <w:tcW w:type="dxa" w:w="1008"/>
            <w:shd w:fill="0B3D91"/>
            <w:tcMar>
              <w:top w:w="120" w:type="dxa"/>
              <w:bottom w:w="120" w:type="dxa"/>
              <w:left w:w="120" w:type="dxa"/>
              <w:right w:w="120" w:type="dxa"/>
            </w:tcMar>
          </w:tcPr>
          <w:p>
            <w:pPr>
              <w:spacing w:before="0" w:after="0"/>
              <w:jc w:val="left"/>
            </w:pPr>
            <w:r>
              <w:rPr>
                <w:rFonts w:ascii="Calibri" w:hAnsi="Calibri"/>
                <w:b/>
                <w:color w:val="FFFFFF"/>
                <w:sz w:val="19"/>
              </w:rPr>
              <w:t>Latency</w:t>
            </w:r>
          </w:p>
        </w:tc>
      </w:tr>
      <w:tr>
        <w:tc>
          <w:tcPr>
            <w:tcW w:type="dxa" w:w="2592"/>
            <w:shd w:fill="FFFFFF"/>
            <w:tcMar>
              <w:top w:w="90" w:type="dxa"/>
              <w:bottom w:w="90" w:type="dxa"/>
              <w:left w:w="120" w:type="dxa"/>
              <w:right w:w="120" w:type="dxa"/>
            </w:tcMar>
          </w:tcPr>
          <w:p>
            <w:pPr>
              <w:spacing w:before="0" w:after="0"/>
              <w:jc w:val="left"/>
            </w:pPr>
            <w:r>
              <w:rPr>
                <w:rFonts w:ascii="Calibri" w:hAnsi="Calibri"/>
                <w:b/>
                <w:color w:val="1E293B"/>
                <w:sz w:val="18"/>
              </w:rPr>
              <w:t>Random Forest Classifier</w:t>
            </w:r>
          </w:p>
        </w:tc>
        <w:tc>
          <w:tcPr>
            <w:tcW w:type="dxa" w:w="2016"/>
            <w:shd w:fill="FFFFFF"/>
            <w:tcMar>
              <w:top w:w="90" w:type="dxa"/>
              <w:bottom w:w="90" w:type="dxa"/>
              <w:left w:w="120" w:type="dxa"/>
              <w:right w:w="120" w:type="dxa"/>
            </w:tcMar>
          </w:tcPr>
          <w:p>
            <w:pPr>
              <w:spacing w:before="0" w:after="0"/>
              <w:jc w:val="left"/>
            </w:pPr>
            <w:r>
              <w:rPr>
                <w:rFonts w:ascii="Calibri" w:hAnsi="Calibri"/>
                <w:color w:val="1E293B"/>
                <w:sz w:val="18"/>
              </w:rPr>
              <w:t>Severity Tier (4-Class)</w:t>
            </w:r>
          </w:p>
        </w:tc>
        <w:tc>
          <w:tcPr>
            <w:tcW w:type="dxa" w:w="2304"/>
            <w:shd w:fill="FFFFFF"/>
            <w:tcMar>
              <w:top w:w="90" w:type="dxa"/>
              <w:bottom w:w="90" w:type="dxa"/>
              <w:left w:w="120" w:type="dxa"/>
              <w:right w:w="120" w:type="dxa"/>
            </w:tcMar>
          </w:tcPr>
          <w:p>
            <w:pPr>
              <w:spacing w:before="0" w:after="0"/>
              <w:jc w:val="left"/>
            </w:pPr>
            <w:r>
              <w:rPr>
                <w:rFonts w:ascii="Calibri" w:hAnsi="Calibri"/>
                <w:color w:val="1E293B"/>
                <w:sz w:val="18"/>
              </w:rPr>
              <w:t>Random Stratified Split (80/20)</w:t>
            </w:r>
          </w:p>
        </w:tc>
        <w:tc>
          <w:tcPr>
            <w:tcW w:type="dxa" w:w="1008"/>
            <w:shd w:fill="FFFFFF"/>
            <w:tcMar>
              <w:top w:w="90" w:type="dxa"/>
              <w:bottom w:w="90" w:type="dxa"/>
              <w:left w:w="120" w:type="dxa"/>
              <w:right w:w="120" w:type="dxa"/>
            </w:tcMar>
          </w:tcPr>
          <w:p>
            <w:pPr>
              <w:spacing w:before="0" w:after="0"/>
              <w:jc w:val="center"/>
            </w:pPr>
            <w:r>
              <w:rPr>
                <w:rFonts w:ascii="Calibri" w:hAnsi="Calibri"/>
                <w:color w:val="1E293B"/>
                <w:sz w:val="18"/>
              </w:rPr>
              <w:t>74.72%</w:t>
            </w:r>
          </w:p>
        </w:tc>
        <w:tc>
          <w:tcPr>
            <w:tcW w:type="dxa" w:w="1008"/>
            <w:shd w:fill="FFFFFF"/>
            <w:tcMar>
              <w:top w:w="90" w:type="dxa"/>
              <w:bottom w:w="90" w:type="dxa"/>
              <w:left w:w="120" w:type="dxa"/>
              <w:right w:w="120" w:type="dxa"/>
            </w:tcMar>
          </w:tcPr>
          <w:p>
            <w:pPr>
              <w:spacing w:before="0" w:after="0"/>
              <w:jc w:val="center"/>
            </w:pPr>
            <w:r>
              <w:rPr>
                <w:rFonts w:ascii="Calibri" w:hAnsi="Calibri"/>
                <w:color w:val="1E293B"/>
                <w:sz w:val="18"/>
              </w:rPr>
              <w:t>0.7309</w:t>
            </w:r>
          </w:p>
        </w:tc>
        <w:tc>
          <w:tcPr>
            <w:tcW w:type="dxa" w:w="1152"/>
            <w:shd w:fill="FFFFFF"/>
            <w:tcMar>
              <w:top w:w="90" w:type="dxa"/>
              <w:bottom w:w="90" w:type="dxa"/>
              <w:left w:w="120" w:type="dxa"/>
              <w:right w:w="120" w:type="dxa"/>
            </w:tcMar>
          </w:tcPr>
          <w:p>
            <w:pPr>
              <w:spacing w:before="0" w:after="0"/>
              <w:jc w:val="center"/>
            </w:pPr>
            <w:r>
              <w:rPr>
                <w:rFonts w:ascii="Calibri" w:hAnsi="Calibri"/>
                <w:color w:val="1E293B"/>
                <w:sz w:val="18"/>
              </w:rPr>
              <w:t>0.8742</w:t>
            </w:r>
          </w:p>
        </w:tc>
        <w:tc>
          <w:tcPr>
            <w:tcW w:type="dxa" w:w="1008"/>
            <w:shd w:fill="FFFFFF"/>
            <w:tcMar>
              <w:top w:w="90" w:type="dxa"/>
              <w:bottom w:w="90" w:type="dxa"/>
              <w:left w:w="120" w:type="dxa"/>
              <w:right w:w="120" w:type="dxa"/>
            </w:tcMar>
          </w:tcPr>
          <w:p>
            <w:pPr>
              <w:spacing w:before="0" w:after="0"/>
              <w:jc w:val="right"/>
            </w:pPr>
            <w:r>
              <w:rPr>
                <w:rFonts w:ascii="Calibri" w:hAnsi="Calibri"/>
                <w:color w:val="1E293B"/>
                <w:sz w:val="18"/>
              </w:rPr>
              <w:t>0.08 ms</w:t>
            </w:r>
          </w:p>
        </w:tc>
      </w:tr>
      <w:tr>
        <w:tc>
          <w:tcPr>
            <w:tcW w:type="dxa" w:w="2592"/>
            <w:shd w:fill="F8FAFC"/>
            <w:tcMar>
              <w:top w:w="90" w:type="dxa"/>
              <w:bottom w:w="90" w:type="dxa"/>
              <w:left w:w="120" w:type="dxa"/>
              <w:right w:w="120" w:type="dxa"/>
            </w:tcMar>
          </w:tcPr>
          <w:p>
            <w:pPr>
              <w:spacing w:before="0" w:after="0"/>
              <w:jc w:val="left"/>
            </w:pPr>
            <w:r>
              <w:rPr>
                <w:rFonts w:ascii="Calibri" w:hAnsi="Calibri"/>
                <w:b/>
                <w:color w:val="1E293B"/>
                <w:sz w:val="18"/>
              </w:rPr>
              <w:t>HistGradientBoosting</w:t>
            </w:r>
          </w:p>
        </w:tc>
        <w:tc>
          <w:tcPr>
            <w:tcW w:type="dxa" w:w="2016"/>
            <w:shd w:fill="F8FAFC"/>
            <w:tcMar>
              <w:top w:w="90" w:type="dxa"/>
              <w:bottom w:w="90" w:type="dxa"/>
              <w:left w:w="120" w:type="dxa"/>
              <w:right w:w="120" w:type="dxa"/>
            </w:tcMar>
          </w:tcPr>
          <w:p>
            <w:pPr>
              <w:spacing w:before="0" w:after="0"/>
              <w:jc w:val="left"/>
            </w:pPr>
            <w:r>
              <w:rPr>
                <w:rFonts w:ascii="Calibri" w:hAnsi="Calibri"/>
                <w:color w:val="1E293B"/>
                <w:sz w:val="18"/>
              </w:rPr>
              <w:t>Severity Tier (4-Class)</w:t>
            </w:r>
          </w:p>
        </w:tc>
        <w:tc>
          <w:tcPr>
            <w:tcW w:type="dxa" w:w="2304"/>
            <w:shd w:fill="F8FAFC"/>
            <w:tcMar>
              <w:top w:w="90" w:type="dxa"/>
              <w:bottom w:w="90" w:type="dxa"/>
              <w:left w:w="120" w:type="dxa"/>
              <w:right w:w="120" w:type="dxa"/>
            </w:tcMar>
          </w:tcPr>
          <w:p>
            <w:pPr>
              <w:spacing w:before="0" w:after="0"/>
              <w:jc w:val="left"/>
            </w:pPr>
            <w:r>
              <w:rPr>
                <w:rFonts w:ascii="Calibri" w:hAnsi="Calibri"/>
                <w:color w:val="1E293B"/>
                <w:sz w:val="18"/>
              </w:rPr>
              <w:t>Random Stratified Split (80/20)</w:t>
            </w:r>
          </w:p>
        </w:tc>
        <w:tc>
          <w:tcPr>
            <w:tcW w:type="dxa" w:w="1008"/>
            <w:shd w:fill="F8FAFC"/>
            <w:tcMar>
              <w:top w:w="90" w:type="dxa"/>
              <w:bottom w:w="90" w:type="dxa"/>
              <w:left w:w="120" w:type="dxa"/>
              <w:right w:w="120" w:type="dxa"/>
            </w:tcMar>
          </w:tcPr>
          <w:p>
            <w:pPr>
              <w:spacing w:before="0" w:after="0"/>
              <w:jc w:val="center"/>
            </w:pPr>
            <w:r>
              <w:rPr>
                <w:rFonts w:ascii="Calibri" w:hAnsi="Calibri"/>
                <w:color w:val="1E293B"/>
                <w:sz w:val="18"/>
              </w:rPr>
              <w:t>74.72%</w:t>
            </w:r>
          </w:p>
        </w:tc>
        <w:tc>
          <w:tcPr>
            <w:tcW w:type="dxa" w:w="1008"/>
            <w:shd w:fill="F8FAFC"/>
            <w:tcMar>
              <w:top w:w="90" w:type="dxa"/>
              <w:bottom w:w="90" w:type="dxa"/>
              <w:left w:w="120" w:type="dxa"/>
              <w:right w:w="120" w:type="dxa"/>
            </w:tcMar>
          </w:tcPr>
          <w:p>
            <w:pPr>
              <w:spacing w:before="0" w:after="0"/>
              <w:jc w:val="center"/>
            </w:pPr>
            <w:r>
              <w:rPr>
                <w:rFonts w:ascii="Calibri" w:hAnsi="Calibri"/>
                <w:color w:val="1E293B"/>
                <w:sz w:val="18"/>
              </w:rPr>
              <w:t>0.7297</w:t>
            </w:r>
          </w:p>
        </w:tc>
        <w:tc>
          <w:tcPr>
            <w:tcW w:type="dxa" w:w="1152"/>
            <w:shd w:fill="F8FAFC"/>
            <w:tcMar>
              <w:top w:w="90" w:type="dxa"/>
              <w:bottom w:w="90" w:type="dxa"/>
              <w:left w:w="120" w:type="dxa"/>
              <w:right w:w="120" w:type="dxa"/>
            </w:tcMar>
          </w:tcPr>
          <w:p>
            <w:pPr>
              <w:spacing w:before="0" w:after="0"/>
              <w:jc w:val="center"/>
            </w:pPr>
            <w:r>
              <w:rPr>
                <w:rFonts w:ascii="Calibri" w:hAnsi="Calibri"/>
                <w:color w:val="1E293B"/>
                <w:sz w:val="18"/>
              </w:rPr>
              <w:t>0.8748</w:t>
            </w:r>
          </w:p>
        </w:tc>
        <w:tc>
          <w:tcPr>
            <w:tcW w:type="dxa" w:w="1008"/>
            <w:shd w:fill="F8FAFC"/>
            <w:tcMar>
              <w:top w:w="90" w:type="dxa"/>
              <w:bottom w:w="90" w:type="dxa"/>
              <w:left w:w="120" w:type="dxa"/>
              <w:right w:w="120" w:type="dxa"/>
            </w:tcMar>
          </w:tcPr>
          <w:p>
            <w:pPr>
              <w:spacing w:before="0" w:after="0"/>
              <w:jc w:val="right"/>
            </w:pPr>
            <w:r>
              <w:rPr>
                <w:rFonts w:ascii="Calibri" w:hAnsi="Calibri"/>
                <w:color w:val="1E293B"/>
                <w:sz w:val="18"/>
              </w:rPr>
              <w:t>0.04 ms</w:t>
            </w:r>
          </w:p>
        </w:tc>
      </w:tr>
      <w:tr>
        <w:tc>
          <w:tcPr>
            <w:tcW w:type="dxa" w:w="2592"/>
            <w:shd w:fill="FFFFFF"/>
            <w:tcMar>
              <w:top w:w="90" w:type="dxa"/>
              <w:bottom w:w="90" w:type="dxa"/>
              <w:left w:w="120" w:type="dxa"/>
              <w:right w:w="120" w:type="dxa"/>
            </w:tcMar>
          </w:tcPr>
          <w:p>
            <w:pPr>
              <w:spacing w:before="0" w:after="0"/>
              <w:jc w:val="left"/>
            </w:pPr>
            <w:r>
              <w:rPr>
                <w:rFonts w:ascii="Calibri" w:hAnsi="Calibri"/>
                <w:b/>
                <w:color w:val="1E293B"/>
                <w:sz w:val="18"/>
              </w:rPr>
              <w:t>Random Forest (Temporal)</w:t>
            </w:r>
          </w:p>
        </w:tc>
        <w:tc>
          <w:tcPr>
            <w:tcW w:type="dxa" w:w="2016"/>
            <w:shd w:fill="FFFFFF"/>
            <w:tcMar>
              <w:top w:w="90" w:type="dxa"/>
              <w:bottom w:w="90" w:type="dxa"/>
              <w:left w:w="120" w:type="dxa"/>
              <w:right w:w="120" w:type="dxa"/>
            </w:tcMar>
          </w:tcPr>
          <w:p>
            <w:pPr>
              <w:spacing w:before="0" w:after="0"/>
              <w:jc w:val="left"/>
            </w:pPr>
            <w:r>
              <w:rPr>
                <w:rFonts w:ascii="Calibri" w:hAnsi="Calibri"/>
                <w:color w:val="1E293B"/>
                <w:sz w:val="18"/>
              </w:rPr>
              <w:t>Severity Tier (4-Class)</w:t>
            </w:r>
          </w:p>
        </w:tc>
        <w:tc>
          <w:tcPr>
            <w:tcW w:type="dxa" w:w="2304"/>
            <w:shd w:fill="FFFFFF"/>
            <w:tcMar>
              <w:top w:w="90" w:type="dxa"/>
              <w:bottom w:w="90" w:type="dxa"/>
              <w:left w:w="120" w:type="dxa"/>
              <w:right w:w="120" w:type="dxa"/>
            </w:tcMar>
          </w:tcPr>
          <w:p>
            <w:pPr>
              <w:spacing w:before="0" w:after="0"/>
              <w:jc w:val="left"/>
            </w:pPr>
            <w:r>
              <w:rPr>
                <w:rFonts w:ascii="Calibri" w:hAnsi="Calibri"/>
                <w:color w:val="1E293B"/>
                <w:sz w:val="18"/>
              </w:rPr>
              <w:t>Forward Chronological Split</w:t>
            </w:r>
          </w:p>
        </w:tc>
        <w:tc>
          <w:tcPr>
            <w:tcW w:type="dxa" w:w="1008"/>
            <w:shd w:fill="FFFFFF"/>
            <w:tcMar>
              <w:top w:w="90" w:type="dxa"/>
              <w:bottom w:w="90" w:type="dxa"/>
              <w:left w:w="120" w:type="dxa"/>
              <w:right w:w="120" w:type="dxa"/>
            </w:tcMar>
          </w:tcPr>
          <w:p>
            <w:pPr>
              <w:spacing w:before="0" w:after="0"/>
              <w:jc w:val="center"/>
            </w:pPr>
            <w:r>
              <w:rPr>
                <w:rFonts w:ascii="Calibri" w:hAnsi="Calibri"/>
                <w:color w:val="1E293B"/>
                <w:sz w:val="18"/>
              </w:rPr>
              <w:t>71.19%</w:t>
            </w:r>
          </w:p>
        </w:tc>
        <w:tc>
          <w:tcPr>
            <w:tcW w:type="dxa" w:w="1008"/>
            <w:shd w:fill="FFFFFF"/>
            <w:tcMar>
              <w:top w:w="90" w:type="dxa"/>
              <w:bottom w:w="90" w:type="dxa"/>
              <w:left w:w="120" w:type="dxa"/>
              <w:right w:w="120" w:type="dxa"/>
            </w:tcMar>
          </w:tcPr>
          <w:p>
            <w:pPr>
              <w:spacing w:before="0" w:after="0"/>
              <w:jc w:val="center"/>
            </w:pPr>
            <w:r>
              <w:rPr>
                <w:rFonts w:ascii="Calibri" w:hAnsi="Calibri"/>
                <w:color w:val="1E293B"/>
                <w:sz w:val="18"/>
              </w:rPr>
              <w:t>0.6868</w:t>
            </w:r>
          </w:p>
        </w:tc>
        <w:tc>
          <w:tcPr>
            <w:tcW w:type="dxa" w:w="1152"/>
            <w:shd w:fill="FFFFFF"/>
            <w:tcMar>
              <w:top w:w="90" w:type="dxa"/>
              <w:bottom w:w="90" w:type="dxa"/>
              <w:left w:w="120" w:type="dxa"/>
              <w:right w:w="120" w:type="dxa"/>
            </w:tcMar>
          </w:tcPr>
          <w:p>
            <w:pPr>
              <w:spacing w:before="0" w:after="0"/>
              <w:jc w:val="center"/>
            </w:pPr>
            <w:r>
              <w:rPr>
                <w:rFonts w:ascii="Calibri" w:hAnsi="Calibri"/>
                <w:color w:val="1E293B"/>
                <w:sz w:val="18"/>
              </w:rPr>
              <w:t>0.8415</w:t>
            </w:r>
          </w:p>
        </w:tc>
        <w:tc>
          <w:tcPr>
            <w:tcW w:type="dxa" w:w="1008"/>
            <w:shd w:fill="FFFFFF"/>
            <w:tcMar>
              <w:top w:w="90" w:type="dxa"/>
              <w:bottom w:w="90" w:type="dxa"/>
              <w:left w:w="120" w:type="dxa"/>
              <w:right w:w="120" w:type="dxa"/>
            </w:tcMar>
          </w:tcPr>
          <w:p>
            <w:pPr>
              <w:spacing w:before="0" w:after="0"/>
              <w:jc w:val="right"/>
            </w:pPr>
            <w:r>
              <w:rPr>
                <w:rFonts w:ascii="Calibri" w:hAnsi="Calibri"/>
                <w:color w:val="1E293B"/>
                <w:sz w:val="18"/>
              </w:rPr>
              <w:t>0.002 ms</w:t>
            </w:r>
          </w:p>
        </w:tc>
      </w:tr>
      <w:tr>
        <w:tc>
          <w:tcPr>
            <w:tcW w:type="dxa" w:w="2592"/>
            <w:shd w:fill="F8FAFC"/>
            <w:tcMar>
              <w:top w:w="90" w:type="dxa"/>
              <w:bottom w:w="90" w:type="dxa"/>
              <w:left w:w="120" w:type="dxa"/>
              <w:right w:w="120" w:type="dxa"/>
            </w:tcMar>
          </w:tcPr>
          <w:p>
            <w:pPr>
              <w:spacing w:before="0" w:after="0"/>
              <w:jc w:val="left"/>
            </w:pPr>
            <w:r>
              <w:rPr>
                <w:rFonts w:ascii="Calibri" w:hAnsi="Calibri"/>
                <w:b/>
                <w:color w:val="1E293B"/>
                <w:sz w:val="18"/>
              </w:rPr>
              <w:t>Random Forest Regressor</w:t>
            </w:r>
          </w:p>
        </w:tc>
        <w:tc>
          <w:tcPr>
            <w:tcW w:type="dxa" w:w="2016"/>
            <w:shd w:fill="F8FAFC"/>
            <w:tcMar>
              <w:top w:w="90" w:type="dxa"/>
              <w:bottom w:w="90" w:type="dxa"/>
              <w:left w:w="120" w:type="dxa"/>
              <w:right w:w="120" w:type="dxa"/>
            </w:tcMar>
          </w:tcPr>
          <w:p>
            <w:pPr>
              <w:spacing w:before="0" w:after="0"/>
              <w:jc w:val="left"/>
            </w:pPr>
            <w:r>
              <w:rPr>
                <w:rFonts w:ascii="Calibri" w:hAnsi="Calibri"/>
                <w:color w:val="1E293B"/>
                <w:sz w:val="18"/>
              </w:rPr>
              <w:t>Continuous FRP (MW)</w:t>
            </w:r>
          </w:p>
        </w:tc>
        <w:tc>
          <w:tcPr>
            <w:tcW w:type="dxa" w:w="2304"/>
            <w:shd w:fill="F8FAFC"/>
            <w:tcMar>
              <w:top w:w="90" w:type="dxa"/>
              <w:bottom w:w="90" w:type="dxa"/>
              <w:left w:w="120" w:type="dxa"/>
              <w:right w:w="120" w:type="dxa"/>
            </w:tcMar>
          </w:tcPr>
          <w:p>
            <w:pPr>
              <w:spacing w:before="0" w:after="0"/>
              <w:jc w:val="left"/>
            </w:pPr>
            <w:r>
              <w:rPr>
                <w:rFonts w:ascii="Calibri" w:hAnsi="Calibri"/>
                <w:color w:val="1E293B"/>
                <w:sz w:val="18"/>
              </w:rPr>
              <w:t>Continuous Energy Prediction</w:t>
            </w:r>
          </w:p>
        </w:tc>
        <w:tc>
          <w:tcPr>
            <w:tcW w:type="dxa" w:w="1008"/>
            <w:shd w:fill="F8FAFC"/>
            <w:tcMar>
              <w:top w:w="90" w:type="dxa"/>
              <w:bottom w:w="90" w:type="dxa"/>
              <w:left w:w="120" w:type="dxa"/>
              <w:right w:w="120" w:type="dxa"/>
            </w:tcMar>
          </w:tcPr>
          <w:p>
            <w:pPr>
              <w:spacing w:before="0" w:after="0"/>
              <w:jc w:val="center"/>
            </w:pPr>
            <w:r>
              <w:rPr>
                <w:rFonts w:ascii="Calibri" w:hAnsi="Calibri"/>
                <w:color w:val="1E293B"/>
                <w:sz w:val="18"/>
              </w:rPr>
              <w:t>—</w:t>
            </w:r>
          </w:p>
        </w:tc>
        <w:tc>
          <w:tcPr>
            <w:tcW w:type="dxa" w:w="1008"/>
            <w:shd w:fill="F8FAFC"/>
            <w:tcMar>
              <w:top w:w="90" w:type="dxa"/>
              <w:bottom w:w="90" w:type="dxa"/>
              <w:left w:w="120" w:type="dxa"/>
              <w:right w:w="120" w:type="dxa"/>
            </w:tcMar>
          </w:tcPr>
          <w:p>
            <w:pPr>
              <w:spacing w:before="0" w:after="0"/>
              <w:jc w:val="center"/>
            </w:pPr>
            <w:r>
              <w:rPr>
                <w:rFonts w:ascii="Calibri" w:hAnsi="Calibri"/>
                <w:color w:val="1E293B"/>
                <w:sz w:val="18"/>
              </w:rPr>
              <w:t>—</w:t>
            </w:r>
          </w:p>
        </w:tc>
        <w:tc>
          <w:tcPr>
            <w:tcW w:type="dxa" w:w="1152"/>
            <w:shd w:fill="F8FAFC"/>
            <w:tcMar>
              <w:top w:w="90" w:type="dxa"/>
              <w:bottom w:w="90" w:type="dxa"/>
              <w:left w:w="120" w:type="dxa"/>
              <w:right w:w="120" w:type="dxa"/>
            </w:tcMar>
          </w:tcPr>
          <w:p>
            <w:pPr>
              <w:spacing w:before="0" w:after="0"/>
              <w:jc w:val="center"/>
            </w:pPr>
            <w:r>
              <w:rPr>
                <w:rFonts w:ascii="Calibri" w:hAnsi="Calibri"/>
                <w:color w:val="1E293B"/>
                <w:sz w:val="18"/>
              </w:rPr>
              <w:t>R² = 0.4736</w:t>
            </w:r>
          </w:p>
        </w:tc>
        <w:tc>
          <w:tcPr>
            <w:tcW w:type="dxa" w:w="1008"/>
            <w:shd w:fill="F8FAFC"/>
            <w:tcMar>
              <w:top w:w="90" w:type="dxa"/>
              <w:bottom w:w="90" w:type="dxa"/>
              <w:left w:w="120" w:type="dxa"/>
              <w:right w:w="120" w:type="dxa"/>
            </w:tcMar>
          </w:tcPr>
          <w:p>
            <w:pPr>
              <w:spacing w:before="0" w:after="0"/>
              <w:jc w:val="right"/>
            </w:pPr>
            <w:r>
              <w:rPr>
                <w:rFonts w:ascii="Calibri" w:hAnsi="Calibri"/>
                <w:color w:val="1E293B"/>
                <w:sz w:val="18"/>
              </w:rPr>
              <w:t>RMSE: 13.45 MW</w:t>
            </w:r>
          </w:p>
        </w:tc>
      </w:tr>
    </w:tbl>
    <w:p>
      <w:pPr>
        <w:spacing w:after="120"/>
      </w:pPr>
    </w:p>
    <w:tbl>
      <w:tblPr>
        <w:tblW w:type="auto" w:w="0"/>
        <w:jc w:val="center"/>
        <w:tblLook w:firstColumn="1" w:firstRow="1" w:lastColumn="0" w:lastRow="0" w:noHBand="0" w:noVBand="1" w:val="04A0"/>
      </w:tblPr>
      <w:tblGrid>
        <w:gridCol w:w="9936"/>
      </w:tblGrid>
      <w:tr>
        <w:tc>
          <w:tcPr>
            <w:tcW w:type="dxa" w:w="9936"/>
            <w:shd w:fill="F1F5F9"/>
            <w:tcBorders>
              <w:top w:val="none"/>
              <w:left w:val="single" w:sz="36" w:space="0" w:color="0B3D91"/>
              <w:bottom w:val="none"/>
              <w:right w:val="none"/>
            </w:tcBorders>
            <w:tcMar>
              <w:top w:w="140" w:type="dxa"/>
              <w:bottom w:w="140" w:type="dxa"/>
              <w:left w:w="200" w:type="dxa"/>
              <w:right w:w="200" w:type="dxa"/>
            </w:tcMar>
          </w:tcPr>
          <w:p>
            <w:pPr>
              <w:spacing w:before="0" w:after="0" w:line="276" w:lineRule="auto"/>
            </w:pPr>
            <w:r>
              <w:rPr>
                <w:rFonts w:ascii="Calibri" w:hAnsi="Calibri"/>
                <w:b/>
                <w:color w:val="0B3D91"/>
                <w:sz w:val="22"/>
              </w:rPr>
              <w:t>DATA SCIENCE FINDING: SEASONAL CONCEPT DRIFT PROVEN</w:t>
              <w:br/>
            </w:r>
            <w:r>
              <w:rPr>
                <w:rFonts w:ascii="Calibri" w:hAnsi="Calibri"/>
                <w:color w:val="1E293B"/>
                <w:sz w:val="20"/>
              </w:rPr>
              <w:t>Evaluating the model strictly on subsequent chronological dates results in a modest 3.53% drop in accuracy (from 74.72% to 71.19%), while maintaining strong discriminative ability (ROC-AUC of 0.8415). This drop proves that seasonal domain shift occurs in wildfire telemetry as vegetation dryness and regional climate shift across seasons. This provides rigorous empirical evidence that production wildfire AI models must incorporate seasonal retraining cycles.</w:t>
            </w:r>
          </w:p>
        </w:tc>
      </w:tr>
    </w:tbl>
    <w:p>
      <w:pPr>
        <w:spacing w:after="80"/>
      </w:pPr>
    </w:p>
    <w:p>
      <w:pPr>
        <w:spacing w:before="160" w:after="60"/>
        <w:jc w:val="center"/>
      </w:pPr>
      <w:r>
        <w:drawing>
          <wp:inline xmlns:a="http://schemas.openxmlformats.org/drawingml/2006/main" xmlns:pic="http://schemas.openxmlformats.org/drawingml/2006/picture">
            <wp:extent cx="5669280" cy="1344139"/>
            <wp:docPr id="13" name="Picture 13"/>
            <wp:cNvGraphicFramePr>
              <a:graphicFrameLocks noChangeAspect="1"/>
            </wp:cNvGraphicFramePr>
            <a:graphic>
              <a:graphicData uri="http://schemas.openxmlformats.org/drawingml/2006/picture">
                <pic:pic>
                  <pic:nvPicPr>
                    <pic:cNvPr id="0" name="fig13_ml_benchmark.png"/>
                    <pic:cNvPicPr/>
                  </pic:nvPicPr>
                  <pic:blipFill>
                    <a:blip r:embed="rId21"/>
                    <a:stretch>
                      <a:fillRect/>
                    </a:stretch>
                  </pic:blipFill>
                  <pic:spPr>
                    <a:xfrm>
                      <a:off x="0" y="0"/>
                      <a:ext cx="5669280" cy="1344139"/>
                    </a:xfrm>
                    <a:prstGeom prst="rect"/>
                  </pic:spPr>
                </pic:pic>
              </a:graphicData>
            </a:graphic>
          </wp:inline>
        </w:drawing>
      </w:r>
    </w:p>
    <w:p>
      <w:pPr>
        <w:spacing w:before="0" w:after="160"/>
        <w:jc w:val="center"/>
      </w:pPr>
      <w:r>
        <w:rPr>
          <w:rFonts w:ascii="Calibri" w:hAnsi="Calibri"/>
          <w:i/>
          <w:color w:val="64748B"/>
          <w:sz w:val="19"/>
        </w:rPr>
        <w:t>Figure 13: PySpark &amp; Scikit-Learn Terminal Benchmark — Machine Learning Performance Table and Forward-Chronological Holdout Split</w:t>
      </w:r>
    </w:p>
    <w:p>
      <w:pPr>
        <w:spacing w:before="160" w:after="60"/>
        <w:jc w:val="center"/>
      </w:pPr>
      <w:r>
        <w:drawing>
          <wp:inline xmlns:a="http://schemas.openxmlformats.org/drawingml/2006/main" xmlns:pic="http://schemas.openxmlformats.org/drawingml/2006/picture">
            <wp:extent cx="5669280" cy="1316030"/>
            <wp:docPr id="14" name="Picture 14"/>
            <wp:cNvGraphicFramePr>
              <a:graphicFrameLocks noChangeAspect="1"/>
            </wp:cNvGraphicFramePr>
            <a:graphic>
              <a:graphicData uri="http://schemas.openxmlformats.org/drawingml/2006/picture">
                <pic:pic>
                  <pic:nvPicPr>
                    <pic:cNvPr id="0" name="fig14_ml_holdout_log.png"/>
                    <pic:cNvPicPr/>
                  </pic:nvPicPr>
                  <pic:blipFill>
                    <a:blip r:embed="rId22"/>
                    <a:stretch>
                      <a:fillRect/>
                    </a:stretch>
                  </pic:blipFill>
                  <pic:spPr>
                    <a:xfrm>
                      <a:off x="0" y="0"/>
                      <a:ext cx="5669280" cy="1316030"/>
                    </a:xfrm>
                    <a:prstGeom prst="rect"/>
                  </pic:spPr>
                </pic:pic>
              </a:graphicData>
            </a:graphic>
          </wp:inline>
        </w:drawing>
      </w:r>
    </w:p>
    <w:p>
      <w:pPr>
        <w:spacing w:before="0" w:after="160"/>
        <w:jc w:val="center"/>
      </w:pPr>
      <w:r>
        <w:rPr>
          <w:rFonts w:ascii="Calibri" w:hAnsi="Calibri"/>
          <w:i/>
          <w:color w:val="64748B"/>
          <w:sz w:val="19"/>
        </w:rPr>
        <w:t>Figure 14: Terminal Execution Logs of train_and_evaluate.py Demonstrating Temporal Validation and Latency Benchmarks</w:t>
      </w:r>
    </w:p>
    <w:p>
      <w:pPr>
        <w:spacing w:before="160" w:after="60"/>
        <w:jc w:val="center"/>
      </w:pPr>
      <w:r>
        <w:drawing>
          <wp:inline xmlns:a="http://schemas.openxmlformats.org/drawingml/2006/main" xmlns:pic="http://schemas.openxmlformats.org/drawingml/2006/picture">
            <wp:extent cx="5669280" cy="4859383"/>
            <wp:docPr id="15" name="Picture 15"/>
            <wp:cNvGraphicFramePr>
              <a:graphicFrameLocks noChangeAspect="1"/>
            </wp:cNvGraphicFramePr>
            <a:graphic>
              <a:graphicData uri="http://schemas.openxmlformats.org/drawingml/2006/picture">
                <pic:pic>
                  <pic:nvPicPr>
                    <pic:cNvPr id="0" name="ml_confusion_matrix.png"/>
                    <pic:cNvPicPr/>
                  </pic:nvPicPr>
                  <pic:blipFill>
                    <a:blip r:embed="rId23"/>
                    <a:stretch>
                      <a:fillRect/>
                    </a:stretch>
                  </pic:blipFill>
                  <pic:spPr>
                    <a:xfrm>
                      <a:off x="0" y="0"/>
                      <a:ext cx="5669280" cy="4859383"/>
                    </a:xfrm>
                    <a:prstGeom prst="rect"/>
                  </pic:spPr>
                </pic:pic>
              </a:graphicData>
            </a:graphic>
          </wp:inline>
        </w:drawing>
      </w:r>
    </w:p>
    <w:p>
      <w:pPr>
        <w:spacing w:before="0" w:after="160"/>
        <w:jc w:val="center"/>
      </w:pPr>
      <w:r>
        <w:rPr>
          <w:rFonts w:ascii="Calibri" w:hAnsi="Calibri"/>
          <w:i/>
          <w:color w:val="64748B"/>
          <w:sz w:val="19"/>
        </w:rPr>
        <w:t>Figure 15: 4-Tier Fire Severity Confusion Matrix Across Low, Moderate, High, and Extreme Tiers</w:t>
      </w:r>
    </w:p>
    <w:p>
      <w:pPr>
        <w:spacing w:before="160" w:after="60"/>
        <w:jc w:val="center"/>
      </w:pPr>
      <w:r>
        <w:drawing>
          <wp:inline xmlns:a="http://schemas.openxmlformats.org/drawingml/2006/main" xmlns:pic="http://schemas.openxmlformats.org/drawingml/2006/picture">
            <wp:extent cx="5669280" cy="4251960"/>
            <wp:docPr id="16" name="Picture 16"/>
            <wp:cNvGraphicFramePr>
              <a:graphicFrameLocks noChangeAspect="1"/>
            </wp:cNvGraphicFramePr>
            <a:graphic>
              <a:graphicData uri="http://schemas.openxmlformats.org/drawingml/2006/picture">
                <pic:pic>
                  <pic:nvPicPr>
                    <pic:cNvPr id="0" name="ml_roc_curve.png"/>
                    <pic:cNvPicPr/>
                  </pic:nvPicPr>
                  <pic:blipFill>
                    <a:blip r:embed="rId24"/>
                    <a:stretch>
                      <a:fillRect/>
                    </a:stretch>
                  </pic:blipFill>
                  <pic:spPr>
                    <a:xfrm>
                      <a:off x="0" y="0"/>
                      <a:ext cx="5669280" cy="4251960"/>
                    </a:xfrm>
                    <a:prstGeom prst="rect"/>
                  </pic:spPr>
                </pic:pic>
              </a:graphicData>
            </a:graphic>
          </wp:inline>
        </w:drawing>
      </w:r>
    </w:p>
    <w:p>
      <w:pPr>
        <w:spacing w:before="0" w:after="160"/>
        <w:jc w:val="center"/>
      </w:pPr>
      <w:r>
        <w:rPr>
          <w:rFonts w:ascii="Calibri" w:hAnsi="Calibri"/>
          <w:i/>
          <w:color w:val="64748B"/>
          <w:sz w:val="19"/>
        </w:rPr>
        <w:t>Figure 16: Multiclass ROC-AUC Curve Across All 4 Wildfire Severity Tiers</w:t>
      </w:r>
    </w:p>
    <w:p>
      <w:pPr>
        <w:pStyle w:val="Heading1"/>
        <w:keepNext/>
        <w:spacing w:before="280" w:after="80"/>
      </w:pPr>
      <w:r>
        <w:rPr>
          <w:rFonts w:ascii="Calibri" w:hAnsi="Calibri"/>
          <w:b/>
          <w:color w:val="0B3D91"/>
          <w:sz w:val="36"/>
        </w:rPr>
        <w:t>5. Full-Stack System Integration &amp; Repository Artifacts</w:t>
      </w:r>
    </w:p>
    <w:p>
      <w:pPr>
        <w:spacing w:before="0" w:after="120" w:line="276" w:lineRule="auto"/>
      </w:pPr>
      <w:r>
        <w:rPr>
          <w:rFonts w:ascii="Calibri" w:hAnsi="Calibri"/>
          <w:b/>
          <w:color w:val="0F172A"/>
          <w:sz w:val="22"/>
        </w:rPr>
        <w:t xml:space="preserve">Production Integration: </w:t>
      </w:r>
      <w:r>
        <w:rPr>
          <w:rFonts w:ascii="Calibri" w:hAnsi="Calibri"/>
          <w:i w:val="0"/>
          <w:color w:val="334155"/>
          <w:sz w:val="22"/>
        </w:rPr>
        <w:t>Member 2's data science and PySpark deliverables are seamlessly operationalized across the FireWatch repository architecture:</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2484"/>
        <w:gridCol w:w="2484"/>
        <w:gridCol w:w="2484"/>
        <w:gridCol w:w="2484"/>
      </w:tblGrid>
      <w:tr>
        <w:tc>
          <w:tcPr>
            <w:tcW w:type="dxa" w:w="2160"/>
            <w:shd w:fill="0B3D91"/>
            <w:tcMar>
              <w:top w:w="120" w:type="dxa"/>
              <w:bottom w:w="120" w:type="dxa"/>
              <w:left w:w="120" w:type="dxa"/>
              <w:right w:w="120" w:type="dxa"/>
            </w:tcMar>
          </w:tcPr>
          <w:p>
            <w:pPr>
              <w:spacing w:before="0" w:after="0"/>
              <w:jc w:val="left"/>
            </w:pPr>
            <w:r>
              <w:rPr>
                <w:rFonts w:ascii="Calibri" w:hAnsi="Calibri"/>
                <w:b/>
                <w:color w:val="FFFFFF"/>
                <w:sz w:val="19"/>
              </w:rPr>
              <w:t>Pipeline Component</w:t>
            </w:r>
          </w:p>
        </w:tc>
        <w:tc>
          <w:tcPr>
            <w:tcW w:type="dxa" w:w="2880"/>
            <w:shd w:fill="0B3D91"/>
            <w:tcMar>
              <w:top w:w="120" w:type="dxa"/>
              <w:bottom w:w="120" w:type="dxa"/>
              <w:left w:w="120" w:type="dxa"/>
              <w:right w:w="120" w:type="dxa"/>
            </w:tcMar>
          </w:tcPr>
          <w:p>
            <w:pPr>
              <w:spacing w:before="0" w:after="0"/>
              <w:jc w:val="left"/>
            </w:pPr>
            <w:r>
              <w:rPr>
                <w:rFonts w:ascii="Calibri" w:hAnsi="Calibri"/>
                <w:b/>
                <w:color w:val="FFFFFF"/>
                <w:sz w:val="19"/>
              </w:rPr>
              <w:t>Source Code File</w:t>
            </w:r>
          </w:p>
        </w:tc>
        <w:tc>
          <w:tcPr>
            <w:tcW w:type="dxa" w:w="2592"/>
            <w:shd w:fill="0B3D91"/>
            <w:tcMar>
              <w:top w:w="120" w:type="dxa"/>
              <w:bottom w:w="120" w:type="dxa"/>
              <w:left w:w="120" w:type="dxa"/>
              <w:right w:w="120" w:type="dxa"/>
            </w:tcMar>
          </w:tcPr>
          <w:p>
            <w:pPr>
              <w:spacing w:before="0" w:after="0"/>
              <w:jc w:val="left"/>
            </w:pPr>
            <w:r>
              <w:rPr>
                <w:rFonts w:ascii="Calibri" w:hAnsi="Calibri"/>
                <w:b/>
                <w:color w:val="FFFFFF"/>
                <w:sz w:val="19"/>
              </w:rPr>
              <w:t>Primary Libraries / Tools</w:t>
            </w:r>
          </w:p>
        </w:tc>
        <w:tc>
          <w:tcPr>
            <w:tcW w:type="dxa" w:w="2736"/>
            <w:shd w:fill="0B3D91"/>
            <w:tcMar>
              <w:top w:w="120" w:type="dxa"/>
              <w:bottom w:w="120" w:type="dxa"/>
              <w:left w:w="120" w:type="dxa"/>
              <w:right w:w="120" w:type="dxa"/>
            </w:tcMar>
          </w:tcPr>
          <w:p>
            <w:pPr>
              <w:spacing w:before="0" w:after="0"/>
              <w:jc w:val="left"/>
            </w:pPr>
            <w:r>
              <w:rPr>
                <w:rFonts w:ascii="Calibri" w:hAnsi="Calibri"/>
                <w:b/>
                <w:color w:val="FFFFFF"/>
                <w:sz w:val="19"/>
              </w:rPr>
              <w:t>Production Output / Artifact</w:t>
            </w:r>
          </w:p>
        </w:tc>
      </w:tr>
      <w:tr>
        <w:tc>
          <w:tcPr>
            <w:tcW w:type="dxa" w:w="2160"/>
            <w:shd w:fill="FFFFFF"/>
            <w:tcMar>
              <w:top w:w="90" w:type="dxa"/>
              <w:bottom w:w="90" w:type="dxa"/>
              <w:left w:w="120" w:type="dxa"/>
              <w:right w:w="120" w:type="dxa"/>
            </w:tcMar>
          </w:tcPr>
          <w:p>
            <w:pPr>
              <w:spacing w:before="0" w:after="0"/>
              <w:jc w:val="left"/>
            </w:pPr>
            <w:r>
              <w:rPr>
                <w:rFonts w:ascii="Calibri" w:hAnsi="Calibri"/>
                <w:b/>
                <w:color w:val="1E293B"/>
                <w:sz w:val="18"/>
              </w:rPr>
              <w:t>PySpark Temporal Engine</w:t>
            </w:r>
          </w:p>
        </w:tc>
        <w:tc>
          <w:tcPr>
            <w:tcW w:type="dxa" w:w="2880"/>
            <w:shd w:fill="FFFFFF"/>
            <w:tcMar>
              <w:top w:w="90" w:type="dxa"/>
              <w:bottom w:w="90" w:type="dxa"/>
              <w:left w:w="120" w:type="dxa"/>
              <w:right w:w="120" w:type="dxa"/>
            </w:tcMar>
          </w:tcPr>
          <w:p>
            <w:pPr>
              <w:spacing w:before="0" w:after="0"/>
              <w:jc w:val="left"/>
            </w:pPr>
            <w:r>
              <w:rPr>
                <w:rFonts w:ascii="Calibri" w:hAnsi="Calibri"/>
                <w:color w:val="1E293B"/>
                <w:sz w:val="18"/>
              </w:rPr>
              <w:t>member2_temporal_analysis.py</w:t>
            </w:r>
          </w:p>
        </w:tc>
        <w:tc>
          <w:tcPr>
            <w:tcW w:type="dxa" w:w="2592"/>
            <w:shd w:fill="FFFFFF"/>
            <w:tcMar>
              <w:top w:w="90" w:type="dxa"/>
              <w:bottom w:w="90" w:type="dxa"/>
              <w:left w:w="120" w:type="dxa"/>
              <w:right w:w="120" w:type="dxa"/>
            </w:tcMar>
          </w:tcPr>
          <w:p>
            <w:pPr>
              <w:spacing w:before="0" w:after="0"/>
              <w:jc w:val="left"/>
            </w:pPr>
            <w:r>
              <w:rPr>
                <w:rFonts w:ascii="Calibri" w:hAnsi="Calibri"/>
                <w:color w:val="1E293B"/>
                <w:sz w:val="18"/>
              </w:rPr>
              <w:t>Apache PySpark 4.2.0, Java 21, Spark SQL</w:t>
            </w:r>
          </w:p>
        </w:tc>
        <w:tc>
          <w:tcPr>
            <w:tcW w:type="dxa" w:w="2736"/>
            <w:shd w:fill="FFFFFF"/>
            <w:tcMar>
              <w:top w:w="90" w:type="dxa"/>
              <w:bottom w:w="90" w:type="dxa"/>
              <w:left w:w="120" w:type="dxa"/>
              <w:right w:w="120" w:type="dxa"/>
            </w:tcMar>
          </w:tcPr>
          <w:p>
            <w:pPr>
              <w:spacing w:before="0" w:after="0"/>
              <w:jc w:val="left"/>
            </w:pPr>
            <w:r>
              <w:rPr>
                <w:rFonts w:ascii="Calibri" w:hAnsi="Calibri"/>
                <w:color w:val="1E293B"/>
                <w:sz w:val="18"/>
              </w:rPr>
              <w:t>7 distributed queries, Daily &amp; Monthly aggregations</w:t>
            </w:r>
          </w:p>
        </w:tc>
      </w:tr>
      <w:tr>
        <w:tc>
          <w:tcPr>
            <w:tcW w:type="dxa" w:w="2160"/>
            <w:shd w:fill="F8FAFC"/>
            <w:tcMar>
              <w:top w:w="90" w:type="dxa"/>
              <w:bottom w:w="90" w:type="dxa"/>
              <w:left w:w="120" w:type="dxa"/>
              <w:right w:w="120" w:type="dxa"/>
            </w:tcMar>
          </w:tcPr>
          <w:p>
            <w:pPr>
              <w:spacing w:before="0" w:after="0"/>
              <w:jc w:val="left"/>
            </w:pPr>
            <w:r>
              <w:rPr>
                <w:rFonts w:ascii="Calibri" w:hAnsi="Calibri"/>
                <w:b/>
                <w:color w:val="1E293B"/>
                <w:sz w:val="18"/>
              </w:rPr>
              <w:t>300-DPI Publication Charts</w:t>
            </w:r>
          </w:p>
        </w:tc>
        <w:tc>
          <w:tcPr>
            <w:tcW w:type="dxa" w:w="2880"/>
            <w:shd w:fill="F8FAFC"/>
            <w:tcMar>
              <w:top w:w="90" w:type="dxa"/>
              <w:bottom w:w="90" w:type="dxa"/>
              <w:left w:w="120" w:type="dxa"/>
              <w:right w:w="120" w:type="dxa"/>
            </w:tcMar>
          </w:tcPr>
          <w:p>
            <w:pPr>
              <w:spacing w:before="0" w:after="0"/>
              <w:jc w:val="left"/>
            </w:pPr>
            <w:r>
              <w:rPr>
                <w:rFonts w:ascii="Calibri" w:hAnsi="Calibri"/>
                <w:color w:val="1E293B"/>
                <w:sz w:val="18"/>
              </w:rPr>
              <w:t>generate_member2_visualizations.py</w:t>
            </w:r>
          </w:p>
        </w:tc>
        <w:tc>
          <w:tcPr>
            <w:tcW w:type="dxa" w:w="2592"/>
            <w:shd w:fill="F8FAFC"/>
            <w:tcMar>
              <w:top w:w="90" w:type="dxa"/>
              <w:bottom w:w="90" w:type="dxa"/>
              <w:left w:w="120" w:type="dxa"/>
              <w:right w:w="120" w:type="dxa"/>
            </w:tcMar>
          </w:tcPr>
          <w:p>
            <w:pPr>
              <w:spacing w:before="0" w:after="0"/>
              <w:jc w:val="left"/>
            </w:pPr>
            <w:r>
              <w:rPr>
                <w:rFonts w:ascii="Calibri" w:hAnsi="Calibri"/>
                <w:color w:val="1E293B"/>
                <w:sz w:val="18"/>
              </w:rPr>
              <w:t>Matplotlib 3.11, Seaborn, Pandas</w:t>
            </w:r>
          </w:p>
        </w:tc>
        <w:tc>
          <w:tcPr>
            <w:tcW w:type="dxa" w:w="2736"/>
            <w:shd w:fill="F8FAFC"/>
            <w:tcMar>
              <w:top w:w="90" w:type="dxa"/>
              <w:bottom w:w="90" w:type="dxa"/>
              <w:left w:w="120" w:type="dxa"/>
              <w:right w:w="120" w:type="dxa"/>
            </w:tcMar>
          </w:tcPr>
          <w:p>
            <w:pPr>
              <w:spacing w:before="0" w:after="0"/>
              <w:jc w:val="left"/>
            </w:pPr>
            <w:r>
              <w:rPr>
                <w:rFonts w:ascii="Calibri" w:hAnsi="Calibri"/>
                <w:color w:val="1E293B"/>
                <w:sz w:val="18"/>
              </w:rPr>
              <w:t>5 high-resolution figures in outputs/charts/</w:t>
            </w:r>
          </w:p>
        </w:tc>
      </w:tr>
      <w:tr>
        <w:tc>
          <w:tcPr>
            <w:tcW w:type="dxa" w:w="2160"/>
            <w:shd w:fill="FFFFFF"/>
            <w:tcMar>
              <w:top w:w="90" w:type="dxa"/>
              <w:bottom w:w="90" w:type="dxa"/>
              <w:left w:w="120" w:type="dxa"/>
              <w:right w:w="120" w:type="dxa"/>
            </w:tcMar>
          </w:tcPr>
          <w:p>
            <w:pPr>
              <w:spacing w:before="0" w:after="0"/>
              <w:jc w:val="left"/>
            </w:pPr>
            <w:r>
              <w:rPr>
                <w:rFonts w:ascii="Calibri" w:hAnsi="Calibri"/>
                <w:b/>
                <w:color w:val="1E293B"/>
                <w:sz w:val="18"/>
              </w:rPr>
              <w:t>Automated Test Suite</w:t>
            </w:r>
          </w:p>
        </w:tc>
        <w:tc>
          <w:tcPr>
            <w:tcW w:type="dxa" w:w="2880"/>
            <w:shd w:fill="FFFFFF"/>
            <w:tcMar>
              <w:top w:w="90" w:type="dxa"/>
              <w:bottom w:w="90" w:type="dxa"/>
              <w:left w:w="120" w:type="dxa"/>
              <w:right w:w="120" w:type="dxa"/>
            </w:tcMar>
          </w:tcPr>
          <w:p>
            <w:pPr>
              <w:spacing w:before="0" w:after="0"/>
              <w:jc w:val="left"/>
            </w:pPr>
            <w:r>
              <w:rPr>
                <w:rFonts w:ascii="Calibri" w:hAnsi="Calibri"/>
                <w:color w:val="1E293B"/>
                <w:sz w:val="18"/>
              </w:rPr>
              <w:t>tests/test_temporal_analysis.py</w:t>
            </w:r>
          </w:p>
        </w:tc>
        <w:tc>
          <w:tcPr>
            <w:tcW w:type="dxa" w:w="2592"/>
            <w:shd w:fill="FFFFFF"/>
            <w:tcMar>
              <w:top w:w="90" w:type="dxa"/>
              <w:bottom w:w="90" w:type="dxa"/>
              <w:left w:w="120" w:type="dxa"/>
              <w:right w:w="120" w:type="dxa"/>
            </w:tcMar>
          </w:tcPr>
          <w:p>
            <w:pPr>
              <w:spacing w:before="0" w:after="0"/>
              <w:jc w:val="left"/>
            </w:pPr>
            <w:r>
              <w:rPr>
                <w:rFonts w:ascii="Calibri" w:hAnsi="Calibri"/>
                <w:color w:val="1E293B"/>
                <w:sz w:val="18"/>
              </w:rPr>
              <w:t>Python unittest module</w:t>
            </w:r>
          </w:p>
        </w:tc>
        <w:tc>
          <w:tcPr>
            <w:tcW w:type="dxa" w:w="2736"/>
            <w:shd w:fill="FFFFFF"/>
            <w:tcMar>
              <w:top w:w="90" w:type="dxa"/>
              <w:bottom w:w="90" w:type="dxa"/>
              <w:left w:w="120" w:type="dxa"/>
              <w:right w:w="120" w:type="dxa"/>
            </w:tcMar>
          </w:tcPr>
          <w:p>
            <w:pPr>
              <w:spacing w:before="0" w:after="0"/>
              <w:jc w:val="left"/>
            </w:pPr>
            <w:r>
              <w:rPr>
                <w:rFonts w:ascii="Calibri" w:hAnsi="Calibri"/>
                <w:color w:val="1E293B"/>
                <w:sz w:val="18"/>
              </w:rPr>
              <w:t>10/10 automated tests passing in 0.016 seconds</w:t>
            </w:r>
          </w:p>
        </w:tc>
      </w:tr>
      <w:tr>
        <w:tc>
          <w:tcPr>
            <w:tcW w:type="dxa" w:w="2160"/>
            <w:shd w:fill="F8FAFC"/>
            <w:tcMar>
              <w:top w:w="90" w:type="dxa"/>
              <w:bottom w:w="90" w:type="dxa"/>
              <w:left w:w="120" w:type="dxa"/>
              <w:right w:w="120" w:type="dxa"/>
            </w:tcMar>
          </w:tcPr>
          <w:p>
            <w:pPr>
              <w:spacing w:before="0" w:after="0"/>
              <w:jc w:val="left"/>
            </w:pPr>
            <w:r>
              <w:rPr>
                <w:rFonts w:ascii="Calibri" w:hAnsi="Calibri"/>
                <w:b/>
                <w:color w:val="1E293B"/>
                <w:sz w:val="18"/>
              </w:rPr>
              <w:t>Temporal ML Holdout Model</w:t>
            </w:r>
          </w:p>
        </w:tc>
        <w:tc>
          <w:tcPr>
            <w:tcW w:type="dxa" w:w="2880"/>
            <w:shd w:fill="F8FAFC"/>
            <w:tcMar>
              <w:top w:w="90" w:type="dxa"/>
              <w:bottom w:w="90" w:type="dxa"/>
              <w:left w:w="120" w:type="dxa"/>
              <w:right w:w="120" w:type="dxa"/>
            </w:tcMar>
          </w:tcPr>
          <w:p>
            <w:pPr>
              <w:spacing w:before="0" w:after="0"/>
              <w:jc w:val="left"/>
            </w:pPr>
            <w:r>
              <w:rPr>
                <w:rFonts w:ascii="Calibri" w:hAnsi="Calibri"/>
                <w:color w:val="1E293B"/>
                <w:sz w:val="18"/>
              </w:rPr>
              <w:t>ml_model/train_and_evaluate.py</w:t>
            </w:r>
          </w:p>
        </w:tc>
        <w:tc>
          <w:tcPr>
            <w:tcW w:type="dxa" w:w="2592"/>
            <w:shd w:fill="F8FAFC"/>
            <w:tcMar>
              <w:top w:w="90" w:type="dxa"/>
              <w:bottom w:w="90" w:type="dxa"/>
              <w:left w:w="120" w:type="dxa"/>
              <w:right w:w="120" w:type="dxa"/>
            </w:tcMar>
          </w:tcPr>
          <w:p>
            <w:pPr>
              <w:spacing w:before="0" w:after="0"/>
              <w:jc w:val="left"/>
            </w:pPr>
            <w:r>
              <w:rPr>
                <w:rFonts w:ascii="Calibri" w:hAnsi="Calibri"/>
                <w:color w:val="1E293B"/>
                <w:sz w:val="18"/>
              </w:rPr>
              <w:t>Scikit-Learn (RandomForest, HistGBDT)</w:t>
            </w:r>
          </w:p>
        </w:tc>
        <w:tc>
          <w:tcPr>
            <w:tcW w:type="dxa" w:w="2736"/>
            <w:shd w:fill="F8FAFC"/>
            <w:tcMar>
              <w:top w:w="90" w:type="dxa"/>
              <w:bottom w:w="90" w:type="dxa"/>
              <w:left w:w="120" w:type="dxa"/>
              <w:right w:w="120" w:type="dxa"/>
            </w:tcMar>
          </w:tcPr>
          <w:p>
            <w:pPr>
              <w:spacing w:before="0" w:after="0"/>
              <w:jc w:val="left"/>
            </w:pPr>
            <w:r>
              <w:rPr>
                <w:rFonts w:ascii="Calibri" w:hAnsi="Calibri"/>
                <w:color w:val="1E293B"/>
                <w:sz w:val="18"/>
              </w:rPr>
              <w:t>71.19% temporal holdout benchmark &amp; serialized models</w:t>
            </w:r>
          </w:p>
        </w:tc>
      </w:tr>
      <w:tr>
        <w:tc>
          <w:tcPr>
            <w:tcW w:type="dxa" w:w="2160"/>
            <w:shd w:fill="FFFFFF"/>
            <w:tcMar>
              <w:top w:w="90" w:type="dxa"/>
              <w:bottom w:w="90" w:type="dxa"/>
              <w:left w:w="120" w:type="dxa"/>
              <w:right w:w="120" w:type="dxa"/>
            </w:tcMar>
          </w:tcPr>
          <w:p>
            <w:pPr>
              <w:spacing w:before="0" w:after="0"/>
              <w:jc w:val="left"/>
            </w:pPr>
            <w:r>
              <w:rPr>
                <w:rFonts w:ascii="Calibri" w:hAnsi="Calibri"/>
                <w:b/>
                <w:color w:val="1E293B"/>
                <w:sz w:val="18"/>
              </w:rPr>
              <w:t>REST API Backend</w:t>
            </w:r>
          </w:p>
        </w:tc>
        <w:tc>
          <w:tcPr>
            <w:tcW w:type="dxa" w:w="2880"/>
            <w:shd w:fill="FFFFFF"/>
            <w:tcMar>
              <w:top w:w="90" w:type="dxa"/>
              <w:bottom w:w="90" w:type="dxa"/>
              <w:left w:w="120" w:type="dxa"/>
              <w:right w:w="120" w:type="dxa"/>
            </w:tcMar>
          </w:tcPr>
          <w:p>
            <w:pPr>
              <w:spacing w:before="0" w:after="0"/>
              <w:jc w:val="left"/>
            </w:pPr>
            <w:r>
              <w:rPr>
                <w:rFonts w:ascii="Calibri" w:hAnsi="Calibri"/>
                <w:color w:val="1E293B"/>
                <w:sz w:val="18"/>
              </w:rPr>
              <w:t>webapp/app.py</w:t>
            </w:r>
          </w:p>
        </w:tc>
        <w:tc>
          <w:tcPr>
            <w:tcW w:type="dxa" w:w="2592"/>
            <w:shd w:fill="FFFFFF"/>
            <w:tcMar>
              <w:top w:w="90" w:type="dxa"/>
              <w:bottom w:w="90" w:type="dxa"/>
              <w:left w:w="120" w:type="dxa"/>
              <w:right w:w="120" w:type="dxa"/>
            </w:tcMar>
          </w:tcPr>
          <w:p>
            <w:pPr>
              <w:spacing w:before="0" w:after="0"/>
              <w:jc w:val="left"/>
            </w:pPr>
            <w:r>
              <w:rPr>
                <w:rFonts w:ascii="Calibri" w:hAnsi="Calibri"/>
                <w:color w:val="1E293B"/>
                <w:sz w:val="18"/>
              </w:rPr>
              <w:t>Flask 3.1, Python 3.13</w:t>
            </w:r>
          </w:p>
        </w:tc>
        <w:tc>
          <w:tcPr>
            <w:tcW w:type="dxa" w:w="2736"/>
            <w:shd w:fill="FFFFFF"/>
            <w:tcMar>
              <w:top w:w="90" w:type="dxa"/>
              <w:bottom w:w="90" w:type="dxa"/>
              <w:left w:w="120" w:type="dxa"/>
              <w:right w:w="120" w:type="dxa"/>
            </w:tcMar>
          </w:tcPr>
          <w:p>
            <w:pPr>
              <w:spacing w:before="0" w:after="0"/>
              <w:jc w:val="left"/>
            </w:pPr>
            <w:r>
              <w:rPr>
                <w:rFonts w:ascii="Calibri" w:hAnsi="Calibri"/>
                <w:color w:val="1E293B"/>
                <w:sz w:val="18"/>
              </w:rPr>
              <w:t>Endpoints: /api/temporal, /api/charts/&lt;name&gt;</w:t>
            </w:r>
          </w:p>
        </w:tc>
      </w:tr>
      <w:tr>
        <w:tc>
          <w:tcPr>
            <w:tcW w:type="dxa" w:w="2160"/>
            <w:shd w:fill="F8FAFC"/>
            <w:tcMar>
              <w:top w:w="90" w:type="dxa"/>
              <w:bottom w:w="90" w:type="dxa"/>
              <w:left w:w="120" w:type="dxa"/>
              <w:right w:w="120" w:type="dxa"/>
            </w:tcMar>
          </w:tcPr>
          <w:p>
            <w:pPr>
              <w:spacing w:before="0" w:after="0"/>
              <w:jc w:val="left"/>
            </w:pPr>
            <w:r>
              <w:rPr>
                <w:rFonts w:ascii="Calibri" w:hAnsi="Calibri"/>
                <w:b/>
                <w:color w:val="1E293B"/>
                <w:sz w:val="18"/>
              </w:rPr>
              <w:t>Interactive UI &amp; Globe</w:t>
            </w:r>
          </w:p>
        </w:tc>
        <w:tc>
          <w:tcPr>
            <w:tcW w:type="dxa" w:w="2880"/>
            <w:shd w:fill="F8FAFC"/>
            <w:tcMar>
              <w:top w:w="90" w:type="dxa"/>
              <w:bottom w:w="90" w:type="dxa"/>
              <w:left w:w="120" w:type="dxa"/>
              <w:right w:w="120" w:type="dxa"/>
            </w:tcMar>
          </w:tcPr>
          <w:p>
            <w:pPr>
              <w:spacing w:before="0" w:after="0"/>
              <w:jc w:val="left"/>
            </w:pPr>
            <w:r>
              <w:rPr>
                <w:rFonts w:ascii="Calibri" w:hAnsi="Calibri"/>
                <w:color w:val="1E293B"/>
                <w:sz w:val="18"/>
              </w:rPr>
              <w:t>webapp/templates/index.html</w:t>
            </w:r>
          </w:p>
        </w:tc>
        <w:tc>
          <w:tcPr>
            <w:tcW w:type="dxa" w:w="2592"/>
            <w:shd w:fill="F8FAFC"/>
            <w:tcMar>
              <w:top w:w="90" w:type="dxa"/>
              <w:bottom w:w="90" w:type="dxa"/>
              <w:left w:w="120" w:type="dxa"/>
              <w:right w:w="120" w:type="dxa"/>
            </w:tcMar>
          </w:tcPr>
          <w:p>
            <w:pPr>
              <w:spacing w:before="0" w:after="0"/>
              <w:jc w:val="left"/>
            </w:pPr>
            <w:r>
              <w:rPr>
                <w:rFonts w:ascii="Calibri" w:hAnsi="Calibri"/>
                <w:color w:val="1E293B"/>
                <w:sz w:val="18"/>
              </w:rPr>
              <w:t>HTML5, CSS3, Chart.js, Leaflet.js</w:t>
            </w:r>
          </w:p>
        </w:tc>
        <w:tc>
          <w:tcPr>
            <w:tcW w:type="dxa" w:w="2736"/>
            <w:shd w:fill="F8FAFC"/>
            <w:tcMar>
              <w:top w:w="90" w:type="dxa"/>
              <w:bottom w:w="90" w:type="dxa"/>
              <w:left w:w="120" w:type="dxa"/>
              <w:right w:w="120" w:type="dxa"/>
            </w:tcMar>
          </w:tcPr>
          <w:p>
            <w:pPr>
              <w:spacing w:before="0" w:after="0"/>
              <w:jc w:val="left"/>
            </w:pPr>
            <w:r>
              <w:rPr>
                <w:rFonts w:ascii="Calibri" w:hAnsi="Calibri"/>
                <w:color w:val="1E293B"/>
                <w:sz w:val="18"/>
              </w:rPr>
              <w:t>Dynamic metric cards, satellite telemetry globe, modal lightbox</w:t>
            </w:r>
          </w:p>
        </w:tc>
      </w:tr>
      <w:tr>
        <w:tc>
          <w:tcPr>
            <w:tcW w:type="dxa" w:w="2160"/>
            <w:shd w:fill="FFFFFF"/>
            <w:tcMar>
              <w:top w:w="90" w:type="dxa"/>
              <w:bottom w:w="90" w:type="dxa"/>
              <w:left w:w="120" w:type="dxa"/>
              <w:right w:w="120" w:type="dxa"/>
            </w:tcMar>
          </w:tcPr>
          <w:p>
            <w:pPr>
              <w:spacing w:before="0" w:after="0"/>
              <w:jc w:val="left"/>
            </w:pPr>
            <w:r>
              <w:rPr>
                <w:rFonts w:ascii="Calibri" w:hAnsi="Calibri"/>
                <w:b/>
                <w:color w:val="1E293B"/>
                <w:sz w:val="18"/>
              </w:rPr>
              <w:t>NoSQL Document Store</w:t>
            </w:r>
          </w:p>
        </w:tc>
        <w:tc>
          <w:tcPr>
            <w:tcW w:type="dxa" w:w="2880"/>
            <w:shd w:fill="FFFFFF"/>
            <w:tcMar>
              <w:top w:w="90" w:type="dxa"/>
              <w:bottom w:w="90" w:type="dxa"/>
              <w:left w:w="120" w:type="dxa"/>
              <w:right w:w="120" w:type="dxa"/>
            </w:tcMar>
          </w:tcPr>
          <w:p>
            <w:pPr>
              <w:spacing w:before="0" w:after="0"/>
              <w:jc w:val="left"/>
            </w:pPr>
            <w:r>
              <w:rPr>
                <w:rFonts w:ascii="Calibri" w:hAnsi="Calibri"/>
                <w:color w:val="1E293B"/>
                <w:sz w:val="18"/>
              </w:rPr>
              <w:t>nosql/nosql_store.py</w:t>
            </w:r>
          </w:p>
        </w:tc>
        <w:tc>
          <w:tcPr>
            <w:tcW w:type="dxa" w:w="2592"/>
            <w:shd w:fill="FFFFFF"/>
            <w:tcMar>
              <w:top w:w="90" w:type="dxa"/>
              <w:bottom w:w="90" w:type="dxa"/>
              <w:left w:w="120" w:type="dxa"/>
              <w:right w:w="120" w:type="dxa"/>
            </w:tcMar>
          </w:tcPr>
          <w:p>
            <w:pPr>
              <w:spacing w:before="0" w:after="0"/>
              <w:jc w:val="left"/>
            </w:pPr>
            <w:r>
              <w:rPr>
                <w:rFonts w:ascii="Calibri" w:hAnsi="Calibri"/>
                <w:color w:val="1E293B"/>
                <w:sz w:val="18"/>
              </w:rPr>
              <w:t>SQLite Document Database</w:t>
            </w:r>
          </w:p>
        </w:tc>
        <w:tc>
          <w:tcPr>
            <w:tcW w:type="dxa" w:w="2736"/>
            <w:shd w:fill="FFFFFF"/>
            <w:tcMar>
              <w:top w:w="90" w:type="dxa"/>
              <w:bottom w:w="90" w:type="dxa"/>
              <w:left w:w="120" w:type="dxa"/>
              <w:right w:w="120" w:type="dxa"/>
            </w:tcMar>
          </w:tcPr>
          <w:p>
            <w:pPr>
              <w:spacing w:before="0" w:after="0"/>
              <w:jc w:val="left"/>
            </w:pPr>
            <w:r>
              <w:rPr>
                <w:rFonts w:ascii="Calibri" w:hAnsi="Calibri"/>
                <w:color w:val="1E293B"/>
                <w:sz w:val="18"/>
              </w:rPr>
              <w:t>Table: temporal_aggregates with daily and monthly records</w:t>
            </w:r>
          </w:p>
        </w:tc>
      </w:tr>
    </w:tbl>
    <w:p>
      <w:pPr>
        <w:spacing w:after="120"/>
      </w:pPr>
    </w:p>
    <w:p>
      <w:pPr>
        <w:spacing w:before="160" w:after="60"/>
        <w:jc w:val="center"/>
      </w:pPr>
      <w:r>
        <w:drawing>
          <wp:inline xmlns:a="http://schemas.openxmlformats.org/drawingml/2006/main" xmlns:pic="http://schemas.openxmlformats.org/drawingml/2006/picture">
            <wp:extent cx="5669280" cy="1375177"/>
            <wp:docPr id="17" name="Picture 17"/>
            <wp:cNvGraphicFramePr>
              <a:graphicFrameLocks noChangeAspect="1"/>
            </wp:cNvGraphicFramePr>
            <a:graphic>
              <a:graphicData uri="http://schemas.openxmlformats.org/drawingml/2006/picture">
                <pic:pic>
                  <pic:nvPicPr>
                    <pic:cNvPr id="0" name="fig17_code_architecture_table.png"/>
                    <pic:cNvPicPr/>
                  </pic:nvPicPr>
                  <pic:blipFill>
                    <a:blip r:embed="rId25"/>
                    <a:stretch>
                      <a:fillRect/>
                    </a:stretch>
                  </pic:blipFill>
                  <pic:spPr>
                    <a:xfrm>
                      <a:off x="0" y="0"/>
                      <a:ext cx="5669280" cy="1375177"/>
                    </a:xfrm>
                    <a:prstGeom prst="rect"/>
                  </pic:spPr>
                </pic:pic>
              </a:graphicData>
            </a:graphic>
          </wp:inline>
        </w:drawing>
      </w:r>
    </w:p>
    <w:p>
      <w:pPr>
        <w:spacing w:before="0" w:after="160"/>
        <w:jc w:val="center"/>
      </w:pPr>
      <w:r>
        <w:rPr>
          <w:rFonts w:ascii="Calibri" w:hAnsi="Calibri"/>
          <w:i/>
          <w:color w:val="64748B"/>
          <w:sz w:val="19"/>
        </w:rPr>
        <w:t>Figure 17: Repository Source Code Architecture, Toolchain Stack, and Component Ownership Mapping</w:t>
      </w:r>
    </w:p>
    <w:p>
      <w:pPr>
        <w:pStyle w:val="Heading1"/>
        <w:keepNext/>
        <w:spacing w:before="280" w:after="80"/>
      </w:pPr>
      <w:r>
        <w:rPr>
          <w:rFonts w:ascii="Calibri" w:hAnsi="Calibri"/>
          <w:b/>
          <w:color w:val="0B3D91"/>
          <w:sz w:val="36"/>
        </w:rPr>
        <w:t>6. Oral Viva Defense Reference &amp; Examiner Q&amp;A Guide</w:t>
      </w:r>
    </w:p>
    <w:tbl>
      <w:tblPr>
        <w:tblW w:type="auto" w:w="0"/>
        <w:jc w:val="center"/>
        <w:tblLook w:firstColumn="1" w:firstRow="1" w:lastColumn="0" w:lastRow="0" w:noHBand="0" w:noVBand="1" w:val="04A0"/>
      </w:tblPr>
      <w:tblGrid>
        <w:gridCol w:w="9936"/>
      </w:tblGrid>
      <w:tr>
        <w:tc>
          <w:tcPr>
            <w:tcW w:type="dxa" w:w="9936"/>
            <w:shd w:fill="F1F5F9"/>
            <w:tcBorders>
              <w:top w:val="none"/>
              <w:left w:val="single" w:sz="36" w:space="0" w:color="0B3D91"/>
              <w:bottom w:val="none"/>
              <w:right w:val="none"/>
            </w:tcBorders>
            <w:tcMar>
              <w:top w:w="140" w:type="dxa"/>
              <w:bottom w:w="140" w:type="dxa"/>
              <w:left w:w="200" w:type="dxa"/>
              <w:right w:w="200" w:type="dxa"/>
            </w:tcMar>
          </w:tcPr>
          <w:p>
            <w:pPr>
              <w:spacing w:before="0" w:after="0" w:line="276" w:lineRule="auto"/>
            </w:pPr>
            <w:r>
              <w:rPr>
                <w:rFonts w:ascii="Calibri" w:hAnsi="Calibri"/>
                <w:b/>
                <w:color w:val="0B3D91"/>
                <w:sz w:val="22"/>
              </w:rPr>
              <w:t>EXACT 60-SECOND VIVA ELEVATOR PITCH (MEMORIZE FOR REVIEW 3)</w:t>
              <w:br/>
            </w:r>
            <w:r>
              <w:rPr>
                <w:rFonts w:ascii="Calibri" w:hAnsi="Calibri"/>
                <w:color w:val="1E293B"/>
                <w:sz w:val="20"/>
              </w:rPr>
              <w:t>"Ma'am, my role in the project is Member 2 - Temporal Analysis &amp; Diurnal Dynamics.</w:t>
              <w:br/>
              <w:br/>
              <w:t>Using distributed Apache PySpark 4.2.0 running on Java 21, I ingested and analyzed the temporal dimensions of all 9,511,402 NASA VIIRS satellite hotspot records in 31.75 seconds.</w:t>
              <w:br/>
              <w:br/>
              <w:t>Here are my four key empirical findings:</w:t>
              <w:br/>
              <w:t>1. Global fire volume peaked in January 2026 with 1.53 million detections, while thermal energy intensity peaked in June 2026 with an average Fire Radiative Power of 10.32 MegaWatts driven by boreal crown fires.</w:t>
              <w:br/>
              <w:t>2. The single worst disaster day on record was October 16, 2025 with 66,867 satellite detections and 675,835 MW of energy.</w:t>
              <w:br/>
              <w:t>3. Across the 24-hour day, fires peak sharply between 11:00 and 12:00 UTC due to peak solar convective surface heating.</w:t>
              <w:br/>
              <w:t>4. While nighttime detections comprise only 23.8% of records, nocturnal fires producing 30 MW or more represent extreme crown fires that breach humidity inversions, which I integrated into the WARD protocol to trigger emergency aerial response.</w:t>
              <w:br/>
              <w:br/>
              <w:t>Furthermore, I evaluated our machine learning models using a forward-chronological holdout split to prevent temporal data leakage, proving that accuracy shifts realistically from 74.72% to 71.19% due to seasonal concept drift while maintaining an 0.8415 ROC-AUC. All my findings are verified with 10 automated unit tests, visualized in 5 high-resolution charts, and served live through our interactive web application."</w:t>
            </w:r>
          </w:p>
        </w:tc>
      </w:tr>
    </w:tbl>
    <w:p>
      <w:pPr>
        <w:spacing w:after="80"/>
      </w:pPr>
    </w:p>
    <w:p>
      <w:pPr>
        <w:spacing w:before="160" w:after="60"/>
        <w:jc w:val="center"/>
      </w:pPr>
      <w:r>
        <w:drawing>
          <wp:inline xmlns:a="http://schemas.openxmlformats.org/drawingml/2006/main" xmlns:pic="http://schemas.openxmlformats.org/drawingml/2006/picture">
            <wp:extent cx="5669280" cy="3197397"/>
            <wp:docPr id="18" name="Picture 18"/>
            <wp:cNvGraphicFramePr>
              <a:graphicFrameLocks noChangeAspect="1"/>
            </wp:cNvGraphicFramePr>
            <a:graphic>
              <a:graphicData uri="http://schemas.openxmlformats.org/drawingml/2006/picture">
                <pic:pic>
                  <pic:nvPicPr>
                    <pic:cNvPr id="0" name="fig18_viva_pitch.png"/>
                    <pic:cNvPicPr/>
                  </pic:nvPicPr>
                  <pic:blipFill>
                    <a:blip r:embed="rId26"/>
                    <a:stretch>
                      <a:fillRect/>
                    </a:stretch>
                  </pic:blipFill>
                  <pic:spPr>
                    <a:xfrm>
                      <a:off x="0" y="0"/>
                      <a:ext cx="5669280" cy="3197397"/>
                    </a:xfrm>
                    <a:prstGeom prst="rect"/>
                  </pic:spPr>
                </pic:pic>
              </a:graphicData>
            </a:graphic>
          </wp:inline>
        </w:drawing>
      </w:r>
    </w:p>
    <w:p>
      <w:pPr>
        <w:spacing w:before="0" w:after="160"/>
        <w:jc w:val="center"/>
      </w:pPr>
      <w:r>
        <w:rPr>
          <w:rFonts w:ascii="Calibri" w:hAnsi="Calibri"/>
          <w:i/>
          <w:color w:val="64748B"/>
          <w:sz w:val="19"/>
        </w:rPr>
        <w:t>Figure 18: Live Presentation Script for Examiner Defense (Spoken Summary of Member 2 Technical Contributions)</w:t>
      </w:r>
    </w:p>
    <w:p>
      <w:pPr>
        <w:pStyle w:val="Heading2"/>
        <w:keepNext/>
        <w:spacing w:before="280" w:after="80"/>
      </w:pPr>
      <w:r>
        <w:rPr>
          <w:rFonts w:ascii="Calibri" w:hAnsi="Calibri"/>
          <w:b/>
          <w:color w:val="1E293B"/>
          <w:sz w:val="27"/>
        </w:rPr>
        <w:t>Top 5 Examiner Questions &amp; Precise Answers</w:t>
      </w:r>
    </w:p>
    <w:p>
      <w:pPr>
        <w:spacing w:before="0" w:after="120" w:line="276" w:lineRule="auto"/>
      </w:pPr>
      <w:r>
        <w:rPr>
          <w:rFonts w:ascii="Calibri" w:hAnsi="Calibri"/>
          <w:b/>
          <w:color w:val="0F172A"/>
          <w:sz w:val="22"/>
        </w:rPr>
        <w:t>Q1: Why did you use Apache PySpark instead of standard Python Pandas?</w:t>
        <w:br/>
        <w:t xml:space="preserve">Answer: </w:t>
      </w:r>
      <w:r>
        <w:rPr>
          <w:rFonts w:ascii="Calibri" w:hAnsi="Calibri"/>
          <w:i w:val="0"/>
          <w:color w:val="334155"/>
          <w:sz w:val="22"/>
        </w:rPr>
        <w:t>The dataset contains 9,511,402 rows and is 730 MB. Standard Python pandas runs single-threaded and risks running out of RAM during complex multi-column groupings and window aggregations. Apache PySpark utilizes distributed in-memory Resilient Distributed Datasets (RDDs) and the Catalyst Query Optimizer, executing all daily, monthly, and hourly aggregations across all 9.51 million rows in just 31.75 seconds.</w:t>
      </w:r>
    </w:p>
    <w:p>
      <w:pPr>
        <w:spacing w:before="0" w:after="120" w:line="276" w:lineRule="auto"/>
      </w:pPr>
      <w:r>
        <w:rPr>
          <w:rFonts w:ascii="Calibri" w:hAnsi="Calibri"/>
          <w:b/>
          <w:color w:val="0F172A"/>
          <w:sz w:val="22"/>
        </w:rPr>
        <w:t>Q2: What is your biggest empirical finding in the temporal analysis?</w:t>
        <w:br/>
        <w:t xml:space="preserve">Answer: </w:t>
      </w:r>
      <w:r>
        <w:rPr>
          <w:rFonts w:ascii="Calibri" w:hAnsi="Calibri"/>
          <w:i w:val="0"/>
          <w:color w:val="334155"/>
          <w:sz w:val="22"/>
        </w:rPr>
        <w:t>Two major empirical discoveries: First, global fire activity peaks sharply between 11:00 and 12:00 UTC (over 2.85 million detections), aligning with peak afternoon solar convective heating. Second, October 16, 2025 was the worst single day on record with 66,867 fires and 675,835 MW of thermal radiative power.</w:t>
      </w:r>
    </w:p>
    <w:p>
      <w:pPr>
        <w:spacing w:before="0" w:after="120" w:line="276" w:lineRule="auto"/>
      </w:pPr>
      <w:r>
        <w:rPr>
          <w:rFonts w:ascii="Calibri" w:hAnsi="Calibri"/>
          <w:b/>
          <w:color w:val="0F172A"/>
          <w:sz w:val="22"/>
        </w:rPr>
        <w:t>Q3: Why do nighttime fires matter so much if they only make up 23.8% of the data?</w:t>
        <w:br/>
        <w:t xml:space="preserve">Answer: </w:t>
      </w:r>
      <w:r>
        <w:rPr>
          <w:rFonts w:ascii="Calibri" w:hAnsi="Calibri"/>
          <w:i w:val="0"/>
          <w:color w:val="334155"/>
          <w:sz w:val="22"/>
        </w:rPr>
        <w:t>Under normal diurnal conditions, nocturnal relative humidity rises and ambient temperatures drop, naturally suppressing fire activity. Therefore, if a satellite spots a fire at night producing an FRP of 30 MW or more, it indicates an uncontrollable crown fire that has breached the nightly humidity barrier. This triggers our highest emergency dispatch level (Level-1 WARD triage) to mobilize night-vision aerial water bombers.</w:t>
      </w:r>
    </w:p>
    <w:p>
      <w:pPr>
        <w:spacing w:before="0" w:after="120" w:line="276" w:lineRule="auto"/>
      </w:pPr>
      <w:r>
        <w:rPr>
          <w:rFonts w:ascii="Calibri" w:hAnsi="Calibri"/>
          <w:b/>
          <w:color w:val="0F172A"/>
          <w:sz w:val="22"/>
        </w:rPr>
        <w:t>Q4: Why does model accuracy drop from 74.72% to 71.19% on the temporal holdout split?</w:t>
        <w:br/>
        <w:t xml:space="preserve">Answer: </w:t>
      </w:r>
      <w:r>
        <w:rPr>
          <w:rFonts w:ascii="Calibri" w:hAnsi="Calibri"/>
          <w:i w:val="0"/>
          <w:color w:val="334155"/>
          <w:sz w:val="22"/>
        </w:rPr>
        <w:t>Because of seasonal concept drift. When you train on dry autumn vegetation in October and test forward on summer conditions in June, changes in fuel moisture and weather shift the decision boundaries. This slight 3.5% drop proves our evaluation was leakage-safe and realistic, rather than artificially inflated, while still maintaining high discriminative power with a 0.8415 ROC-AUC.</w:t>
      </w:r>
    </w:p>
    <w:p>
      <w:pPr>
        <w:spacing w:before="0" w:after="120" w:line="276" w:lineRule="auto"/>
      </w:pPr>
      <w:r>
        <w:rPr>
          <w:rFonts w:ascii="Calibri" w:hAnsi="Calibri"/>
          <w:b/>
          <w:color w:val="0F172A"/>
          <w:sz w:val="22"/>
        </w:rPr>
        <w:t>Q5: Did you identify any data quality or sensor continuity issues?</w:t>
        <w:br/>
        <w:t xml:space="preserve">Answer: </w:t>
      </w:r>
      <w:r>
        <w:rPr>
          <w:rFonts w:ascii="Calibri" w:hAnsi="Calibri"/>
          <w:i w:val="0"/>
          <w:color w:val="334155"/>
          <w:sz w:val="22"/>
        </w:rPr>
        <w:t>Yes. Our calendar continuity sequence audit discovered exactly 39 missing calendar days between October 2025 and June 2026, most notably a complete 31-day archival gap for the entire month of May 2026. This was crucial because it prevented our models and dispatchers from assuming zero wildfire danger during late spring.</w:t>
      </w:r>
    </w:p>
    <w:p>
      <w:pPr>
        <w:spacing w:before="160" w:after="60"/>
        <w:jc w:val="center"/>
      </w:pPr>
      <w:r>
        <w:drawing>
          <wp:inline xmlns:a="http://schemas.openxmlformats.org/drawingml/2006/main" xmlns:pic="http://schemas.openxmlformats.org/drawingml/2006/picture">
            <wp:extent cx="5669280" cy="1478685"/>
            <wp:docPr id="19" name="Picture 19"/>
            <wp:cNvGraphicFramePr>
              <a:graphicFrameLocks noChangeAspect="1"/>
            </wp:cNvGraphicFramePr>
            <a:graphic>
              <a:graphicData uri="http://schemas.openxmlformats.org/drawingml/2006/picture">
                <pic:pic>
                  <pic:nvPicPr>
                    <pic:cNvPr id="0" name="fig19_leakage_code.png"/>
                    <pic:cNvPicPr/>
                  </pic:nvPicPr>
                  <pic:blipFill>
                    <a:blip r:embed="rId27"/>
                    <a:stretch>
                      <a:fillRect/>
                    </a:stretch>
                  </pic:blipFill>
                  <pic:spPr>
                    <a:xfrm>
                      <a:off x="0" y="0"/>
                      <a:ext cx="5669280" cy="1478685"/>
                    </a:xfrm>
                    <a:prstGeom prst="rect"/>
                  </pic:spPr>
                </pic:pic>
              </a:graphicData>
            </a:graphic>
          </wp:inline>
        </w:drawing>
      </w:r>
    </w:p>
    <w:p>
      <w:pPr>
        <w:spacing w:before="0" w:after="160"/>
        <w:jc w:val="center"/>
      </w:pPr>
      <w:r>
        <w:rPr>
          <w:rFonts w:ascii="Calibri" w:hAnsi="Calibri"/>
          <w:i/>
          <w:color w:val="64748B"/>
          <w:sz w:val="19"/>
        </w:rPr>
        <w:t>Figure 19: Machine Learning Temporal Leakage Prevention Code Walkthrough</w:t>
      </w:r>
    </w:p>
    <w:p>
      <w:pPr>
        <w:spacing w:before="160" w:after="60"/>
        <w:jc w:val="center"/>
      </w:pPr>
      <w:r>
        <w:drawing>
          <wp:inline xmlns:a="http://schemas.openxmlformats.org/drawingml/2006/main" xmlns:pic="http://schemas.openxmlformats.org/drawingml/2006/picture">
            <wp:extent cx="5669280" cy="1937078"/>
            <wp:docPr id="20" name="Picture 20"/>
            <wp:cNvGraphicFramePr>
              <a:graphicFrameLocks noChangeAspect="1"/>
            </wp:cNvGraphicFramePr>
            <a:graphic>
              <a:graphicData uri="http://schemas.openxmlformats.org/drawingml/2006/picture">
                <pic:pic>
                  <pic:nvPicPr>
                    <pic:cNvPr id="0" name="fig20_viva_cheat_sheet.png"/>
                    <pic:cNvPicPr/>
                  </pic:nvPicPr>
                  <pic:blipFill>
                    <a:blip r:embed="rId28"/>
                    <a:stretch>
                      <a:fillRect/>
                    </a:stretch>
                  </pic:blipFill>
                  <pic:spPr>
                    <a:xfrm>
                      <a:off x="0" y="0"/>
                      <a:ext cx="5669280" cy="1937078"/>
                    </a:xfrm>
                    <a:prstGeom prst="rect"/>
                  </pic:spPr>
                </pic:pic>
              </a:graphicData>
            </a:graphic>
          </wp:inline>
        </w:drawing>
      </w:r>
    </w:p>
    <w:p>
      <w:pPr>
        <w:spacing w:before="0" w:after="160"/>
        <w:jc w:val="center"/>
      </w:pPr>
      <w:r>
        <w:rPr>
          <w:rFonts w:ascii="Calibri" w:hAnsi="Calibri"/>
          <w:i/>
          <w:color w:val="64748B"/>
          <w:sz w:val="19"/>
        </w:rPr>
        <w:t>Figure 20: Complete Examiner Viva Cheat-Sheet (Questions 1 through 5 with Model Answers)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