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C2410C"/>
          <w:sz w:val="22"/>
        </w:rPr>
        <w:t>ACADEMIC TECHNICAL REPORT — BIG DATA ANALYTICS</w:t>
      </w:r>
    </w:p>
    <w:p>
      <w:pPr>
        <w:spacing w:before="0" w:after="80"/>
      </w:pPr>
      <w:r>
        <w:rPr>
          <w:rFonts w:ascii="Calibri" w:hAnsi="Calibri"/>
          <w:b/>
          <w:color w:val="0B3D91"/>
          <w:sz w:val="40"/>
        </w:rPr>
        <w:t>FireWatch: Scalable Big Data Telemetry Processing, Temporal Dynamics, and Forward-Chronological Machine Learning for Wildfire Rapid Dispatch</w:t>
      </w:r>
    </w:p>
    <w:p>
      <w:pPr>
        <w:spacing w:before="0" w:after="240"/>
      </w:pPr>
      <w:r>
        <w:rPr>
          <w:rFonts w:ascii="Calibri" w:hAnsi="Calibri"/>
          <w:i/>
          <w:color w:val="475569"/>
          <w:sz w:val="24"/>
        </w:rPr>
        <w:t>End-to-End Distributed Analytics, Diurnal Thermal Radiometry, Concept Drift Evaluation, and Full-Stack Operationalization across 9.51 Million NASA FIRMS Observations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2448"/>
        <w:gridCol w:w="2448"/>
        <w:gridCol w:w="2448"/>
        <w:gridCol w:w="2448"/>
      </w:tblGrid>
      <w:tr>
        <w:tc>
          <w:tcPr>
            <w:tcW w:type="dxa" w:w="2304"/>
            <w:shd w:fill="0B3D91"/>
            <w:tcMar>
              <w:top w:w="120" w:type="dxa"/>
              <w:bottom w:w="120" w:type="dxa"/>
              <w:left w:w="120" w:type="dxa"/>
              <w:right w:w="120" w:type="dxa"/>
            </w:tcMar>
          </w:tcPr>
          <w:p>
            <w:pPr>
              <w:spacing w:before="0" w:after="0"/>
              <w:jc w:val="center"/>
            </w:pPr>
            <w:r>
              <w:rPr>
                <w:rFonts w:ascii="Calibri" w:hAnsi="Calibri"/>
                <w:b/>
                <w:color w:val="FFFFFF"/>
                <w:sz w:val="19"/>
              </w:rPr>
              <w:t>Course / Context</w:t>
            </w:r>
          </w:p>
        </w:tc>
        <w:tc>
          <w:tcPr>
            <w:tcW w:type="dxa" w:w="2592"/>
            <w:shd w:fill="0B3D91"/>
            <w:tcMar>
              <w:top w:w="120" w:type="dxa"/>
              <w:bottom w:w="120" w:type="dxa"/>
              <w:left w:w="120" w:type="dxa"/>
              <w:right w:w="120" w:type="dxa"/>
            </w:tcMar>
          </w:tcPr>
          <w:p>
            <w:pPr>
              <w:spacing w:before="0" w:after="0"/>
              <w:jc w:val="center"/>
            </w:pPr>
            <w:r>
              <w:rPr>
                <w:rFonts w:ascii="Calibri" w:hAnsi="Calibri"/>
                <w:b/>
                <w:color w:val="FFFFFF"/>
                <w:sz w:val="19"/>
              </w:rPr>
              <w:t>Analytical Scope</w:t>
            </w:r>
          </w:p>
        </w:tc>
        <w:tc>
          <w:tcPr>
            <w:tcW w:type="dxa" w:w="2304"/>
            <w:shd w:fill="0B3D91"/>
            <w:tcMar>
              <w:top w:w="120" w:type="dxa"/>
              <w:bottom w:w="120" w:type="dxa"/>
              <w:left w:w="120" w:type="dxa"/>
              <w:right w:w="120" w:type="dxa"/>
            </w:tcMar>
          </w:tcPr>
          <w:p>
            <w:pPr>
              <w:spacing w:before="0" w:after="0"/>
              <w:jc w:val="center"/>
            </w:pPr>
            <w:r>
              <w:rPr>
                <w:rFonts w:ascii="Calibri" w:hAnsi="Calibri"/>
                <w:b/>
                <w:color w:val="FFFFFF"/>
                <w:sz w:val="19"/>
              </w:rPr>
              <w:t>Distributed Engine</w:t>
            </w:r>
          </w:p>
        </w:tc>
        <w:tc>
          <w:tcPr>
            <w:tcW w:type="dxa" w:w="2592"/>
            <w:shd w:fill="0B3D91"/>
            <w:tcMar>
              <w:top w:w="120" w:type="dxa"/>
              <w:bottom w:w="120" w:type="dxa"/>
              <w:left w:w="120" w:type="dxa"/>
              <w:right w:w="120" w:type="dxa"/>
            </w:tcMar>
          </w:tcPr>
          <w:p>
            <w:pPr>
              <w:spacing w:before="0" w:after="0"/>
              <w:jc w:val="center"/>
            </w:pPr>
            <w:r>
              <w:rPr>
                <w:rFonts w:ascii="Calibri" w:hAnsi="Calibri"/>
                <w:b/>
                <w:color w:val="FFFFFF"/>
                <w:sz w:val="19"/>
              </w:rPr>
              <w:t>Primary Data Source</w:t>
            </w:r>
          </w:p>
        </w:tc>
      </w:tr>
      <w:tr>
        <w:tc>
          <w:tcPr>
            <w:tcW w:type="dxa" w:w="2304"/>
            <w:shd w:fill="FFFFFF"/>
            <w:tcMar>
              <w:top w:w="85" w:type="dxa"/>
              <w:bottom w:w="85" w:type="dxa"/>
              <w:left w:w="120" w:type="dxa"/>
              <w:right w:w="120" w:type="dxa"/>
            </w:tcMar>
          </w:tcPr>
          <w:p>
            <w:pPr>
              <w:spacing w:before="0" w:after="0"/>
              <w:jc w:val="center"/>
            </w:pPr>
            <w:r>
              <w:rPr>
                <w:rFonts w:ascii="Calibri" w:hAnsi="Calibri"/>
                <w:b/>
                <w:color w:val="1E293B"/>
                <w:sz w:val="18"/>
              </w:rPr>
              <w:t>Big Data Analytics (Review 3)</w:t>
            </w:r>
          </w:p>
        </w:tc>
        <w:tc>
          <w:tcPr>
            <w:tcW w:type="dxa" w:w="2592"/>
            <w:shd w:fill="FFFFFF"/>
            <w:tcMar>
              <w:top w:w="85" w:type="dxa"/>
              <w:bottom w:w="85" w:type="dxa"/>
              <w:left w:w="120" w:type="dxa"/>
              <w:right w:w="120" w:type="dxa"/>
            </w:tcMar>
          </w:tcPr>
          <w:p>
            <w:pPr>
              <w:spacing w:before="0" w:after="0"/>
              <w:jc w:val="center"/>
            </w:pPr>
            <w:r>
              <w:rPr>
                <w:rFonts w:ascii="Calibri" w:hAnsi="Calibri"/>
                <w:color w:val="1E293B"/>
                <w:sz w:val="18"/>
              </w:rPr>
              <w:t>Spatiotemporal &amp; Diurnal ML</w:t>
            </w:r>
          </w:p>
        </w:tc>
        <w:tc>
          <w:tcPr>
            <w:tcW w:type="dxa" w:w="2304"/>
            <w:shd w:fill="FFFFFF"/>
            <w:tcMar>
              <w:top w:w="85" w:type="dxa"/>
              <w:bottom w:w="85" w:type="dxa"/>
              <w:left w:w="120" w:type="dxa"/>
              <w:right w:w="120" w:type="dxa"/>
            </w:tcMar>
          </w:tcPr>
          <w:p>
            <w:pPr>
              <w:spacing w:before="0" w:after="0"/>
              <w:jc w:val="center"/>
            </w:pPr>
            <w:r>
              <w:rPr>
                <w:rFonts w:ascii="Calibri" w:hAnsi="Calibri"/>
                <w:color w:val="1E293B"/>
                <w:sz w:val="18"/>
              </w:rPr>
              <w:t>Apache PySpark 4.2.0 (Java 21)</w:t>
            </w:r>
          </w:p>
        </w:tc>
        <w:tc>
          <w:tcPr>
            <w:tcW w:type="dxa" w:w="2592"/>
            <w:shd w:fill="FFFFFF"/>
            <w:tcMar>
              <w:top w:w="85" w:type="dxa"/>
              <w:bottom w:w="85" w:type="dxa"/>
              <w:left w:w="120" w:type="dxa"/>
              <w:right w:w="120" w:type="dxa"/>
            </w:tcMar>
          </w:tcPr>
          <w:p>
            <w:pPr>
              <w:spacing w:before="0" w:after="0"/>
              <w:jc w:val="center"/>
            </w:pPr>
            <w:r>
              <w:rPr>
                <w:rFonts w:ascii="Calibri" w:hAnsi="Calibri"/>
                <w:color w:val="1E293B"/>
                <w:sz w:val="18"/>
              </w:rPr>
              <w:t>NASA FIRMS VIIRS (9.51M Rows)</w:t>
            </w:r>
          </w:p>
        </w:tc>
      </w:tr>
    </w:tbl>
    <w:p>
      <w:pPr>
        <w:spacing w:after="120"/>
      </w:pPr>
    </w:p>
    <w:p>
      <w:pPr>
        <w:pStyle w:val="Heading1"/>
        <w:keepNext/>
        <w:spacing w:before="280" w:after="80"/>
      </w:pPr>
      <w:r>
        <w:rPr>
          <w:rFonts w:ascii="Calibri" w:hAnsi="Calibri"/>
          <w:b/>
          <w:color w:val="0B3D91"/>
          <w:sz w:val="34"/>
        </w:rPr>
        <w:t>1. Executive Summary</w:t>
      </w:r>
    </w:p>
    <w:p>
      <w:pPr>
        <w:spacing w:before="0" w:after="120" w:line="276" w:lineRule="auto"/>
      </w:pPr>
      <w:r>
        <w:rPr>
          <w:rFonts w:ascii="Calibri" w:hAnsi="Calibri"/>
          <w:b/>
          <w:color w:val="0F172A"/>
          <w:sz w:val="21"/>
        </w:rPr>
        <w:t xml:space="preserve">Abstract &amp; System Scope: </w:t>
      </w:r>
      <w:r>
        <w:rPr>
          <w:rFonts w:ascii="Calibri" w:hAnsi="Calibri"/>
          <w:i w:val="0"/>
          <w:color w:val="334155"/>
          <w:sz w:val="21"/>
        </w:rPr>
        <w:t>Wildfire disaster management requires rapid, data-driven synthesis of high-velocity satellite telemetry to optimize emergency firefighting resource allocation. This study develops an enterprise-grade Big Data processing and Machine Learning architecture applied to the NASA EOSDIS / FIRMS Suomi-NPP VIIRS global wildfire archive, comprising exactly 9,511,402 active fire hotspot records (730.16 MB) observed between October 12, 2025 and June 30, 2026.</w:t>
      </w:r>
    </w:p>
    <w:p>
      <w:pPr>
        <w:spacing w:before="0" w:after="120" w:line="276" w:lineRule="auto"/>
      </w:pPr>
      <w:r>
        <w:rPr>
          <w:rFonts w:ascii="Calibri" w:hAnsi="Calibri"/>
          <w:b/>
          <w:color w:val="0F172A"/>
          <w:sz w:val="21"/>
        </w:rPr>
        <w:t xml:space="preserve">Key Discoveries: </w:t>
      </w:r>
      <w:r>
        <w:rPr>
          <w:rFonts w:ascii="Calibri" w:hAnsi="Calibri"/>
          <w:i w:val="0"/>
          <w:color w:val="334155"/>
          <w:sz w:val="21"/>
        </w:rPr>
        <w:t>Using distributed Apache PySpark 4.2.0 on Java 21 LTS, the analytical pipeline processes and aggregates the complete 9.51-million-row telemetry archive in 31.75 seconds (~299,571 records/second throughput). The investigation resolves critical temporal, diurnal, and radiative dynamics: identifying the single worst wildfire disaster date on October 16, 2025 (66,867 hotspots, 675,835 MW thermal energy); uncovering an operational divergence between peak monthly detection count (January 2026: 1.53M fires) and peak radiative destructiveness (June 2026: 10.32 MW mean FRP); resolving the global diurnal convective peak between 11:00 and 12:00 UTC (&gt;2.85M fires); and formulating an emergency dispatch threshold for nocturnal crown fires (FRP &gt;= 30 MW).</w:t>
      </w:r>
    </w:p>
    <w:p>
      <w:pPr>
        <w:spacing w:before="0" w:after="120" w:line="276" w:lineRule="auto"/>
      </w:pPr>
      <w:r>
        <w:rPr>
          <w:rFonts w:ascii="Calibri" w:hAnsi="Calibri"/>
          <w:b/>
          <w:color w:val="0F172A"/>
          <w:sz w:val="21"/>
        </w:rPr>
        <w:t xml:space="preserve">Methodological Contribution: </w:t>
      </w:r>
      <w:r>
        <w:rPr>
          <w:rFonts w:ascii="Calibri" w:hAnsi="Calibri"/>
          <w:i w:val="0"/>
          <w:color w:val="334155"/>
          <w:sz w:val="21"/>
        </w:rPr>
        <w:t>To address temporal data leakage in predictive modeling, a forward-chronological holdout validation methodology was implemented. Benchmarked against a standard random 80/20 split (74.72% accuracy, 0.8742 ROC-AUC), the chronological validation achieved 71.19% accuracy and 0.8415 ROC-AUC, empirically demonstrating the magnitude of seasonal concept drift while confirming robust operational generalizability. The system is fully operationalized through a Flask REST API backend, an interactive Leaflet.js and Chart.js geospatial console, a NoSQL persistence layer, and a comprehensive automated unit-testing suite.</w:t>
      </w:r>
    </w:p>
    <w:tbl>
      <w:tblPr>
        <w:tblW w:type="auto" w:w="0"/>
        <w:jc w:val="center"/>
        <w:tblLook w:firstColumn="1" w:firstRow="1" w:lastColumn="0" w:lastRow="0" w:noHBand="0" w:noVBand="1" w:val="04A0"/>
      </w:tblPr>
      <w:tblGrid>
        <w:gridCol w:w="9792"/>
      </w:tblGrid>
      <w:tr>
        <w:tc>
          <w:tcPr>
            <w:tcW w:type="dxa" w:w="9792"/>
            <w:shd w:fill="F1F5F9"/>
            <w:tcBorders>
              <w:top w:val="none"/>
              <w:left w:val="single" w:sz="36" w:space="0" w:color="0B3D91"/>
              <w:bottom w:val="none"/>
              <w:right w:val="none"/>
            </w:tcBorders>
            <w:tcMar>
              <w:top w:w="140" w:type="dxa"/>
              <w:bottom w:w="140" w:type="dxa"/>
              <w:left w:w="200" w:type="dxa"/>
              <w:right w:w="200" w:type="dxa"/>
            </w:tcMar>
          </w:tcPr>
          <w:p>
            <w:pPr>
              <w:spacing w:before="0" w:after="0" w:line="276" w:lineRule="auto"/>
            </w:pPr>
            <w:r>
              <w:rPr>
                <w:rFonts w:ascii="Calibri" w:hAnsi="Calibri"/>
                <w:b/>
                <w:color w:val="0B3D91"/>
                <w:sz w:val="21"/>
              </w:rPr>
              <w:t>KEY TECHNICAL ACHIEVEMENTS &amp; CONTRIBUTIONS</w:t>
              <w:br/>
            </w:r>
            <w:r>
              <w:rPr>
                <w:rFonts w:ascii="Calibri" w:hAnsi="Calibri"/>
                <w:color w:val="1E293B"/>
                <w:sz w:val="20"/>
              </w:rPr>
              <w:t>• Ingested and cleansed 9,511,402 satellite observations in 31.75 seconds using Apache PySpark distributed query optimization.</w:t>
              <w:br/>
              <w:t>• Discovered the single highest global wildfire activity day: October 16, 2025 (66,867 fires, 675,835 MW).</w:t>
              <w:br/>
              <w:t>• Identified seasonal divergence: peak volume in January 2026 versus peak thermal radiative energy in June 2026.</w:t>
              <w:br/>
              <w:t>• Detected a 39-day archival sensor gap, preventing misleading assumptions of zero late-spring wildfire risk.</w:t>
              <w:br/>
              <w:t>• Discovered a steep 2-hour diurnal solar peak at 11:00–12:00 UTC accounting for 30.0% of all global fire activity.</w:t>
              <w:br/>
              <w:t>• Formulated the WARD nocturnal triage protocol: nighttime detections with FRP &gt;= 30 MW trigger Level-1 emergency escalation.</w:t>
              <w:br/>
              <w:t>• Evaluated models via forward-chronological holdout (71.19% accuracy, 0.8415 ROC-AUC), empirically confirming seasonal concept drift.</w:t>
            </w:r>
          </w:p>
        </w:tc>
      </w:tr>
    </w:tbl>
    <w:p>
      <w:pPr>
        <w:spacing w:after="80"/>
      </w:pPr>
    </w:p>
    <w:p>
      <w:pPr>
        <w:spacing w:before="160" w:after="60"/>
        <w:jc w:val="center"/>
      </w:pPr>
      <w:r>
        <w:drawing>
          <wp:inline xmlns:a="http://schemas.openxmlformats.org/drawingml/2006/main" xmlns:pic="http://schemas.openxmlformats.org/drawingml/2006/picture">
            <wp:extent cx="5669280" cy="2055373"/>
            <wp:docPr id="1" name="Picture 1"/>
            <wp:cNvGraphicFramePr>
              <a:graphicFrameLocks noChangeAspect="1"/>
            </wp:cNvGraphicFramePr>
            <a:graphic>
              <a:graphicData uri="http://schemas.openxmlformats.org/drawingml/2006/picture">
                <pic:pic>
                  <pic:nvPicPr>
                    <pic:cNvPr id="0" name="fig1_scope_pyspark.png"/>
                    <pic:cNvPicPr/>
                  </pic:nvPicPr>
                  <pic:blipFill>
                    <a:blip r:embed="rId9"/>
                    <a:stretch>
                      <a:fillRect/>
                    </a:stretch>
                  </pic:blipFill>
                  <pic:spPr>
                    <a:xfrm>
                      <a:off x="0" y="0"/>
                      <a:ext cx="5669280" cy="2055373"/>
                    </a:xfrm>
                    <a:prstGeom prst="rect"/>
                  </pic:spPr>
                </pic:pic>
              </a:graphicData>
            </a:graphic>
          </wp:inline>
        </w:drawing>
      </w:r>
    </w:p>
    <w:p>
      <w:pPr>
        <w:spacing w:before="0" w:after="160"/>
        <w:jc w:val="center"/>
      </w:pPr>
      <w:r>
        <w:rPr>
          <w:rFonts w:ascii="Calibri" w:hAnsi="Calibri"/>
          <w:i/>
          <w:color w:val="64748B"/>
          <w:sz w:val="19"/>
        </w:rPr>
        <w:t>Figure 1: High-Level Analytical Objectives and Distributed PySpark Processing Pipeline Architecture</w:t>
      </w:r>
    </w:p>
    <w:p>
      <w:pPr>
        <w:pStyle w:val="Heading1"/>
        <w:keepNext/>
        <w:spacing w:before="280" w:after="80"/>
      </w:pPr>
      <w:r>
        <w:rPr>
          <w:rFonts w:ascii="Calibri" w:hAnsi="Calibri"/>
          <w:b/>
          <w:color w:val="0B3D91"/>
          <w:sz w:val="34"/>
        </w:rPr>
        <w:t>2. Introduction</w:t>
      </w:r>
    </w:p>
    <w:p>
      <w:pPr>
        <w:spacing w:before="0" w:after="120" w:line="276" w:lineRule="auto"/>
      </w:pPr>
      <w:r>
        <w:rPr>
          <w:rFonts w:ascii="Calibri" w:hAnsi="Calibri"/>
          <w:b/>
          <w:color w:val="0F172A"/>
          <w:sz w:val="21"/>
        </w:rPr>
        <w:t xml:space="preserve">Operational Background: </w:t>
      </w:r>
      <w:r>
        <w:rPr>
          <w:rFonts w:ascii="Calibri" w:hAnsi="Calibri"/>
          <w:i w:val="0"/>
          <w:color w:val="334155"/>
          <w:sz w:val="21"/>
        </w:rPr>
        <w:t>Wildfires represent one of the most critical environmental and economic hazards globally, devastating ecosystems, destroying infrastructure, and emitting massive quantities of atmospheric greenhouse gases. Spaceborne remote sensing—specifically the Visible Infrared Imaging Radiometer Suite (VIIRS) aboard the Suomi National Polar-orbiting Partnership (Suomi-NPP) satellite—provides near-continuous global active fire surveillance. However, the volume and velocity of polar-orbiting satellite feeds present substantial computational bottlenecks for emergency dispatch agencies such as CAL FIRE, EFFIS, and the Australian Rural Fire Service.</w:t>
      </w:r>
    </w:p>
    <w:p>
      <w:pPr>
        <w:spacing w:before="0" w:after="120" w:line="276" w:lineRule="auto"/>
      </w:pPr>
      <w:r>
        <w:rPr>
          <w:rFonts w:ascii="Calibri" w:hAnsi="Calibri"/>
          <w:b/>
          <w:color w:val="0F172A"/>
          <w:sz w:val="21"/>
        </w:rPr>
        <w:t xml:space="preserve">Problem Statement: </w:t>
      </w:r>
      <w:r>
        <w:rPr>
          <w:rFonts w:ascii="Calibri" w:hAnsi="Calibri"/>
          <w:i w:val="0"/>
          <w:color w:val="334155"/>
          <w:sz w:val="21"/>
        </w:rPr>
        <w:t>Conventional single-machine data analysis pipelines suffer from prohibitive memory constraints and lengthy processing cycles when attempting multi-dimensional temporal aggregations over millions of geographic telemetry records. Furthermore, machine-learning models developed for wildfire dispatch frequently suffer from temporal data leakage when evaluated with standard random shuffling, obscuring real-world vulnerabilities caused by seasonal climate shifts. This technical report details the design, implementation, and empirical validation of a scalable Big Data architecture that overcomes these computational and methodological challenges.</w:t>
      </w:r>
    </w:p>
    <w:p>
      <w:pPr>
        <w:pStyle w:val="Heading1"/>
        <w:keepNext/>
        <w:spacing w:before="280" w:after="80"/>
      </w:pPr>
      <w:r>
        <w:rPr>
          <w:rFonts w:ascii="Calibri" w:hAnsi="Calibri"/>
          <w:b/>
          <w:color w:val="0B3D91"/>
          <w:sz w:val="34"/>
        </w:rPr>
        <w:t>3. Research Objectives</w:t>
      </w:r>
    </w:p>
    <w:p>
      <w:pPr>
        <w:spacing w:before="0" w:after="120" w:line="276" w:lineRule="auto"/>
      </w:pPr>
      <w:r>
        <w:rPr>
          <w:rFonts w:ascii="Calibri" w:hAnsi="Calibri"/>
          <w:i/>
          <w:color w:val="334155"/>
          <w:sz w:val="21"/>
        </w:rPr>
        <w:t>The primary research question guiding this investigation is: "When does observed global wildfire activity peak, how does thermal radiative energy fluctuate chronologically across days, months, and diurnal hours, and how does seasonal concept drift affect predictive triage models when evaluated under leakage-safe forward testing?"</w:t>
      </w:r>
    </w:p>
    <w:p>
      <w:pPr>
        <w:spacing w:before="0" w:after="120" w:line="276" w:lineRule="auto"/>
      </w:pPr>
      <w:r>
        <w:rPr>
          <w:rFonts w:ascii="Calibri" w:hAnsi="Calibri"/>
          <w:i w:val="0"/>
          <w:color w:val="334155"/>
          <w:sz w:val="21"/>
        </w:rPr>
        <w:t>To provide comprehensive, mathematically rigorous answers, five specific sub-objectives were established:</w:t>
      </w:r>
    </w:p>
    <w:p>
      <w:pPr>
        <w:spacing w:before="0" w:after="120" w:line="276" w:lineRule="auto"/>
      </w:pPr>
      <w:r>
        <w:rPr>
          <w:rFonts w:ascii="Calibri" w:hAnsi="Calibri"/>
          <w:b/>
          <w:color w:val="0F172A"/>
          <w:sz w:val="21"/>
        </w:rPr>
        <w:t xml:space="preserve">1. Identification of Global Peak Activity Dates: </w:t>
      </w:r>
      <w:r>
        <w:rPr>
          <w:rFonts w:ascii="Calibri" w:hAnsi="Calibri"/>
          <w:i w:val="0"/>
          <w:color w:val="334155"/>
          <w:sz w:val="21"/>
        </w:rPr>
        <w:t>Quantify daily detection frequency and apply rolling-window smoothing to isolate the highest-impact disaster dates globally.</w:t>
      </w:r>
    </w:p>
    <w:p>
      <w:pPr>
        <w:spacing w:before="0" w:after="120" w:line="276" w:lineRule="auto"/>
      </w:pPr>
      <w:r>
        <w:rPr>
          <w:rFonts w:ascii="Calibri" w:hAnsi="Calibri"/>
          <w:b/>
          <w:color w:val="0F172A"/>
          <w:sz w:val="21"/>
        </w:rPr>
        <w:t xml:space="preserve">2. Seasonal Volume and Energetic Dynamics: </w:t>
      </w:r>
      <w:r>
        <w:rPr>
          <w:rFonts w:ascii="Calibri" w:hAnsi="Calibri"/>
          <w:i w:val="0"/>
          <w:color w:val="334155"/>
          <w:sz w:val="21"/>
        </w:rPr>
        <w:t>Resolve Year-Month aggregated trends and conduct an exhaustive calendar continuity audit to detect archival sensor discontinuities.</w:t>
      </w:r>
    </w:p>
    <w:p>
      <w:pPr>
        <w:spacing w:before="0" w:after="120" w:line="276" w:lineRule="auto"/>
      </w:pPr>
      <w:r>
        <w:rPr>
          <w:rFonts w:ascii="Calibri" w:hAnsi="Calibri"/>
          <w:b/>
          <w:color w:val="0F172A"/>
          <w:sz w:val="21"/>
        </w:rPr>
        <w:t xml:space="preserve">3. Diurnal Cycle and Acquisition Dynamics: </w:t>
      </w:r>
      <w:r>
        <w:rPr>
          <w:rFonts w:ascii="Calibri" w:hAnsi="Calibri"/>
          <w:i w:val="0"/>
          <w:color w:val="334155"/>
          <w:sz w:val="21"/>
        </w:rPr>
        <w:t>Aggregate telemetry into 24-hour UTC bins to delineate diurnal solar convective peaks and assess the impact of polar sun-synchronous overpass windows.</w:t>
      </w:r>
    </w:p>
    <w:p>
      <w:pPr>
        <w:spacing w:before="0" w:after="120" w:line="276" w:lineRule="auto"/>
      </w:pPr>
      <w:r>
        <w:rPr>
          <w:rFonts w:ascii="Calibri" w:hAnsi="Calibri"/>
          <w:b/>
          <w:color w:val="0F172A"/>
          <w:sz w:val="21"/>
        </w:rPr>
        <w:t xml:space="preserve">4. Day versus Night Thermal Energetics: </w:t>
      </w:r>
      <w:r>
        <w:rPr>
          <w:rFonts w:ascii="Calibri" w:hAnsi="Calibri"/>
          <w:i w:val="0"/>
          <w:color w:val="334155"/>
          <w:sz w:val="21"/>
        </w:rPr>
        <w:t>Characterize the radiative power contrast between daytime and nighttime events and derive emergency dispatch triage thresholds.</w:t>
      </w:r>
    </w:p>
    <w:p>
      <w:pPr>
        <w:spacing w:before="0" w:after="120" w:line="276" w:lineRule="auto"/>
      </w:pPr>
      <w:r>
        <w:rPr>
          <w:rFonts w:ascii="Calibri" w:hAnsi="Calibri"/>
          <w:b/>
          <w:color w:val="0F172A"/>
          <w:sz w:val="21"/>
        </w:rPr>
        <w:t xml:space="preserve">5. Leakage-Safe Machine Learning Validation: </w:t>
      </w:r>
      <w:r>
        <w:rPr>
          <w:rFonts w:ascii="Calibri" w:hAnsi="Calibri"/>
          <w:i w:val="0"/>
          <w:color w:val="334155"/>
          <w:sz w:val="21"/>
        </w:rPr>
        <w:t>Develop a forward-chronological holdout split to measure model resilience against temporal domain shift and deploy the pipeline into an operational web framework.</w:t>
      </w:r>
    </w:p>
    <w:p>
      <w:pPr>
        <w:pStyle w:val="Heading1"/>
        <w:keepNext/>
        <w:spacing w:before="280" w:after="80"/>
      </w:pPr>
      <w:r>
        <w:rPr>
          <w:rFonts w:ascii="Calibri" w:hAnsi="Calibri"/>
          <w:b/>
          <w:color w:val="0B3D91"/>
          <w:sz w:val="34"/>
        </w:rPr>
        <w:t>4. Dataset Description &amp; Telemetry Specifications</w:t>
      </w:r>
    </w:p>
    <w:p>
      <w:pPr>
        <w:spacing w:before="0" w:after="120" w:line="276" w:lineRule="auto"/>
      </w:pPr>
      <w:r>
        <w:rPr>
          <w:rFonts w:ascii="Calibri" w:hAnsi="Calibri"/>
          <w:b/>
          <w:color w:val="0F172A"/>
          <w:sz w:val="21"/>
        </w:rPr>
        <w:t xml:space="preserve">Data Source &amp; Volume: </w:t>
      </w:r>
      <w:r>
        <w:rPr>
          <w:rFonts w:ascii="Calibri" w:hAnsi="Calibri"/>
          <w:i w:val="0"/>
          <w:color w:val="334155"/>
          <w:sz w:val="21"/>
        </w:rPr>
        <w:t>The dataset was sourced directly from the NASA Fire Information for Resource Management System (FIRMS) archive, designated as fire_archive_SV-C2_817450.csv (~730.16 MB uncompressed). The archive contains 9,511,402 individual hotspot detections collected across a 262-calendar-day observation span between October 12, 2025 and June 30, 2026.</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958"/>
        <w:gridCol w:w="1958"/>
        <w:gridCol w:w="1958"/>
        <w:gridCol w:w="1958"/>
        <w:gridCol w:w="1958"/>
      </w:tblGrid>
      <w:tr>
        <w:tc>
          <w:tcPr>
            <w:tcW w:type="dxa" w:w="1584"/>
            <w:shd w:fill="0B3D91"/>
            <w:tcMar>
              <w:top w:w="120" w:type="dxa"/>
              <w:bottom w:w="120" w:type="dxa"/>
              <w:left w:w="120" w:type="dxa"/>
              <w:right w:w="120" w:type="dxa"/>
            </w:tcMar>
          </w:tcPr>
          <w:p>
            <w:pPr>
              <w:spacing w:before="0" w:after="0"/>
              <w:jc w:val="left"/>
            </w:pPr>
            <w:r>
              <w:rPr>
                <w:rFonts w:ascii="Calibri" w:hAnsi="Calibri"/>
                <w:b/>
                <w:color w:val="FFFFFF"/>
                <w:sz w:val="19"/>
              </w:rPr>
              <w:t>Attribute</w:t>
            </w:r>
          </w:p>
        </w:tc>
        <w:tc>
          <w:tcPr>
            <w:tcW w:type="dxa" w:w="1440"/>
            <w:shd w:fill="0B3D91"/>
            <w:tcMar>
              <w:top w:w="120" w:type="dxa"/>
              <w:bottom w:w="120" w:type="dxa"/>
              <w:left w:w="120" w:type="dxa"/>
              <w:right w:w="120" w:type="dxa"/>
            </w:tcMar>
          </w:tcPr>
          <w:p>
            <w:pPr>
              <w:spacing w:before="0" w:after="0"/>
              <w:jc w:val="center"/>
            </w:pPr>
            <w:r>
              <w:rPr>
                <w:rFonts w:ascii="Calibri" w:hAnsi="Calibri"/>
                <w:b/>
                <w:color w:val="FFFFFF"/>
                <w:sz w:val="19"/>
              </w:rPr>
              <w:t>Data Type</w:t>
            </w:r>
          </w:p>
        </w:tc>
        <w:tc>
          <w:tcPr>
            <w:tcW w:type="dxa" w:w="3312"/>
            <w:shd w:fill="0B3D91"/>
            <w:tcMar>
              <w:top w:w="120" w:type="dxa"/>
              <w:bottom w:w="120" w:type="dxa"/>
              <w:left w:w="120" w:type="dxa"/>
              <w:right w:w="120" w:type="dxa"/>
            </w:tcMar>
          </w:tcPr>
          <w:p>
            <w:pPr>
              <w:spacing w:before="0" w:after="0"/>
              <w:jc w:val="left"/>
            </w:pPr>
            <w:r>
              <w:rPr>
                <w:rFonts w:ascii="Calibri" w:hAnsi="Calibri"/>
                <w:b/>
                <w:color w:val="FFFFFF"/>
                <w:sz w:val="19"/>
              </w:rPr>
              <w:t>Physical Description</w:t>
            </w:r>
          </w:p>
        </w:tc>
        <w:tc>
          <w:tcPr>
            <w:tcW w:type="dxa" w:w="1296"/>
            <w:shd w:fill="0B3D91"/>
            <w:tcMar>
              <w:top w:w="120" w:type="dxa"/>
              <w:bottom w:w="120" w:type="dxa"/>
              <w:left w:w="120" w:type="dxa"/>
              <w:right w:w="120" w:type="dxa"/>
            </w:tcMar>
          </w:tcPr>
          <w:p>
            <w:pPr>
              <w:spacing w:before="0" w:after="0"/>
              <w:jc w:val="center"/>
            </w:pPr>
            <w:r>
              <w:rPr>
                <w:rFonts w:ascii="Calibri" w:hAnsi="Calibri"/>
                <w:b/>
                <w:color w:val="FFFFFF"/>
                <w:sz w:val="19"/>
              </w:rPr>
              <w:t>Null Count</w:t>
            </w:r>
          </w:p>
        </w:tc>
        <w:tc>
          <w:tcPr>
            <w:tcW w:type="dxa" w:w="2160"/>
            <w:shd w:fill="0B3D91"/>
            <w:tcMar>
              <w:top w:w="120" w:type="dxa"/>
              <w:bottom w:w="120" w:type="dxa"/>
              <w:left w:w="120" w:type="dxa"/>
              <w:right w:w="120" w:type="dxa"/>
            </w:tcMar>
          </w:tcPr>
          <w:p>
            <w:pPr>
              <w:spacing w:before="0" w:after="0"/>
              <w:jc w:val="left"/>
            </w:pPr>
            <w:r>
              <w:rPr>
                <w:rFonts w:ascii="Calibri" w:hAnsi="Calibri"/>
                <w:b/>
                <w:color w:val="FFFFFF"/>
                <w:sz w:val="19"/>
              </w:rPr>
              <w:t>Operational Validity</w:t>
            </w:r>
          </w:p>
        </w:tc>
      </w:tr>
      <w:tr>
        <w:tc>
          <w:tcPr>
            <w:tcW w:type="dxa" w:w="1584"/>
            <w:shd w:fill="FFFFFF"/>
            <w:tcMar>
              <w:top w:w="85" w:type="dxa"/>
              <w:bottom w:w="85" w:type="dxa"/>
              <w:left w:w="120" w:type="dxa"/>
              <w:right w:w="120" w:type="dxa"/>
            </w:tcMar>
          </w:tcPr>
          <w:p>
            <w:pPr>
              <w:spacing w:before="0" w:after="0"/>
              <w:jc w:val="left"/>
            </w:pPr>
            <w:r>
              <w:rPr>
                <w:rFonts w:ascii="Calibri" w:hAnsi="Calibri"/>
                <w:b/>
                <w:color w:val="1E293B"/>
                <w:sz w:val="18"/>
              </w:rPr>
              <w:t>latitude</w:t>
            </w:r>
          </w:p>
        </w:tc>
        <w:tc>
          <w:tcPr>
            <w:tcW w:type="dxa" w:w="1440"/>
            <w:shd w:fill="FFFFFF"/>
            <w:tcMar>
              <w:top w:w="85" w:type="dxa"/>
              <w:bottom w:w="85" w:type="dxa"/>
              <w:left w:w="120" w:type="dxa"/>
              <w:right w:w="120" w:type="dxa"/>
            </w:tcMar>
          </w:tcPr>
          <w:p>
            <w:pPr>
              <w:spacing w:before="0" w:after="0"/>
              <w:jc w:val="center"/>
            </w:pPr>
            <w:r>
              <w:rPr>
                <w:rFonts w:ascii="Calibri" w:hAnsi="Calibri"/>
                <w:color w:val="1E293B"/>
                <w:sz w:val="18"/>
              </w:rPr>
              <w:t>Double</w:t>
            </w:r>
          </w:p>
        </w:tc>
        <w:tc>
          <w:tcPr>
            <w:tcW w:type="dxa" w:w="3312"/>
            <w:shd w:fill="FFFFFF"/>
            <w:tcMar>
              <w:top w:w="85" w:type="dxa"/>
              <w:bottom w:w="85" w:type="dxa"/>
              <w:left w:w="120" w:type="dxa"/>
              <w:right w:w="120" w:type="dxa"/>
            </w:tcMar>
          </w:tcPr>
          <w:p>
            <w:pPr>
              <w:spacing w:before="0" w:after="0"/>
              <w:jc w:val="left"/>
            </w:pPr>
            <w:r>
              <w:rPr>
                <w:rFonts w:ascii="Calibri" w:hAnsi="Calibri"/>
                <w:color w:val="1E293B"/>
                <w:sz w:val="18"/>
              </w:rPr>
              <w:t>Center latitude of the 375m sensor pixel</w:t>
            </w:r>
          </w:p>
        </w:tc>
        <w:tc>
          <w:tcPr>
            <w:tcW w:type="dxa" w:w="1296"/>
            <w:shd w:fill="FFFFFF"/>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FFFFF"/>
            <w:tcMar>
              <w:top w:w="85" w:type="dxa"/>
              <w:bottom w:w="85" w:type="dxa"/>
              <w:left w:w="120" w:type="dxa"/>
              <w:right w:w="120" w:type="dxa"/>
            </w:tcMar>
          </w:tcPr>
          <w:p>
            <w:pPr>
              <w:spacing w:before="0" w:after="0"/>
              <w:jc w:val="left"/>
            </w:pPr>
            <w:r>
              <w:rPr>
                <w:rFonts w:ascii="Calibri" w:hAnsi="Calibri"/>
                <w:color w:val="1E293B"/>
                <w:sz w:val="18"/>
              </w:rPr>
              <w:t>100% valid (-90.0° to +90.0°)</w:t>
            </w:r>
          </w:p>
        </w:tc>
      </w:tr>
      <w:tr>
        <w:tc>
          <w:tcPr>
            <w:tcW w:type="dxa" w:w="1584"/>
            <w:shd w:fill="F8FAFC"/>
            <w:tcMar>
              <w:top w:w="85" w:type="dxa"/>
              <w:bottom w:w="85" w:type="dxa"/>
              <w:left w:w="120" w:type="dxa"/>
              <w:right w:w="120" w:type="dxa"/>
            </w:tcMar>
          </w:tcPr>
          <w:p>
            <w:pPr>
              <w:spacing w:before="0" w:after="0"/>
              <w:jc w:val="left"/>
            </w:pPr>
            <w:r>
              <w:rPr>
                <w:rFonts w:ascii="Calibri" w:hAnsi="Calibri"/>
                <w:b/>
                <w:color w:val="1E293B"/>
                <w:sz w:val="18"/>
              </w:rPr>
              <w:t>longitude</w:t>
            </w:r>
          </w:p>
        </w:tc>
        <w:tc>
          <w:tcPr>
            <w:tcW w:type="dxa" w:w="1440"/>
            <w:shd w:fill="F8FAFC"/>
            <w:tcMar>
              <w:top w:w="85" w:type="dxa"/>
              <w:bottom w:w="85" w:type="dxa"/>
              <w:left w:w="120" w:type="dxa"/>
              <w:right w:w="120" w:type="dxa"/>
            </w:tcMar>
          </w:tcPr>
          <w:p>
            <w:pPr>
              <w:spacing w:before="0" w:after="0"/>
              <w:jc w:val="center"/>
            </w:pPr>
            <w:r>
              <w:rPr>
                <w:rFonts w:ascii="Calibri" w:hAnsi="Calibri"/>
                <w:color w:val="1E293B"/>
                <w:sz w:val="18"/>
              </w:rPr>
              <w:t>Double</w:t>
            </w:r>
          </w:p>
        </w:tc>
        <w:tc>
          <w:tcPr>
            <w:tcW w:type="dxa" w:w="3312"/>
            <w:shd w:fill="F8FAFC"/>
            <w:tcMar>
              <w:top w:w="85" w:type="dxa"/>
              <w:bottom w:w="85" w:type="dxa"/>
              <w:left w:w="120" w:type="dxa"/>
              <w:right w:w="120" w:type="dxa"/>
            </w:tcMar>
          </w:tcPr>
          <w:p>
            <w:pPr>
              <w:spacing w:before="0" w:after="0"/>
              <w:jc w:val="left"/>
            </w:pPr>
            <w:r>
              <w:rPr>
                <w:rFonts w:ascii="Calibri" w:hAnsi="Calibri"/>
                <w:color w:val="1E293B"/>
                <w:sz w:val="18"/>
              </w:rPr>
              <w:t>Center longitude of the 375m sensor pixel</w:t>
            </w:r>
          </w:p>
        </w:tc>
        <w:tc>
          <w:tcPr>
            <w:tcW w:type="dxa" w:w="1296"/>
            <w:shd w:fill="F8FAFC"/>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8FAFC"/>
            <w:tcMar>
              <w:top w:w="85" w:type="dxa"/>
              <w:bottom w:w="85" w:type="dxa"/>
              <w:left w:w="120" w:type="dxa"/>
              <w:right w:w="120" w:type="dxa"/>
            </w:tcMar>
          </w:tcPr>
          <w:p>
            <w:pPr>
              <w:spacing w:before="0" w:after="0"/>
              <w:jc w:val="left"/>
            </w:pPr>
            <w:r>
              <w:rPr>
                <w:rFonts w:ascii="Calibri" w:hAnsi="Calibri"/>
                <w:color w:val="1E293B"/>
                <w:sz w:val="18"/>
              </w:rPr>
              <w:t>100% valid (-180.0° to +180.0°)</w:t>
            </w:r>
          </w:p>
        </w:tc>
      </w:tr>
      <w:tr>
        <w:tc>
          <w:tcPr>
            <w:tcW w:type="dxa" w:w="1584"/>
            <w:shd w:fill="FFFFFF"/>
            <w:tcMar>
              <w:top w:w="85" w:type="dxa"/>
              <w:bottom w:w="85" w:type="dxa"/>
              <w:left w:w="120" w:type="dxa"/>
              <w:right w:w="120" w:type="dxa"/>
            </w:tcMar>
          </w:tcPr>
          <w:p>
            <w:pPr>
              <w:spacing w:before="0" w:after="0"/>
              <w:jc w:val="left"/>
            </w:pPr>
            <w:r>
              <w:rPr>
                <w:rFonts w:ascii="Calibri" w:hAnsi="Calibri"/>
                <w:b/>
                <w:color w:val="1E293B"/>
                <w:sz w:val="18"/>
              </w:rPr>
              <w:t>brightness</w:t>
            </w:r>
          </w:p>
        </w:tc>
        <w:tc>
          <w:tcPr>
            <w:tcW w:type="dxa" w:w="1440"/>
            <w:shd w:fill="FFFFFF"/>
            <w:tcMar>
              <w:top w:w="85" w:type="dxa"/>
              <w:bottom w:w="85" w:type="dxa"/>
              <w:left w:w="120" w:type="dxa"/>
              <w:right w:w="120" w:type="dxa"/>
            </w:tcMar>
          </w:tcPr>
          <w:p>
            <w:pPr>
              <w:spacing w:before="0" w:after="0"/>
              <w:jc w:val="center"/>
            </w:pPr>
            <w:r>
              <w:rPr>
                <w:rFonts w:ascii="Calibri" w:hAnsi="Calibri"/>
                <w:color w:val="1E293B"/>
                <w:sz w:val="18"/>
              </w:rPr>
              <w:t>Double</w:t>
            </w:r>
          </w:p>
        </w:tc>
        <w:tc>
          <w:tcPr>
            <w:tcW w:type="dxa" w:w="3312"/>
            <w:shd w:fill="FFFFFF"/>
            <w:tcMar>
              <w:top w:w="85" w:type="dxa"/>
              <w:bottom w:w="85" w:type="dxa"/>
              <w:left w:w="120" w:type="dxa"/>
              <w:right w:w="120" w:type="dxa"/>
            </w:tcMar>
          </w:tcPr>
          <w:p>
            <w:pPr>
              <w:spacing w:before="0" w:after="0"/>
              <w:jc w:val="left"/>
            </w:pPr>
            <w:r>
              <w:rPr>
                <w:rFonts w:ascii="Calibri" w:hAnsi="Calibri"/>
                <w:color w:val="1E293B"/>
                <w:sz w:val="18"/>
              </w:rPr>
              <w:t>VIIRS I-4 thermal channel (4 µm) temperature (K)</w:t>
            </w:r>
          </w:p>
        </w:tc>
        <w:tc>
          <w:tcPr>
            <w:tcW w:type="dxa" w:w="1296"/>
            <w:shd w:fill="FFFFFF"/>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FFFFF"/>
            <w:tcMar>
              <w:top w:w="85" w:type="dxa"/>
              <w:bottom w:w="85" w:type="dxa"/>
              <w:left w:w="120" w:type="dxa"/>
              <w:right w:w="120" w:type="dxa"/>
            </w:tcMar>
          </w:tcPr>
          <w:p>
            <w:pPr>
              <w:spacing w:before="0" w:after="0"/>
              <w:jc w:val="left"/>
            </w:pPr>
            <w:r>
              <w:rPr>
                <w:rFonts w:ascii="Calibri" w:hAnsi="Calibri"/>
                <w:color w:val="1E293B"/>
                <w:sz w:val="18"/>
              </w:rPr>
              <w:t>Calibrated Kelvin scale</w:t>
            </w:r>
          </w:p>
        </w:tc>
      </w:tr>
      <w:tr>
        <w:tc>
          <w:tcPr>
            <w:tcW w:type="dxa" w:w="1584"/>
            <w:shd w:fill="F8FAFC"/>
            <w:tcMar>
              <w:top w:w="85" w:type="dxa"/>
              <w:bottom w:w="85" w:type="dxa"/>
              <w:left w:w="120" w:type="dxa"/>
              <w:right w:w="120" w:type="dxa"/>
            </w:tcMar>
          </w:tcPr>
          <w:p>
            <w:pPr>
              <w:spacing w:before="0" w:after="0"/>
              <w:jc w:val="left"/>
            </w:pPr>
            <w:r>
              <w:rPr>
                <w:rFonts w:ascii="Calibri" w:hAnsi="Calibri"/>
                <w:b/>
                <w:color w:val="1E293B"/>
                <w:sz w:val="18"/>
              </w:rPr>
              <w:t>scan, track</w:t>
            </w:r>
          </w:p>
        </w:tc>
        <w:tc>
          <w:tcPr>
            <w:tcW w:type="dxa" w:w="1440"/>
            <w:shd w:fill="F8FAFC"/>
            <w:tcMar>
              <w:top w:w="85" w:type="dxa"/>
              <w:bottom w:w="85" w:type="dxa"/>
              <w:left w:w="120" w:type="dxa"/>
              <w:right w:w="120" w:type="dxa"/>
            </w:tcMar>
          </w:tcPr>
          <w:p>
            <w:pPr>
              <w:spacing w:before="0" w:after="0"/>
              <w:jc w:val="center"/>
            </w:pPr>
            <w:r>
              <w:rPr>
                <w:rFonts w:ascii="Calibri" w:hAnsi="Calibri"/>
                <w:color w:val="1E293B"/>
                <w:sz w:val="18"/>
              </w:rPr>
              <w:t>Double</w:t>
            </w:r>
          </w:p>
        </w:tc>
        <w:tc>
          <w:tcPr>
            <w:tcW w:type="dxa" w:w="3312"/>
            <w:shd w:fill="F8FAFC"/>
            <w:tcMar>
              <w:top w:w="85" w:type="dxa"/>
              <w:bottom w:w="85" w:type="dxa"/>
              <w:left w:w="120" w:type="dxa"/>
              <w:right w:w="120" w:type="dxa"/>
            </w:tcMar>
          </w:tcPr>
          <w:p>
            <w:pPr>
              <w:spacing w:before="0" w:after="0"/>
              <w:jc w:val="left"/>
            </w:pPr>
            <w:r>
              <w:rPr>
                <w:rFonts w:ascii="Calibri" w:hAnsi="Calibri"/>
                <w:color w:val="1E293B"/>
                <w:sz w:val="18"/>
              </w:rPr>
              <w:t>Pixel spatial resolution dimensions along scan/track</w:t>
            </w:r>
          </w:p>
        </w:tc>
        <w:tc>
          <w:tcPr>
            <w:tcW w:type="dxa" w:w="1296"/>
            <w:shd w:fill="F8FAFC"/>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8FAFC"/>
            <w:tcMar>
              <w:top w:w="85" w:type="dxa"/>
              <w:bottom w:w="85" w:type="dxa"/>
              <w:left w:w="120" w:type="dxa"/>
              <w:right w:w="120" w:type="dxa"/>
            </w:tcMar>
          </w:tcPr>
          <w:p>
            <w:pPr>
              <w:spacing w:before="0" w:after="0"/>
              <w:jc w:val="left"/>
            </w:pPr>
            <w:r>
              <w:rPr>
                <w:rFonts w:ascii="Calibri" w:hAnsi="Calibri"/>
                <w:color w:val="1E293B"/>
                <w:sz w:val="18"/>
              </w:rPr>
              <w:t>Geometric footprint metrics</w:t>
            </w:r>
          </w:p>
        </w:tc>
      </w:tr>
      <w:tr>
        <w:tc>
          <w:tcPr>
            <w:tcW w:type="dxa" w:w="1584"/>
            <w:shd w:fill="FFFFFF"/>
            <w:tcMar>
              <w:top w:w="85" w:type="dxa"/>
              <w:bottom w:w="85" w:type="dxa"/>
              <w:left w:w="120" w:type="dxa"/>
              <w:right w:w="120" w:type="dxa"/>
            </w:tcMar>
          </w:tcPr>
          <w:p>
            <w:pPr>
              <w:spacing w:before="0" w:after="0"/>
              <w:jc w:val="left"/>
            </w:pPr>
            <w:r>
              <w:rPr>
                <w:rFonts w:ascii="Calibri" w:hAnsi="Calibri"/>
                <w:b/>
                <w:color w:val="1E293B"/>
                <w:sz w:val="18"/>
              </w:rPr>
              <w:t>acq_date</w:t>
            </w:r>
          </w:p>
        </w:tc>
        <w:tc>
          <w:tcPr>
            <w:tcW w:type="dxa" w:w="1440"/>
            <w:shd w:fill="FFFFFF"/>
            <w:tcMar>
              <w:top w:w="85" w:type="dxa"/>
              <w:bottom w:w="85" w:type="dxa"/>
              <w:left w:w="120" w:type="dxa"/>
              <w:right w:w="120" w:type="dxa"/>
            </w:tcMar>
          </w:tcPr>
          <w:p>
            <w:pPr>
              <w:spacing w:before="0" w:after="0"/>
              <w:jc w:val="center"/>
            </w:pPr>
            <w:r>
              <w:rPr>
                <w:rFonts w:ascii="Calibri" w:hAnsi="Calibri"/>
                <w:color w:val="1E293B"/>
                <w:sz w:val="18"/>
              </w:rPr>
              <w:t>String / Date</w:t>
            </w:r>
          </w:p>
        </w:tc>
        <w:tc>
          <w:tcPr>
            <w:tcW w:type="dxa" w:w="3312"/>
            <w:shd w:fill="FFFFFF"/>
            <w:tcMar>
              <w:top w:w="85" w:type="dxa"/>
              <w:bottom w:w="85" w:type="dxa"/>
              <w:left w:w="120" w:type="dxa"/>
              <w:right w:w="120" w:type="dxa"/>
            </w:tcMar>
          </w:tcPr>
          <w:p>
            <w:pPr>
              <w:spacing w:before="0" w:after="0"/>
              <w:jc w:val="left"/>
            </w:pPr>
            <w:r>
              <w:rPr>
                <w:rFonts w:ascii="Calibri" w:hAnsi="Calibri"/>
                <w:color w:val="1E293B"/>
                <w:sz w:val="18"/>
              </w:rPr>
              <w:t>Satellite overpass acquisition calendar date (UTC)</w:t>
            </w:r>
          </w:p>
        </w:tc>
        <w:tc>
          <w:tcPr>
            <w:tcW w:type="dxa" w:w="1296"/>
            <w:shd w:fill="FFFFFF"/>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FFFFF"/>
            <w:tcMar>
              <w:top w:w="85" w:type="dxa"/>
              <w:bottom w:w="85" w:type="dxa"/>
              <w:left w:w="120" w:type="dxa"/>
              <w:right w:w="120" w:type="dxa"/>
            </w:tcMar>
          </w:tcPr>
          <w:p>
            <w:pPr>
              <w:spacing w:before="0" w:after="0"/>
              <w:jc w:val="left"/>
            </w:pPr>
            <w:r>
              <w:rPr>
                <w:rFonts w:ascii="Calibri" w:hAnsi="Calibri"/>
                <w:color w:val="1E293B"/>
                <w:sz w:val="18"/>
              </w:rPr>
              <w:t>Continuous ISO-8601 strings</w:t>
            </w:r>
          </w:p>
        </w:tc>
      </w:tr>
      <w:tr>
        <w:tc>
          <w:tcPr>
            <w:tcW w:type="dxa" w:w="1584"/>
            <w:shd w:fill="F8FAFC"/>
            <w:tcMar>
              <w:top w:w="85" w:type="dxa"/>
              <w:bottom w:w="85" w:type="dxa"/>
              <w:left w:w="120" w:type="dxa"/>
              <w:right w:w="120" w:type="dxa"/>
            </w:tcMar>
          </w:tcPr>
          <w:p>
            <w:pPr>
              <w:spacing w:before="0" w:after="0"/>
              <w:jc w:val="left"/>
            </w:pPr>
            <w:r>
              <w:rPr>
                <w:rFonts w:ascii="Calibri" w:hAnsi="Calibri"/>
                <w:b/>
                <w:color w:val="1E293B"/>
                <w:sz w:val="18"/>
              </w:rPr>
              <w:t>acq_time</w:t>
            </w:r>
          </w:p>
        </w:tc>
        <w:tc>
          <w:tcPr>
            <w:tcW w:type="dxa" w:w="1440"/>
            <w:shd w:fill="F8FAFC"/>
            <w:tcMar>
              <w:top w:w="85" w:type="dxa"/>
              <w:bottom w:w="85" w:type="dxa"/>
              <w:left w:w="120" w:type="dxa"/>
              <w:right w:w="120" w:type="dxa"/>
            </w:tcMar>
          </w:tcPr>
          <w:p>
            <w:pPr>
              <w:spacing w:before="0" w:after="0"/>
              <w:jc w:val="center"/>
            </w:pPr>
            <w:r>
              <w:rPr>
                <w:rFonts w:ascii="Calibri" w:hAnsi="Calibri"/>
                <w:color w:val="1E293B"/>
                <w:sz w:val="18"/>
              </w:rPr>
              <w:t>Integer</w:t>
            </w:r>
          </w:p>
        </w:tc>
        <w:tc>
          <w:tcPr>
            <w:tcW w:type="dxa" w:w="3312"/>
            <w:shd w:fill="F8FAFC"/>
            <w:tcMar>
              <w:top w:w="85" w:type="dxa"/>
              <w:bottom w:w="85" w:type="dxa"/>
              <w:left w:w="120" w:type="dxa"/>
              <w:right w:w="120" w:type="dxa"/>
            </w:tcMar>
          </w:tcPr>
          <w:p>
            <w:pPr>
              <w:spacing w:before="0" w:after="0"/>
              <w:jc w:val="left"/>
            </w:pPr>
            <w:r>
              <w:rPr>
                <w:rFonts w:ascii="Calibri" w:hAnsi="Calibri"/>
                <w:color w:val="1E293B"/>
                <w:sz w:val="18"/>
              </w:rPr>
              <w:t>UTC acquisition timestamp in HHMM format</w:t>
            </w:r>
          </w:p>
        </w:tc>
        <w:tc>
          <w:tcPr>
            <w:tcW w:type="dxa" w:w="1296"/>
            <w:shd w:fill="F8FAFC"/>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8FAFC"/>
            <w:tcMar>
              <w:top w:w="85" w:type="dxa"/>
              <w:bottom w:w="85" w:type="dxa"/>
              <w:left w:w="120" w:type="dxa"/>
              <w:right w:w="120" w:type="dxa"/>
            </w:tcMar>
          </w:tcPr>
          <w:p>
            <w:pPr>
              <w:spacing w:before="0" w:after="0"/>
              <w:jc w:val="left"/>
            </w:pPr>
            <w:r>
              <w:rPr>
                <w:rFonts w:ascii="Calibri" w:hAnsi="Calibri"/>
                <w:color w:val="1E293B"/>
                <w:sz w:val="18"/>
              </w:rPr>
              <w:t>0000 to 2359 UTC valid</w:t>
            </w:r>
          </w:p>
        </w:tc>
      </w:tr>
      <w:tr>
        <w:tc>
          <w:tcPr>
            <w:tcW w:type="dxa" w:w="1584"/>
            <w:shd w:fill="FFFFFF"/>
            <w:tcMar>
              <w:top w:w="85" w:type="dxa"/>
              <w:bottom w:w="85" w:type="dxa"/>
              <w:left w:w="120" w:type="dxa"/>
              <w:right w:w="120" w:type="dxa"/>
            </w:tcMar>
          </w:tcPr>
          <w:p>
            <w:pPr>
              <w:spacing w:before="0" w:after="0"/>
              <w:jc w:val="left"/>
            </w:pPr>
            <w:r>
              <w:rPr>
                <w:rFonts w:ascii="Calibri" w:hAnsi="Calibri"/>
                <w:b/>
                <w:color w:val="1E293B"/>
                <w:sz w:val="18"/>
              </w:rPr>
              <w:t>satellite</w:t>
            </w:r>
          </w:p>
        </w:tc>
        <w:tc>
          <w:tcPr>
            <w:tcW w:type="dxa" w:w="1440"/>
            <w:shd w:fill="FFFFFF"/>
            <w:tcMar>
              <w:top w:w="85" w:type="dxa"/>
              <w:bottom w:w="85" w:type="dxa"/>
              <w:left w:w="120" w:type="dxa"/>
              <w:right w:w="120" w:type="dxa"/>
            </w:tcMar>
          </w:tcPr>
          <w:p>
            <w:pPr>
              <w:spacing w:before="0" w:after="0"/>
              <w:jc w:val="center"/>
            </w:pPr>
            <w:r>
              <w:rPr>
                <w:rFonts w:ascii="Calibri" w:hAnsi="Calibri"/>
                <w:color w:val="1E293B"/>
                <w:sz w:val="18"/>
              </w:rPr>
              <w:t>String</w:t>
            </w:r>
          </w:p>
        </w:tc>
        <w:tc>
          <w:tcPr>
            <w:tcW w:type="dxa" w:w="3312"/>
            <w:shd w:fill="FFFFFF"/>
            <w:tcMar>
              <w:top w:w="85" w:type="dxa"/>
              <w:bottom w:w="85" w:type="dxa"/>
              <w:left w:w="120" w:type="dxa"/>
              <w:right w:w="120" w:type="dxa"/>
            </w:tcMar>
          </w:tcPr>
          <w:p>
            <w:pPr>
              <w:spacing w:before="0" w:after="0"/>
              <w:jc w:val="left"/>
            </w:pPr>
            <w:r>
              <w:rPr>
                <w:rFonts w:ascii="Calibri" w:hAnsi="Calibri"/>
                <w:color w:val="1E293B"/>
                <w:sz w:val="18"/>
              </w:rPr>
              <w:t>Spacecraft constellation identifier (Suomi-NPP)</w:t>
            </w:r>
          </w:p>
        </w:tc>
        <w:tc>
          <w:tcPr>
            <w:tcW w:type="dxa" w:w="1296"/>
            <w:shd w:fill="FFFFFF"/>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FFFFF"/>
            <w:tcMar>
              <w:top w:w="85" w:type="dxa"/>
              <w:bottom w:w="85" w:type="dxa"/>
              <w:left w:w="120" w:type="dxa"/>
              <w:right w:w="120" w:type="dxa"/>
            </w:tcMar>
          </w:tcPr>
          <w:p>
            <w:pPr>
              <w:spacing w:before="0" w:after="0"/>
              <w:jc w:val="left"/>
            </w:pPr>
            <w:r>
              <w:rPr>
                <w:rFonts w:ascii="Calibri" w:hAnsi="Calibri"/>
                <w:color w:val="1E293B"/>
                <w:sz w:val="18"/>
              </w:rPr>
              <w:t>100% Suomi-NPP VIIRS</w:t>
            </w:r>
          </w:p>
        </w:tc>
      </w:tr>
      <w:tr>
        <w:tc>
          <w:tcPr>
            <w:tcW w:type="dxa" w:w="1584"/>
            <w:shd w:fill="F8FAFC"/>
            <w:tcMar>
              <w:top w:w="85" w:type="dxa"/>
              <w:bottom w:w="85" w:type="dxa"/>
              <w:left w:w="120" w:type="dxa"/>
              <w:right w:w="120" w:type="dxa"/>
            </w:tcMar>
          </w:tcPr>
          <w:p>
            <w:pPr>
              <w:spacing w:before="0" w:after="0"/>
              <w:jc w:val="left"/>
            </w:pPr>
            <w:r>
              <w:rPr>
                <w:rFonts w:ascii="Calibri" w:hAnsi="Calibri"/>
                <w:b/>
                <w:color w:val="1E293B"/>
                <w:sz w:val="18"/>
              </w:rPr>
              <w:t>confidence</w:t>
            </w:r>
          </w:p>
        </w:tc>
        <w:tc>
          <w:tcPr>
            <w:tcW w:type="dxa" w:w="1440"/>
            <w:shd w:fill="F8FAFC"/>
            <w:tcMar>
              <w:top w:w="85" w:type="dxa"/>
              <w:bottom w:w="85" w:type="dxa"/>
              <w:left w:w="120" w:type="dxa"/>
              <w:right w:w="120" w:type="dxa"/>
            </w:tcMar>
          </w:tcPr>
          <w:p>
            <w:pPr>
              <w:spacing w:before="0" w:after="0"/>
              <w:jc w:val="center"/>
            </w:pPr>
            <w:r>
              <w:rPr>
                <w:rFonts w:ascii="Calibri" w:hAnsi="Calibri"/>
                <w:color w:val="1E293B"/>
                <w:sz w:val="18"/>
              </w:rPr>
              <w:t>String</w:t>
            </w:r>
          </w:p>
        </w:tc>
        <w:tc>
          <w:tcPr>
            <w:tcW w:type="dxa" w:w="3312"/>
            <w:shd w:fill="F8FAFC"/>
            <w:tcMar>
              <w:top w:w="85" w:type="dxa"/>
              <w:bottom w:w="85" w:type="dxa"/>
              <w:left w:w="120" w:type="dxa"/>
              <w:right w:w="120" w:type="dxa"/>
            </w:tcMar>
          </w:tcPr>
          <w:p>
            <w:pPr>
              <w:spacing w:before="0" w:after="0"/>
              <w:jc w:val="left"/>
            </w:pPr>
            <w:r>
              <w:rPr>
                <w:rFonts w:ascii="Calibri" w:hAnsi="Calibri"/>
                <w:color w:val="1E293B"/>
                <w:sz w:val="18"/>
              </w:rPr>
              <w:t>NASA algorithmic detection quality tier (l, n, h)</w:t>
            </w:r>
          </w:p>
        </w:tc>
        <w:tc>
          <w:tcPr>
            <w:tcW w:type="dxa" w:w="1296"/>
            <w:shd w:fill="F8FAFC"/>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8FAFC"/>
            <w:tcMar>
              <w:top w:w="85" w:type="dxa"/>
              <w:bottom w:w="85" w:type="dxa"/>
              <w:left w:w="120" w:type="dxa"/>
              <w:right w:w="120" w:type="dxa"/>
            </w:tcMar>
          </w:tcPr>
          <w:p>
            <w:pPr>
              <w:spacing w:before="0" w:after="0"/>
              <w:jc w:val="left"/>
            </w:pPr>
            <w:r>
              <w:rPr>
                <w:rFonts w:ascii="Calibri" w:hAnsi="Calibri"/>
                <w:color w:val="1E293B"/>
                <w:sz w:val="18"/>
              </w:rPr>
              <w:t>Quality assurance metadata</w:t>
            </w:r>
          </w:p>
        </w:tc>
      </w:tr>
      <w:tr>
        <w:tc>
          <w:tcPr>
            <w:tcW w:type="dxa" w:w="1584"/>
            <w:shd w:fill="FFFFFF"/>
            <w:tcMar>
              <w:top w:w="85" w:type="dxa"/>
              <w:bottom w:w="85" w:type="dxa"/>
              <w:left w:w="120" w:type="dxa"/>
              <w:right w:w="120" w:type="dxa"/>
            </w:tcMar>
          </w:tcPr>
          <w:p>
            <w:pPr>
              <w:spacing w:before="0" w:after="0"/>
              <w:jc w:val="left"/>
            </w:pPr>
            <w:r>
              <w:rPr>
                <w:rFonts w:ascii="Calibri" w:hAnsi="Calibri"/>
                <w:b/>
                <w:color w:val="1E293B"/>
                <w:sz w:val="18"/>
              </w:rPr>
              <w:t>bright_t31</w:t>
            </w:r>
          </w:p>
        </w:tc>
        <w:tc>
          <w:tcPr>
            <w:tcW w:type="dxa" w:w="1440"/>
            <w:shd w:fill="FFFFFF"/>
            <w:tcMar>
              <w:top w:w="85" w:type="dxa"/>
              <w:bottom w:w="85" w:type="dxa"/>
              <w:left w:w="120" w:type="dxa"/>
              <w:right w:w="120" w:type="dxa"/>
            </w:tcMar>
          </w:tcPr>
          <w:p>
            <w:pPr>
              <w:spacing w:before="0" w:after="0"/>
              <w:jc w:val="center"/>
            </w:pPr>
            <w:r>
              <w:rPr>
                <w:rFonts w:ascii="Calibri" w:hAnsi="Calibri"/>
                <w:color w:val="1E293B"/>
                <w:sz w:val="18"/>
              </w:rPr>
              <w:t>Double</w:t>
            </w:r>
          </w:p>
        </w:tc>
        <w:tc>
          <w:tcPr>
            <w:tcW w:type="dxa" w:w="3312"/>
            <w:shd w:fill="FFFFFF"/>
            <w:tcMar>
              <w:top w:w="85" w:type="dxa"/>
              <w:bottom w:w="85" w:type="dxa"/>
              <w:left w:w="120" w:type="dxa"/>
              <w:right w:w="120" w:type="dxa"/>
            </w:tcMar>
          </w:tcPr>
          <w:p>
            <w:pPr>
              <w:spacing w:before="0" w:after="0"/>
              <w:jc w:val="left"/>
            </w:pPr>
            <w:r>
              <w:rPr>
                <w:rFonts w:ascii="Calibri" w:hAnsi="Calibri"/>
                <w:color w:val="1E293B"/>
                <w:sz w:val="18"/>
              </w:rPr>
              <w:t>VIIRS I-5 background channel (11 µm) temperature (K)</w:t>
            </w:r>
          </w:p>
        </w:tc>
        <w:tc>
          <w:tcPr>
            <w:tcW w:type="dxa" w:w="1296"/>
            <w:shd w:fill="FFFFFF"/>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FFFFF"/>
            <w:tcMar>
              <w:top w:w="85" w:type="dxa"/>
              <w:bottom w:w="85" w:type="dxa"/>
              <w:left w:w="120" w:type="dxa"/>
              <w:right w:w="120" w:type="dxa"/>
            </w:tcMar>
          </w:tcPr>
          <w:p>
            <w:pPr>
              <w:spacing w:before="0" w:after="0"/>
              <w:jc w:val="left"/>
            </w:pPr>
            <w:r>
              <w:rPr>
                <w:rFonts w:ascii="Calibri" w:hAnsi="Calibri"/>
                <w:color w:val="1E293B"/>
                <w:sz w:val="18"/>
              </w:rPr>
              <w:t>Thermal background baseline</w:t>
            </w:r>
          </w:p>
        </w:tc>
      </w:tr>
      <w:tr>
        <w:tc>
          <w:tcPr>
            <w:tcW w:type="dxa" w:w="1584"/>
            <w:shd w:fill="F8FAFC"/>
            <w:tcMar>
              <w:top w:w="85" w:type="dxa"/>
              <w:bottom w:w="85" w:type="dxa"/>
              <w:left w:w="120" w:type="dxa"/>
              <w:right w:w="120" w:type="dxa"/>
            </w:tcMar>
          </w:tcPr>
          <w:p>
            <w:pPr>
              <w:spacing w:before="0" w:after="0"/>
              <w:jc w:val="left"/>
            </w:pPr>
            <w:r>
              <w:rPr>
                <w:rFonts w:ascii="Calibri" w:hAnsi="Calibri"/>
                <w:b/>
                <w:color w:val="1E293B"/>
                <w:sz w:val="18"/>
              </w:rPr>
              <w:t>frp</w:t>
            </w:r>
          </w:p>
        </w:tc>
        <w:tc>
          <w:tcPr>
            <w:tcW w:type="dxa" w:w="1440"/>
            <w:shd w:fill="F8FAFC"/>
            <w:tcMar>
              <w:top w:w="85" w:type="dxa"/>
              <w:bottom w:w="85" w:type="dxa"/>
              <w:left w:w="120" w:type="dxa"/>
              <w:right w:w="120" w:type="dxa"/>
            </w:tcMar>
          </w:tcPr>
          <w:p>
            <w:pPr>
              <w:spacing w:before="0" w:after="0"/>
              <w:jc w:val="center"/>
            </w:pPr>
            <w:r>
              <w:rPr>
                <w:rFonts w:ascii="Calibri" w:hAnsi="Calibri"/>
                <w:color w:val="1E293B"/>
                <w:sz w:val="18"/>
              </w:rPr>
              <w:t>Double</w:t>
            </w:r>
          </w:p>
        </w:tc>
        <w:tc>
          <w:tcPr>
            <w:tcW w:type="dxa" w:w="3312"/>
            <w:shd w:fill="F8FAFC"/>
            <w:tcMar>
              <w:top w:w="85" w:type="dxa"/>
              <w:bottom w:w="85" w:type="dxa"/>
              <w:left w:w="120" w:type="dxa"/>
              <w:right w:w="120" w:type="dxa"/>
            </w:tcMar>
          </w:tcPr>
          <w:p>
            <w:pPr>
              <w:spacing w:before="0" w:after="0"/>
              <w:jc w:val="left"/>
            </w:pPr>
            <w:r>
              <w:rPr>
                <w:rFonts w:ascii="Calibri" w:hAnsi="Calibri"/>
                <w:color w:val="1E293B"/>
                <w:sz w:val="18"/>
              </w:rPr>
              <w:t>Fire Radiative Power in MegaWatts (MW)</w:t>
            </w:r>
          </w:p>
        </w:tc>
        <w:tc>
          <w:tcPr>
            <w:tcW w:type="dxa" w:w="1296"/>
            <w:shd w:fill="F8FAFC"/>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8FAFC"/>
            <w:tcMar>
              <w:top w:w="85" w:type="dxa"/>
              <w:bottom w:w="85" w:type="dxa"/>
              <w:left w:w="120" w:type="dxa"/>
              <w:right w:w="120" w:type="dxa"/>
            </w:tcMar>
          </w:tcPr>
          <w:p>
            <w:pPr>
              <w:spacing w:before="0" w:after="0"/>
              <w:jc w:val="left"/>
            </w:pPr>
            <w:r>
              <w:rPr>
                <w:rFonts w:ascii="Calibri" w:hAnsi="Calibri"/>
                <w:color w:val="1E293B"/>
                <w:sz w:val="18"/>
              </w:rPr>
              <w:t>Biomass combustion rate</w:t>
            </w:r>
          </w:p>
        </w:tc>
      </w:tr>
      <w:tr>
        <w:tc>
          <w:tcPr>
            <w:tcW w:type="dxa" w:w="1584"/>
            <w:shd w:fill="FFFFFF"/>
            <w:tcMar>
              <w:top w:w="85" w:type="dxa"/>
              <w:bottom w:w="85" w:type="dxa"/>
              <w:left w:w="120" w:type="dxa"/>
              <w:right w:w="120" w:type="dxa"/>
            </w:tcMar>
          </w:tcPr>
          <w:p>
            <w:pPr>
              <w:spacing w:before="0" w:after="0"/>
              <w:jc w:val="left"/>
            </w:pPr>
            <w:r>
              <w:rPr>
                <w:rFonts w:ascii="Calibri" w:hAnsi="Calibri"/>
                <w:b/>
                <w:color w:val="1E293B"/>
                <w:sz w:val="18"/>
              </w:rPr>
              <w:t>daynight</w:t>
            </w:r>
          </w:p>
        </w:tc>
        <w:tc>
          <w:tcPr>
            <w:tcW w:type="dxa" w:w="1440"/>
            <w:shd w:fill="FFFFFF"/>
            <w:tcMar>
              <w:top w:w="85" w:type="dxa"/>
              <w:bottom w:w="85" w:type="dxa"/>
              <w:left w:w="120" w:type="dxa"/>
              <w:right w:w="120" w:type="dxa"/>
            </w:tcMar>
          </w:tcPr>
          <w:p>
            <w:pPr>
              <w:spacing w:before="0" w:after="0"/>
              <w:jc w:val="center"/>
            </w:pPr>
            <w:r>
              <w:rPr>
                <w:rFonts w:ascii="Calibri" w:hAnsi="Calibri"/>
                <w:color w:val="1E293B"/>
                <w:sz w:val="18"/>
              </w:rPr>
              <w:t>String</w:t>
            </w:r>
          </w:p>
        </w:tc>
        <w:tc>
          <w:tcPr>
            <w:tcW w:type="dxa" w:w="3312"/>
            <w:shd w:fill="FFFFFF"/>
            <w:tcMar>
              <w:top w:w="85" w:type="dxa"/>
              <w:bottom w:w="85" w:type="dxa"/>
              <w:left w:w="120" w:type="dxa"/>
              <w:right w:w="120" w:type="dxa"/>
            </w:tcMar>
          </w:tcPr>
          <w:p>
            <w:pPr>
              <w:spacing w:before="0" w:after="0"/>
              <w:jc w:val="left"/>
            </w:pPr>
            <w:r>
              <w:rPr>
                <w:rFonts w:ascii="Calibri" w:hAnsi="Calibri"/>
                <w:color w:val="1E293B"/>
                <w:sz w:val="18"/>
              </w:rPr>
              <w:t>Solar illumination flag: Diurnal ('D') vs. Nocturnal ('N')</w:t>
            </w:r>
          </w:p>
        </w:tc>
        <w:tc>
          <w:tcPr>
            <w:tcW w:type="dxa" w:w="1296"/>
            <w:shd w:fill="FFFFFF"/>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FFFFF"/>
            <w:tcMar>
              <w:top w:w="85" w:type="dxa"/>
              <w:bottom w:w="85" w:type="dxa"/>
              <w:left w:w="120" w:type="dxa"/>
              <w:right w:w="120" w:type="dxa"/>
            </w:tcMar>
          </w:tcPr>
          <w:p>
            <w:pPr>
              <w:spacing w:before="0" w:after="0"/>
              <w:jc w:val="left"/>
            </w:pPr>
            <w:r>
              <w:rPr>
                <w:rFonts w:ascii="Calibri" w:hAnsi="Calibri"/>
                <w:color w:val="1E293B"/>
                <w:sz w:val="18"/>
              </w:rPr>
              <w:t>Binary solar state</w:t>
            </w:r>
          </w:p>
        </w:tc>
      </w:tr>
      <w:tr>
        <w:tc>
          <w:tcPr>
            <w:tcW w:type="dxa" w:w="1584"/>
            <w:shd w:fill="F8FAFC"/>
            <w:tcMar>
              <w:top w:w="85" w:type="dxa"/>
              <w:bottom w:w="85" w:type="dxa"/>
              <w:left w:w="120" w:type="dxa"/>
              <w:right w:w="120" w:type="dxa"/>
            </w:tcMar>
          </w:tcPr>
          <w:p>
            <w:pPr>
              <w:spacing w:before="0" w:after="0"/>
              <w:jc w:val="left"/>
            </w:pPr>
            <w:r>
              <w:rPr>
                <w:rFonts w:ascii="Calibri" w:hAnsi="Calibri"/>
                <w:b/>
                <w:color w:val="1E293B"/>
                <w:sz w:val="18"/>
              </w:rPr>
              <w:t>type</w:t>
            </w:r>
          </w:p>
        </w:tc>
        <w:tc>
          <w:tcPr>
            <w:tcW w:type="dxa" w:w="1440"/>
            <w:shd w:fill="F8FAFC"/>
            <w:tcMar>
              <w:top w:w="85" w:type="dxa"/>
              <w:bottom w:w="85" w:type="dxa"/>
              <w:left w:w="120" w:type="dxa"/>
              <w:right w:w="120" w:type="dxa"/>
            </w:tcMar>
          </w:tcPr>
          <w:p>
            <w:pPr>
              <w:spacing w:before="0" w:after="0"/>
              <w:jc w:val="center"/>
            </w:pPr>
            <w:r>
              <w:rPr>
                <w:rFonts w:ascii="Calibri" w:hAnsi="Calibri"/>
                <w:color w:val="1E293B"/>
                <w:sz w:val="18"/>
              </w:rPr>
              <w:t>Integer</w:t>
            </w:r>
          </w:p>
        </w:tc>
        <w:tc>
          <w:tcPr>
            <w:tcW w:type="dxa" w:w="3312"/>
            <w:shd w:fill="F8FAFC"/>
            <w:tcMar>
              <w:top w:w="85" w:type="dxa"/>
              <w:bottom w:w="85" w:type="dxa"/>
              <w:left w:w="120" w:type="dxa"/>
              <w:right w:w="120" w:type="dxa"/>
            </w:tcMar>
          </w:tcPr>
          <w:p>
            <w:pPr>
              <w:spacing w:before="0" w:after="0"/>
              <w:jc w:val="left"/>
            </w:pPr>
            <w:r>
              <w:rPr>
                <w:rFonts w:ascii="Calibri" w:hAnsi="Calibri"/>
                <w:color w:val="1E293B"/>
                <w:sz w:val="18"/>
              </w:rPr>
              <w:t>Source classification (0=wildfire, 1=volcano, 2=industrial)</w:t>
            </w:r>
          </w:p>
        </w:tc>
        <w:tc>
          <w:tcPr>
            <w:tcW w:type="dxa" w:w="1296"/>
            <w:shd w:fill="F8FAFC"/>
            <w:tcMar>
              <w:top w:w="85" w:type="dxa"/>
              <w:bottom w:w="85" w:type="dxa"/>
              <w:left w:w="120" w:type="dxa"/>
              <w:right w:w="120" w:type="dxa"/>
            </w:tcMar>
          </w:tcPr>
          <w:p>
            <w:pPr>
              <w:spacing w:before="0" w:after="0"/>
              <w:jc w:val="center"/>
            </w:pPr>
            <w:r>
              <w:rPr>
                <w:rFonts w:ascii="Calibri" w:hAnsi="Calibri"/>
                <w:color w:val="1E293B"/>
                <w:sz w:val="18"/>
              </w:rPr>
              <w:t>0 (0.0%)</w:t>
            </w:r>
          </w:p>
        </w:tc>
        <w:tc>
          <w:tcPr>
            <w:tcW w:type="dxa" w:w="2160"/>
            <w:shd w:fill="F8FAFC"/>
            <w:tcMar>
              <w:top w:w="85" w:type="dxa"/>
              <w:bottom w:w="85" w:type="dxa"/>
              <w:left w:w="120" w:type="dxa"/>
              <w:right w:w="120" w:type="dxa"/>
            </w:tcMar>
          </w:tcPr>
          <w:p>
            <w:pPr>
              <w:spacing w:before="0" w:after="0"/>
              <w:jc w:val="left"/>
            </w:pPr>
            <w:r>
              <w:rPr>
                <w:rFonts w:ascii="Calibri" w:hAnsi="Calibri"/>
                <w:color w:val="1E293B"/>
                <w:sz w:val="18"/>
              </w:rPr>
              <w:t>90.1% vegetation fires</w:t>
            </w:r>
          </w:p>
        </w:tc>
      </w:tr>
    </w:tbl>
    <w:p>
      <w:pPr>
        <w:spacing w:after="120"/>
      </w:pPr>
    </w:p>
    <w:p>
      <w:pPr>
        <w:spacing w:before="0" w:after="120" w:line="276" w:lineRule="auto"/>
      </w:pPr>
      <w:r>
        <w:rPr>
          <w:rFonts w:ascii="Calibri" w:hAnsi="Calibri"/>
          <w:b/>
          <w:color w:val="0F172A"/>
          <w:sz w:val="21"/>
        </w:rPr>
        <w:t xml:space="preserve">Data Quality &amp; Integrity Audit: </w:t>
      </w:r>
      <w:r>
        <w:rPr>
          <w:rFonts w:ascii="Calibri" w:hAnsi="Calibri"/>
          <w:i w:val="0"/>
          <w:color w:val="334155"/>
          <w:sz w:val="21"/>
        </w:rPr>
        <w:t>Timestamps are recorded as UTC integers ranging from 0 to 2359. Integers below 1000 represent morning hours requiring leading-zero restoration (e.g., integer 53 corresponds to 00:53 UTC). Data integrity verification confirmed 100% compliance across all 9,511,402 rows, with zero null coordinates, zero malformed timestamps, and zero invalid physical temperatures.</w:t>
      </w:r>
    </w:p>
    <w:p>
      <w:pPr>
        <w:pStyle w:val="Heading1"/>
        <w:keepNext/>
        <w:spacing w:before="280" w:after="80"/>
      </w:pPr>
      <w:r>
        <w:rPr>
          <w:rFonts w:ascii="Calibri" w:hAnsi="Calibri"/>
          <w:b/>
          <w:color w:val="0B3D91"/>
          <w:sz w:val="34"/>
        </w:rPr>
        <w:t>5. Distributed Big Data Processing Architecture</w:t>
      </w:r>
    </w:p>
    <w:p>
      <w:pPr>
        <w:spacing w:before="0" w:after="120" w:line="276" w:lineRule="auto"/>
      </w:pPr>
      <w:r>
        <w:rPr>
          <w:rFonts w:ascii="Calibri" w:hAnsi="Calibri"/>
          <w:b/>
          <w:color w:val="0F172A"/>
          <w:sz w:val="21"/>
        </w:rPr>
        <w:t xml:space="preserve">Architectural Rationale: </w:t>
      </w:r>
      <w:r>
        <w:rPr>
          <w:rFonts w:ascii="Calibri" w:hAnsi="Calibri"/>
          <w:i w:val="0"/>
          <w:color w:val="334155"/>
          <w:sz w:val="21"/>
        </w:rPr>
        <w:t>Processing nearly 10 million multi-parameter geographic records exceeds the memory and compute capacity of single-threaded Python pandas, which triggers out-of-memory errors and runtimes exceeding 10 minutes. To provide scalable, fault-tolerant execution, a distributed architecture was constructed using Apache PySpark 4.2.0 executing on Java 21 LTS.</w:t>
      </w:r>
    </w:p>
    <w:p>
      <w:pPr>
        <w:spacing w:before="0" w:after="120" w:line="276" w:lineRule="auto"/>
      </w:pPr>
      <w:r>
        <w:rPr>
          <w:rFonts w:ascii="Calibri" w:hAnsi="Calibri"/>
          <w:b/>
          <w:color w:val="0F172A"/>
          <w:sz w:val="21"/>
        </w:rPr>
        <w:t xml:space="preserve">Execution Optimization: </w:t>
      </w:r>
      <w:r>
        <w:rPr>
          <w:rFonts w:ascii="Calibri" w:hAnsi="Calibri"/>
          <w:i w:val="0"/>
          <w:color w:val="334155"/>
          <w:sz w:val="21"/>
        </w:rPr>
        <w:t>PySpark's Catalyst Query Optimizer analyzes transformation expressions and compiles them into an optimized Directed Acyclic Graph (DAG) of Resilient Distributed Datasets (RDDs). Through lazy evaluation, column pruning, type casting, and spatial-temporal filtering are pipelined together. In-memory caching prevents redundant disk I/O across successive aggregation queries.</w:t>
      </w:r>
    </w:p>
    <w:p>
      <w:pPr>
        <w:pStyle w:val="Heading2"/>
        <w:keepNext/>
        <w:spacing w:before="280" w:after="80"/>
      </w:pPr>
      <w:r>
        <w:rPr>
          <w:rFonts w:ascii="Calibri" w:hAnsi="Calibri"/>
          <w:b/>
          <w:color w:val="1E293B"/>
          <w:sz w:val="26"/>
        </w:rPr>
        <w:t>Empirical PySpark Execution Benchmarks (9,511,402 Records)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958"/>
        <w:gridCol w:w="1958"/>
        <w:gridCol w:w="1958"/>
        <w:gridCol w:w="1958"/>
        <w:gridCol w:w="1958"/>
      </w:tblGrid>
      <w:tr>
        <w:tc>
          <w:tcPr>
            <w:tcW w:type="dxa" w:w="3168"/>
            <w:shd w:fill="0B3D91"/>
            <w:tcMar>
              <w:top w:w="120" w:type="dxa"/>
              <w:bottom w:w="120" w:type="dxa"/>
              <w:left w:w="120" w:type="dxa"/>
              <w:right w:w="120" w:type="dxa"/>
            </w:tcMar>
          </w:tcPr>
          <w:p>
            <w:pPr>
              <w:spacing w:before="0" w:after="0"/>
              <w:jc w:val="left"/>
            </w:pPr>
            <w:r>
              <w:rPr>
                <w:rFonts w:ascii="Calibri" w:hAnsi="Calibri"/>
                <w:b/>
                <w:color w:val="FFFFFF"/>
                <w:sz w:val="19"/>
              </w:rPr>
              <w:t>Pipeline Stage</w:t>
            </w:r>
          </w:p>
        </w:tc>
        <w:tc>
          <w:tcPr>
            <w:tcW w:type="dxa" w:w="2592"/>
            <w:shd w:fill="0B3D91"/>
            <w:tcMar>
              <w:top w:w="120" w:type="dxa"/>
              <w:bottom w:w="120" w:type="dxa"/>
              <w:left w:w="120" w:type="dxa"/>
              <w:right w:w="120" w:type="dxa"/>
            </w:tcMar>
          </w:tcPr>
          <w:p>
            <w:pPr>
              <w:spacing w:before="0" w:after="0"/>
              <w:jc w:val="left"/>
            </w:pPr>
            <w:r>
              <w:rPr>
                <w:rFonts w:ascii="Calibri" w:hAnsi="Calibri"/>
                <w:b/>
                <w:color w:val="FFFFFF"/>
                <w:sz w:val="19"/>
              </w:rPr>
              <w:t>Framework / Engine</w:t>
            </w:r>
          </w:p>
        </w:tc>
        <w:tc>
          <w:tcPr>
            <w:tcW w:type="dxa" w:w="1584"/>
            <w:shd w:fill="0B3D91"/>
            <w:tcMar>
              <w:top w:w="120" w:type="dxa"/>
              <w:bottom w:w="120" w:type="dxa"/>
              <w:left w:w="120" w:type="dxa"/>
              <w:right w:w="120" w:type="dxa"/>
            </w:tcMar>
          </w:tcPr>
          <w:p>
            <w:pPr>
              <w:spacing w:before="0" w:after="0"/>
              <w:jc w:val="left"/>
            </w:pPr>
            <w:r>
              <w:rPr>
                <w:rFonts w:ascii="Calibri" w:hAnsi="Calibri"/>
                <w:b/>
                <w:color w:val="FFFFFF"/>
                <w:sz w:val="19"/>
              </w:rPr>
              <w:t>Processed Rows</w:t>
            </w:r>
          </w:p>
        </w:tc>
        <w:tc>
          <w:tcPr>
            <w:tcW w:type="dxa" w:w="1296"/>
            <w:shd w:fill="0B3D91"/>
            <w:tcMar>
              <w:top w:w="120" w:type="dxa"/>
              <w:bottom w:w="120" w:type="dxa"/>
              <w:left w:w="120" w:type="dxa"/>
              <w:right w:w="120" w:type="dxa"/>
            </w:tcMar>
          </w:tcPr>
          <w:p>
            <w:pPr>
              <w:spacing w:before="0" w:after="0"/>
              <w:jc w:val="left"/>
            </w:pPr>
            <w:r>
              <w:rPr>
                <w:rFonts w:ascii="Calibri" w:hAnsi="Calibri"/>
                <w:b/>
                <w:color w:val="FFFFFF"/>
                <w:sz w:val="19"/>
              </w:rPr>
              <w:t>Duration (s)</w:t>
            </w:r>
          </w:p>
        </w:tc>
        <w:tc>
          <w:tcPr>
            <w:tcW w:type="dxa" w:w="1728"/>
            <w:shd w:fill="0B3D91"/>
            <w:tcMar>
              <w:top w:w="120" w:type="dxa"/>
              <w:bottom w:w="120" w:type="dxa"/>
              <w:left w:w="120" w:type="dxa"/>
              <w:right w:w="120" w:type="dxa"/>
            </w:tcMar>
          </w:tcPr>
          <w:p>
            <w:pPr>
              <w:spacing w:before="0" w:after="0"/>
              <w:jc w:val="left"/>
            </w:pPr>
            <w:r>
              <w:rPr>
                <w:rFonts w:ascii="Calibri" w:hAnsi="Calibri"/>
                <w:b/>
                <w:color w:val="FFFFFF"/>
                <w:sz w:val="19"/>
              </w:rPr>
              <w:t>Throughput (rows/s)</w:t>
            </w:r>
          </w:p>
        </w:tc>
      </w:tr>
      <w:tr>
        <w:tc>
          <w:tcPr>
            <w:tcW w:type="dxa" w:w="3168"/>
            <w:shd w:fill="FFFFFF"/>
            <w:tcMar>
              <w:top w:w="85" w:type="dxa"/>
              <w:bottom w:w="85" w:type="dxa"/>
              <w:left w:w="120" w:type="dxa"/>
              <w:right w:w="120" w:type="dxa"/>
            </w:tcMar>
          </w:tcPr>
          <w:p>
            <w:pPr>
              <w:spacing w:before="0" w:after="0"/>
              <w:jc w:val="left"/>
            </w:pPr>
            <w:r>
              <w:rPr>
                <w:rFonts w:ascii="Calibri" w:hAnsi="Calibri"/>
                <w:b/>
                <w:color w:val="1E293B"/>
                <w:sz w:val="18"/>
              </w:rPr>
              <w:t>SparkSession Initialization</w:t>
            </w:r>
          </w:p>
        </w:tc>
        <w:tc>
          <w:tcPr>
            <w:tcW w:type="dxa" w:w="2592"/>
            <w:shd w:fill="FFFFFF"/>
            <w:tcMar>
              <w:top w:w="85" w:type="dxa"/>
              <w:bottom w:w="85" w:type="dxa"/>
              <w:left w:w="120" w:type="dxa"/>
              <w:right w:w="120" w:type="dxa"/>
            </w:tcMar>
          </w:tcPr>
          <w:p>
            <w:pPr>
              <w:spacing w:before="0" w:after="0"/>
              <w:jc w:val="left"/>
            </w:pPr>
            <w:r>
              <w:rPr>
                <w:rFonts w:ascii="Calibri" w:hAnsi="Calibri"/>
                <w:color w:val="1E293B"/>
                <w:sz w:val="18"/>
              </w:rPr>
              <w:t>PySpark 4.2 / Java 21 LTS</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w:t>
            </w:r>
          </w:p>
        </w:tc>
        <w:tc>
          <w:tcPr>
            <w:tcW w:type="dxa" w:w="1296"/>
            <w:shd w:fill="FFFFFF"/>
            <w:tcMar>
              <w:top w:w="85" w:type="dxa"/>
              <w:bottom w:w="85" w:type="dxa"/>
              <w:left w:w="120" w:type="dxa"/>
              <w:right w:w="120" w:type="dxa"/>
            </w:tcMar>
          </w:tcPr>
          <w:p>
            <w:pPr>
              <w:spacing w:before="0" w:after="0"/>
              <w:jc w:val="right"/>
            </w:pPr>
            <w:r>
              <w:rPr>
                <w:rFonts w:ascii="Calibri" w:hAnsi="Calibri"/>
                <w:color w:val="1E293B"/>
                <w:sz w:val="18"/>
              </w:rPr>
              <w:t>5.93 s</w:t>
            </w:r>
          </w:p>
        </w:tc>
        <w:tc>
          <w:tcPr>
            <w:tcW w:type="dxa" w:w="1728"/>
            <w:shd w:fill="FFFFFF"/>
            <w:tcMar>
              <w:top w:w="85" w:type="dxa"/>
              <w:bottom w:w="85" w:type="dxa"/>
              <w:left w:w="120" w:type="dxa"/>
              <w:right w:w="120" w:type="dxa"/>
            </w:tcMar>
          </w:tcPr>
          <w:p>
            <w:pPr>
              <w:spacing w:before="0" w:after="0"/>
              <w:jc w:val="right"/>
            </w:pPr>
            <w:r>
              <w:rPr>
                <w:rFonts w:ascii="Calibri" w:hAnsi="Calibri"/>
                <w:color w:val="1E293B"/>
                <w:sz w:val="18"/>
              </w:rPr>
              <w:t>—</w:t>
            </w:r>
          </w:p>
        </w:tc>
      </w:tr>
      <w:tr>
        <w:tc>
          <w:tcPr>
            <w:tcW w:type="dxa" w:w="3168"/>
            <w:shd w:fill="F8FAFC"/>
            <w:tcMar>
              <w:top w:w="85" w:type="dxa"/>
              <w:bottom w:w="85" w:type="dxa"/>
              <w:left w:w="120" w:type="dxa"/>
              <w:right w:w="120" w:type="dxa"/>
            </w:tcMar>
          </w:tcPr>
          <w:p>
            <w:pPr>
              <w:spacing w:before="0" w:after="0"/>
              <w:jc w:val="left"/>
            </w:pPr>
            <w:r>
              <w:rPr>
                <w:rFonts w:ascii="Calibri" w:hAnsi="Calibri"/>
                <w:b/>
                <w:color w:val="1E293B"/>
                <w:sz w:val="18"/>
              </w:rPr>
              <w:t>Dataset Ingestion &amp; Schema Audit</w:t>
            </w:r>
          </w:p>
        </w:tc>
        <w:tc>
          <w:tcPr>
            <w:tcW w:type="dxa" w:w="2592"/>
            <w:shd w:fill="F8FAFC"/>
            <w:tcMar>
              <w:top w:w="85" w:type="dxa"/>
              <w:bottom w:w="85" w:type="dxa"/>
              <w:left w:w="120" w:type="dxa"/>
              <w:right w:w="120" w:type="dxa"/>
            </w:tcMar>
          </w:tcPr>
          <w:p>
            <w:pPr>
              <w:spacing w:before="0" w:after="0"/>
              <w:jc w:val="left"/>
            </w:pPr>
            <w:r>
              <w:rPr>
                <w:rFonts w:ascii="Calibri" w:hAnsi="Calibri"/>
                <w:color w:val="1E293B"/>
                <w:sz w:val="18"/>
              </w:rPr>
              <w:t>PySpark CSV Distributed Reader</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9,511,402</w:t>
            </w:r>
          </w:p>
        </w:tc>
        <w:tc>
          <w:tcPr>
            <w:tcW w:type="dxa" w:w="1296"/>
            <w:shd w:fill="F8FAFC"/>
            <w:tcMar>
              <w:top w:w="85" w:type="dxa"/>
              <w:bottom w:w="85" w:type="dxa"/>
              <w:left w:w="120" w:type="dxa"/>
              <w:right w:w="120" w:type="dxa"/>
            </w:tcMar>
          </w:tcPr>
          <w:p>
            <w:pPr>
              <w:spacing w:before="0" w:after="0"/>
              <w:jc w:val="right"/>
            </w:pPr>
            <w:r>
              <w:rPr>
                <w:rFonts w:ascii="Calibri" w:hAnsi="Calibri"/>
                <w:color w:val="1E293B"/>
                <w:sz w:val="18"/>
              </w:rPr>
              <w:t>10.15 s</w:t>
            </w:r>
          </w:p>
        </w:tc>
        <w:tc>
          <w:tcPr>
            <w:tcW w:type="dxa" w:w="1728"/>
            <w:shd w:fill="F8FAFC"/>
            <w:tcMar>
              <w:top w:w="85" w:type="dxa"/>
              <w:bottom w:w="85" w:type="dxa"/>
              <w:left w:w="120" w:type="dxa"/>
              <w:right w:w="120" w:type="dxa"/>
            </w:tcMar>
          </w:tcPr>
          <w:p>
            <w:pPr>
              <w:spacing w:before="0" w:after="0"/>
              <w:jc w:val="right"/>
            </w:pPr>
            <w:r>
              <w:rPr>
                <w:rFonts w:ascii="Calibri" w:hAnsi="Calibri"/>
                <w:color w:val="1E293B"/>
                <w:sz w:val="18"/>
              </w:rPr>
              <w:t>937,083 rows/s</w:t>
            </w:r>
          </w:p>
        </w:tc>
      </w:tr>
      <w:tr>
        <w:tc>
          <w:tcPr>
            <w:tcW w:type="dxa" w:w="3168"/>
            <w:shd w:fill="FFFFFF"/>
            <w:tcMar>
              <w:top w:w="85" w:type="dxa"/>
              <w:bottom w:w="85" w:type="dxa"/>
              <w:left w:w="120" w:type="dxa"/>
              <w:right w:w="120" w:type="dxa"/>
            </w:tcMar>
          </w:tcPr>
          <w:p>
            <w:pPr>
              <w:spacing w:before="0" w:after="0"/>
              <w:jc w:val="left"/>
            </w:pPr>
            <w:r>
              <w:rPr>
                <w:rFonts w:ascii="Calibri" w:hAnsi="Calibri"/>
                <w:b/>
                <w:color w:val="1E293B"/>
                <w:sz w:val="18"/>
              </w:rPr>
              <w:t>Data Cleaning, Casting &amp; Caching</w:t>
            </w:r>
          </w:p>
        </w:tc>
        <w:tc>
          <w:tcPr>
            <w:tcW w:type="dxa" w:w="2592"/>
            <w:shd w:fill="FFFFFF"/>
            <w:tcMar>
              <w:top w:w="85" w:type="dxa"/>
              <w:bottom w:w="85" w:type="dxa"/>
              <w:left w:w="120" w:type="dxa"/>
              <w:right w:w="120" w:type="dxa"/>
            </w:tcMar>
          </w:tcPr>
          <w:p>
            <w:pPr>
              <w:spacing w:before="0" w:after="0"/>
              <w:jc w:val="left"/>
            </w:pPr>
            <w:r>
              <w:rPr>
                <w:rFonts w:ascii="Calibri" w:hAnsi="Calibri"/>
                <w:color w:val="1E293B"/>
                <w:sz w:val="18"/>
              </w:rPr>
              <w:t>PySpark DataFrame API</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9,511,402</w:t>
            </w:r>
          </w:p>
        </w:tc>
        <w:tc>
          <w:tcPr>
            <w:tcW w:type="dxa" w:w="1296"/>
            <w:shd w:fill="FFFFFF"/>
            <w:tcMar>
              <w:top w:w="85" w:type="dxa"/>
              <w:bottom w:w="85" w:type="dxa"/>
              <w:left w:w="120" w:type="dxa"/>
              <w:right w:w="120" w:type="dxa"/>
            </w:tcMar>
          </w:tcPr>
          <w:p>
            <w:pPr>
              <w:spacing w:before="0" w:after="0"/>
              <w:jc w:val="right"/>
            </w:pPr>
            <w:r>
              <w:rPr>
                <w:rFonts w:ascii="Calibri" w:hAnsi="Calibri"/>
                <w:color w:val="1E293B"/>
                <w:sz w:val="18"/>
              </w:rPr>
              <w:t>9.35 s</w:t>
            </w:r>
          </w:p>
        </w:tc>
        <w:tc>
          <w:tcPr>
            <w:tcW w:type="dxa" w:w="1728"/>
            <w:shd w:fill="FFFFFF"/>
            <w:tcMar>
              <w:top w:w="85" w:type="dxa"/>
              <w:bottom w:w="85" w:type="dxa"/>
              <w:left w:w="120" w:type="dxa"/>
              <w:right w:w="120" w:type="dxa"/>
            </w:tcMar>
          </w:tcPr>
          <w:p>
            <w:pPr>
              <w:spacing w:before="0" w:after="0"/>
              <w:jc w:val="right"/>
            </w:pPr>
            <w:r>
              <w:rPr>
                <w:rFonts w:ascii="Calibri" w:hAnsi="Calibri"/>
                <w:color w:val="1E293B"/>
                <w:sz w:val="18"/>
              </w:rPr>
              <w:t>1,017,262 rows/s</w:t>
            </w:r>
          </w:p>
        </w:tc>
      </w:tr>
      <w:tr>
        <w:tc>
          <w:tcPr>
            <w:tcW w:type="dxa" w:w="3168"/>
            <w:shd w:fill="F8FAFC"/>
            <w:tcMar>
              <w:top w:w="85" w:type="dxa"/>
              <w:bottom w:w="85" w:type="dxa"/>
              <w:left w:w="120" w:type="dxa"/>
              <w:right w:w="120" w:type="dxa"/>
            </w:tcMar>
          </w:tcPr>
          <w:p>
            <w:pPr>
              <w:spacing w:before="0" w:after="0"/>
              <w:jc w:val="left"/>
            </w:pPr>
            <w:r>
              <w:rPr>
                <w:rFonts w:ascii="Calibri" w:hAnsi="Calibri"/>
                <w:b/>
                <w:color w:val="1E293B"/>
                <w:sz w:val="18"/>
              </w:rPr>
              <w:t>Daily Aggregation &amp; 7-Day Window</w:t>
            </w:r>
          </w:p>
        </w:tc>
        <w:tc>
          <w:tcPr>
            <w:tcW w:type="dxa" w:w="2592"/>
            <w:shd w:fill="F8FAFC"/>
            <w:tcMar>
              <w:top w:w="85" w:type="dxa"/>
              <w:bottom w:w="85" w:type="dxa"/>
              <w:left w:w="120" w:type="dxa"/>
              <w:right w:w="120" w:type="dxa"/>
            </w:tcMar>
          </w:tcPr>
          <w:p>
            <w:pPr>
              <w:spacing w:before="0" w:after="0"/>
              <w:jc w:val="left"/>
            </w:pPr>
            <w:r>
              <w:rPr>
                <w:rFonts w:ascii="Calibri" w:hAnsi="Calibri"/>
                <w:color w:val="1E293B"/>
                <w:sz w:val="18"/>
              </w:rPr>
              <w:t>PySpark Window API</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9,511,402</w:t>
            </w:r>
          </w:p>
        </w:tc>
        <w:tc>
          <w:tcPr>
            <w:tcW w:type="dxa" w:w="1296"/>
            <w:shd w:fill="F8FAFC"/>
            <w:tcMar>
              <w:top w:w="85" w:type="dxa"/>
              <w:bottom w:w="85" w:type="dxa"/>
              <w:left w:w="120" w:type="dxa"/>
              <w:right w:w="120" w:type="dxa"/>
            </w:tcMar>
          </w:tcPr>
          <w:p>
            <w:pPr>
              <w:spacing w:before="0" w:after="0"/>
              <w:jc w:val="right"/>
            </w:pPr>
            <w:r>
              <w:rPr>
                <w:rFonts w:ascii="Calibri" w:hAnsi="Calibri"/>
                <w:color w:val="1E293B"/>
                <w:sz w:val="18"/>
              </w:rPr>
              <w:t>2.51 s</w:t>
            </w:r>
          </w:p>
        </w:tc>
        <w:tc>
          <w:tcPr>
            <w:tcW w:type="dxa" w:w="1728"/>
            <w:shd w:fill="F8FAFC"/>
            <w:tcMar>
              <w:top w:w="85" w:type="dxa"/>
              <w:bottom w:w="85" w:type="dxa"/>
              <w:left w:w="120" w:type="dxa"/>
              <w:right w:w="120" w:type="dxa"/>
            </w:tcMar>
          </w:tcPr>
          <w:p>
            <w:pPr>
              <w:spacing w:before="0" w:after="0"/>
              <w:jc w:val="right"/>
            </w:pPr>
            <w:r>
              <w:rPr>
                <w:rFonts w:ascii="Calibri" w:hAnsi="Calibri"/>
                <w:color w:val="1E293B"/>
                <w:sz w:val="18"/>
              </w:rPr>
              <w:t>3,789,403 rows/s</w:t>
            </w:r>
          </w:p>
        </w:tc>
      </w:tr>
      <w:tr>
        <w:tc>
          <w:tcPr>
            <w:tcW w:type="dxa" w:w="3168"/>
            <w:shd w:fill="FFFFFF"/>
            <w:tcMar>
              <w:top w:w="85" w:type="dxa"/>
              <w:bottom w:w="85" w:type="dxa"/>
              <w:left w:w="120" w:type="dxa"/>
              <w:right w:w="120" w:type="dxa"/>
            </w:tcMar>
          </w:tcPr>
          <w:p>
            <w:pPr>
              <w:spacing w:before="0" w:after="0"/>
              <w:jc w:val="left"/>
            </w:pPr>
            <w:r>
              <w:rPr>
                <w:rFonts w:ascii="Calibri" w:hAnsi="Calibri"/>
                <w:b/>
                <w:color w:val="1E293B"/>
                <w:sz w:val="18"/>
              </w:rPr>
              <w:t>Monthly Temporal Aggregation</w:t>
            </w:r>
          </w:p>
        </w:tc>
        <w:tc>
          <w:tcPr>
            <w:tcW w:type="dxa" w:w="2592"/>
            <w:shd w:fill="FFFFFF"/>
            <w:tcMar>
              <w:top w:w="85" w:type="dxa"/>
              <w:bottom w:w="85" w:type="dxa"/>
              <w:left w:w="120" w:type="dxa"/>
              <w:right w:w="120" w:type="dxa"/>
            </w:tcMar>
          </w:tcPr>
          <w:p>
            <w:pPr>
              <w:spacing w:before="0" w:after="0"/>
              <w:jc w:val="left"/>
            </w:pPr>
            <w:r>
              <w:rPr>
                <w:rFonts w:ascii="Calibri" w:hAnsi="Calibri"/>
                <w:color w:val="1E293B"/>
                <w:sz w:val="18"/>
              </w:rPr>
              <w:t>Spark SQL GroupBy</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9,511,402</w:t>
            </w:r>
          </w:p>
        </w:tc>
        <w:tc>
          <w:tcPr>
            <w:tcW w:type="dxa" w:w="1296"/>
            <w:shd w:fill="FFFFFF"/>
            <w:tcMar>
              <w:top w:w="85" w:type="dxa"/>
              <w:bottom w:w="85" w:type="dxa"/>
              <w:left w:w="120" w:type="dxa"/>
              <w:right w:w="120" w:type="dxa"/>
            </w:tcMar>
          </w:tcPr>
          <w:p>
            <w:pPr>
              <w:spacing w:before="0" w:after="0"/>
              <w:jc w:val="right"/>
            </w:pPr>
            <w:r>
              <w:rPr>
                <w:rFonts w:ascii="Calibri" w:hAnsi="Calibri"/>
                <w:color w:val="1E293B"/>
                <w:sz w:val="18"/>
              </w:rPr>
              <w:t>1.52 s</w:t>
            </w:r>
          </w:p>
        </w:tc>
        <w:tc>
          <w:tcPr>
            <w:tcW w:type="dxa" w:w="1728"/>
            <w:shd w:fill="FFFFFF"/>
            <w:tcMar>
              <w:top w:w="85" w:type="dxa"/>
              <w:bottom w:w="85" w:type="dxa"/>
              <w:left w:w="120" w:type="dxa"/>
              <w:right w:w="120" w:type="dxa"/>
            </w:tcMar>
          </w:tcPr>
          <w:p>
            <w:pPr>
              <w:spacing w:before="0" w:after="0"/>
              <w:jc w:val="right"/>
            </w:pPr>
            <w:r>
              <w:rPr>
                <w:rFonts w:ascii="Calibri" w:hAnsi="Calibri"/>
                <w:color w:val="1E293B"/>
                <w:sz w:val="18"/>
              </w:rPr>
              <w:t>6,257,501 rows/s</w:t>
            </w:r>
          </w:p>
        </w:tc>
      </w:tr>
      <w:tr>
        <w:tc>
          <w:tcPr>
            <w:tcW w:type="dxa" w:w="3168"/>
            <w:shd w:fill="F8FAFC"/>
            <w:tcMar>
              <w:top w:w="85" w:type="dxa"/>
              <w:bottom w:w="85" w:type="dxa"/>
              <w:left w:w="120" w:type="dxa"/>
              <w:right w:w="120" w:type="dxa"/>
            </w:tcMar>
          </w:tcPr>
          <w:p>
            <w:pPr>
              <w:spacing w:before="0" w:after="0"/>
              <w:jc w:val="left"/>
            </w:pPr>
            <w:r>
              <w:rPr>
                <w:rFonts w:ascii="Calibri" w:hAnsi="Calibri"/>
                <w:b/>
                <w:color w:val="1E293B"/>
                <w:sz w:val="18"/>
              </w:rPr>
              <w:t>Hourly UTC Diurnal Cycle (0-23)</w:t>
            </w:r>
          </w:p>
        </w:tc>
        <w:tc>
          <w:tcPr>
            <w:tcW w:type="dxa" w:w="2592"/>
            <w:shd w:fill="F8FAFC"/>
            <w:tcMar>
              <w:top w:w="85" w:type="dxa"/>
              <w:bottom w:w="85" w:type="dxa"/>
              <w:left w:w="120" w:type="dxa"/>
              <w:right w:w="120" w:type="dxa"/>
            </w:tcMar>
          </w:tcPr>
          <w:p>
            <w:pPr>
              <w:spacing w:before="0" w:after="0"/>
              <w:jc w:val="left"/>
            </w:pPr>
            <w:r>
              <w:rPr>
                <w:rFonts w:ascii="Calibri" w:hAnsi="Calibri"/>
                <w:color w:val="1E293B"/>
                <w:sz w:val="18"/>
              </w:rPr>
              <w:t>Spark SQL GroupBy</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9,511,402</w:t>
            </w:r>
          </w:p>
        </w:tc>
        <w:tc>
          <w:tcPr>
            <w:tcW w:type="dxa" w:w="1296"/>
            <w:shd w:fill="F8FAFC"/>
            <w:tcMar>
              <w:top w:w="85" w:type="dxa"/>
              <w:bottom w:w="85" w:type="dxa"/>
              <w:left w:w="120" w:type="dxa"/>
              <w:right w:w="120" w:type="dxa"/>
            </w:tcMar>
          </w:tcPr>
          <w:p>
            <w:pPr>
              <w:spacing w:before="0" w:after="0"/>
              <w:jc w:val="right"/>
            </w:pPr>
            <w:r>
              <w:rPr>
                <w:rFonts w:ascii="Calibri" w:hAnsi="Calibri"/>
                <w:color w:val="1E293B"/>
                <w:sz w:val="18"/>
              </w:rPr>
              <w:t>0.99 s</w:t>
            </w:r>
          </w:p>
        </w:tc>
        <w:tc>
          <w:tcPr>
            <w:tcW w:type="dxa" w:w="1728"/>
            <w:shd w:fill="F8FAFC"/>
            <w:tcMar>
              <w:top w:w="85" w:type="dxa"/>
              <w:bottom w:w="85" w:type="dxa"/>
              <w:left w:w="120" w:type="dxa"/>
              <w:right w:w="120" w:type="dxa"/>
            </w:tcMar>
          </w:tcPr>
          <w:p>
            <w:pPr>
              <w:spacing w:before="0" w:after="0"/>
              <w:jc w:val="right"/>
            </w:pPr>
            <w:r>
              <w:rPr>
                <w:rFonts w:ascii="Calibri" w:hAnsi="Calibri"/>
                <w:color w:val="1E293B"/>
                <w:sz w:val="18"/>
              </w:rPr>
              <w:t>9,607,476 rows/s</w:t>
            </w:r>
          </w:p>
        </w:tc>
      </w:tr>
      <w:tr>
        <w:tc>
          <w:tcPr>
            <w:tcW w:type="dxa" w:w="3168"/>
            <w:shd w:fill="FFFFFF"/>
            <w:tcMar>
              <w:top w:w="85" w:type="dxa"/>
              <w:bottom w:w="85" w:type="dxa"/>
              <w:left w:w="120" w:type="dxa"/>
              <w:right w:w="120" w:type="dxa"/>
            </w:tcMar>
          </w:tcPr>
          <w:p>
            <w:pPr>
              <w:spacing w:before="0" w:after="0"/>
              <w:jc w:val="left"/>
            </w:pPr>
            <w:r>
              <w:rPr>
                <w:rFonts w:ascii="Calibri" w:hAnsi="Calibri"/>
                <w:b/>
                <w:color w:val="1E293B"/>
                <w:sz w:val="18"/>
              </w:rPr>
              <w:t>Day/Night Temporal Aggregation</w:t>
            </w:r>
          </w:p>
        </w:tc>
        <w:tc>
          <w:tcPr>
            <w:tcW w:type="dxa" w:w="2592"/>
            <w:shd w:fill="FFFFFF"/>
            <w:tcMar>
              <w:top w:w="85" w:type="dxa"/>
              <w:bottom w:w="85" w:type="dxa"/>
              <w:left w:w="120" w:type="dxa"/>
              <w:right w:w="120" w:type="dxa"/>
            </w:tcMar>
          </w:tcPr>
          <w:p>
            <w:pPr>
              <w:spacing w:before="0" w:after="0"/>
              <w:jc w:val="left"/>
            </w:pPr>
            <w:r>
              <w:rPr>
                <w:rFonts w:ascii="Calibri" w:hAnsi="Calibri"/>
                <w:color w:val="1E293B"/>
                <w:sz w:val="18"/>
              </w:rPr>
              <w:t>Spark SQL GroupBy</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9,511,402</w:t>
            </w:r>
          </w:p>
        </w:tc>
        <w:tc>
          <w:tcPr>
            <w:tcW w:type="dxa" w:w="1296"/>
            <w:shd w:fill="FFFFFF"/>
            <w:tcMar>
              <w:top w:w="85" w:type="dxa"/>
              <w:bottom w:w="85" w:type="dxa"/>
              <w:left w:w="120" w:type="dxa"/>
              <w:right w:w="120" w:type="dxa"/>
            </w:tcMar>
          </w:tcPr>
          <w:p>
            <w:pPr>
              <w:spacing w:before="0" w:after="0"/>
              <w:jc w:val="right"/>
            </w:pPr>
            <w:r>
              <w:rPr>
                <w:rFonts w:ascii="Calibri" w:hAnsi="Calibri"/>
                <w:color w:val="1E293B"/>
                <w:sz w:val="18"/>
              </w:rPr>
              <w:t>1.24 s</w:t>
            </w:r>
          </w:p>
        </w:tc>
        <w:tc>
          <w:tcPr>
            <w:tcW w:type="dxa" w:w="1728"/>
            <w:shd w:fill="FFFFFF"/>
            <w:tcMar>
              <w:top w:w="85" w:type="dxa"/>
              <w:bottom w:w="85" w:type="dxa"/>
              <w:left w:w="120" w:type="dxa"/>
              <w:right w:w="120" w:type="dxa"/>
            </w:tcMar>
          </w:tcPr>
          <w:p>
            <w:pPr>
              <w:spacing w:before="0" w:after="0"/>
              <w:jc w:val="right"/>
            </w:pPr>
            <w:r>
              <w:rPr>
                <w:rFonts w:ascii="Calibri" w:hAnsi="Calibri"/>
                <w:color w:val="1E293B"/>
                <w:sz w:val="18"/>
              </w:rPr>
              <w:t>7,670,485 rows/s</w:t>
            </w:r>
          </w:p>
        </w:tc>
      </w:tr>
      <w:tr>
        <w:tc>
          <w:tcPr>
            <w:tcW w:type="dxa" w:w="3168"/>
            <w:shd w:fill="F8FAFC"/>
            <w:tcMar>
              <w:top w:w="85" w:type="dxa"/>
              <w:bottom w:w="85" w:type="dxa"/>
              <w:left w:w="120" w:type="dxa"/>
              <w:right w:w="120" w:type="dxa"/>
            </w:tcMar>
          </w:tcPr>
          <w:p>
            <w:pPr>
              <w:spacing w:before="0" w:after="0"/>
              <w:jc w:val="left"/>
            </w:pPr>
            <w:r>
              <w:rPr>
                <w:rFonts w:ascii="Calibri" w:hAnsi="Calibri"/>
                <w:b/>
                <w:color w:val="1E293B"/>
                <w:sz w:val="18"/>
              </w:rPr>
              <w:t>TOTAL PYSPARK DISTRIBUTED PIPELINE</w:t>
            </w:r>
          </w:p>
        </w:tc>
        <w:tc>
          <w:tcPr>
            <w:tcW w:type="dxa" w:w="2592"/>
            <w:shd w:fill="F8FAFC"/>
            <w:tcMar>
              <w:top w:w="85" w:type="dxa"/>
              <w:bottom w:w="85" w:type="dxa"/>
              <w:left w:w="120" w:type="dxa"/>
              <w:right w:w="120" w:type="dxa"/>
            </w:tcMar>
          </w:tcPr>
          <w:p>
            <w:pPr>
              <w:spacing w:before="0" w:after="0"/>
              <w:jc w:val="left"/>
            </w:pPr>
            <w:r>
              <w:rPr>
                <w:rFonts w:ascii="Calibri" w:hAnsi="Calibri"/>
                <w:color w:val="1E293B"/>
                <w:sz w:val="18"/>
              </w:rPr>
              <w:t>Apache PySpark Distributed</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9,511,402</w:t>
            </w:r>
          </w:p>
        </w:tc>
        <w:tc>
          <w:tcPr>
            <w:tcW w:type="dxa" w:w="1296"/>
            <w:shd w:fill="F8FAFC"/>
            <w:tcMar>
              <w:top w:w="85" w:type="dxa"/>
              <w:bottom w:w="85" w:type="dxa"/>
              <w:left w:w="120" w:type="dxa"/>
              <w:right w:w="120" w:type="dxa"/>
            </w:tcMar>
          </w:tcPr>
          <w:p>
            <w:pPr>
              <w:spacing w:before="0" w:after="0"/>
              <w:jc w:val="right"/>
            </w:pPr>
            <w:r>
              <w:rPr>
                <w:rFonts w:ascii="Calibri" w:hAnsi="Calibri"/>
                <w:color w:val="1E293B"/>
                <w:sz w:val="18"/>
              </w:rPr>
              <w:t>31.75 s</w:t>
            </w:r>
          </w:p>
        </w:tc>
        <w:tc>
          <w:tcPr>
            <w:tcW w:type="dxa" w:w="1728"/>
            <w:shd w:fill="F8FAFC"/>
            <w:tcMar>
              <w:top w:w="85" w:type="dxa"/>
              <w:bottom w:w="85" w:type="dxa"/>
              <w:left w:w="120" w:type="dxa"/>
              <w:right w:w="120" w:type="dxa"/>
            </w:tcMar>
          </w:tcPr>
          <w:p>
            <w:pPr>
              <w:spacing w:before="0" w:after="0"/>
              <w:jc w:val="right"/>
            </w:pPr>
            <w:r>
              <w:rPr>
                <w:rFonts w:ascii="Calibri" w:hAnsi="Calibri"/>
                <w:color w:val="1E293B"/>
                <w:sz w:val="18"/>
              </w:rPr>
              <w:t>299,571 rows/s</w:t>
            </w:r>
          </w:p>
        </w:tc>
      </w:tr>
      <w:tr>
        <w:tc>
          <w:tcPr>
            <w:tcW w:type="dxa" w:w="3168"/>
            <w:shd w:fill="FFFFFF"/>
            <w:tcMar>
              <w:top w:w="85" w:type="dxa"/>
              <w:bottom w:w="85" w:type="dxa"/>
              <w:left w:w="120" w:type="dxa"/>
              <w:right w:w="120" w:type="dxa"/>
            </w:tcMar>
          </w:tcPr>
          <w:p>
            <w:pPr>
              <w:spacing w:before="0" w:after="0"/>
              <w:jc w:val="left"/>
            </w:pPr>
            <w:r>
              <w:rPr>
                <w:rFonts w:ascii="Calibri" w:hAnsi="Calibri"/>
                <w:b/>
                <w:color w:val="1E293B"/>
                <w:sz w:val="18"/>
              </w:rPr>
              <w:t>High-Perf Vectorized Fallback Engine</w:t>
            </w:r>
          </w:p>
        </w:tc>
        <w:tc>
          <w:tcPr>
            <w:tcW w:type="dxa" w:w="2592"/>
            <w:shd w:fill="FFFFFF"/>
            <w:tcMar>
              <w:top w:w="85" w:type="dxa"/>
              <w:bottom w:w="85" w:type="dxa"/>
              <w:left w:w="120" w:type="dxa"/>
              <w:right w:w="120" w:type="dxa"/>
            </w:tcMar>
          </w:tcPr>
          <w:p>
            <w:pPr>
              <w:spacing w:before="0" w:after="0"/>
              <w:jc w:val="left"/>
            </w:pPr>
            <w:r>
              <w:rPr>
                <w:rFonts w:ascii="Calibri" w:hAnsi="Calibri"/>
                <w:color w:val="1E293B"/>
                <w:sz w:val="18"/>
              </w:rPr>
              <w:t>Vectorized PyArrow / Polars</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9,511,402</w:t>
            </w:r>
          </w:p>
        </w:tc>
        <w:tc>
          <w:tcPr>
            <w:tcW w:type="dxa" w:w="1296"/>
            <w:shd w:fill="FFFFFF"/>
            <w:tcMar>
              <w:top w:w="85" w:type="dxa"/>
              <w:bottom w:w="85" w:type="dxa"/>
              <w:left w:w="120" w:type="dxa"/>
              <w:right w:w="120" w:type="dxa"/>
            </w:tcMar>
          </w:tcPr>
          <w:p>
            <w:pPr>
              <w:spacing w:before="0" w:after="0"/>
              <w:jc w:val="right"/>
            </w:pPr>
            <w:r>
              <w:rPr>
                <w:rFonts w:ascii="Calibri" w:hAnsi="Calibri"/>
                <w:color w:val="1E293B"/>
                <w:sz w:val="18"/>
              </w:rPr>
              <w:t>15.69 s</w:t>
            </w:r>
          </w:p>
        </w:tc>
        <w:tc>
          <w:tcPr>
            <w:tcW w:type="dxa" w:w="1728"/>
            <w:shd w:fill="FFFFFF"/>
            <w:tcMar>
              <w:top w:w="85" w:type="dxa"/>
              <w:bottom w:w="85" w:type="dxa"/>
              <w:left w:w="120" w:type="dxa"/>
              <w:right w:w="120" w:type="dxa"/>
            </w:tcMar>
          </w:tcPr>
          <w:p>
            <w:pPr>
              <w:spacing w:before="0" w:after="0"/>
              <w:jc w:val="right"/>
            </w:pPr>
            <w:r>
              <w:rPr>
                <w:rFonts w:ascii="Calibri" w:hAnsi="Calibri"/>
                <w:color w:val="1E293B"/>
                <w:sz w:val="18"/>
              </w:rPr>
              <w:t>606,207 rows/s</w:t>
            </w:r>
          </w:p>
        </w:tc>
      </w:tr>
      <w:tr>
        <w:tc>
          <w:tcPr>
            <w:tcW w:type="dxa" w:w="3168"/>
            <w:shd w:fill="F8FAFC"/>
            <w:tcMar>
              <w:top w:w="85" w:type="dxa"/>
              <w:bottom w:w="85" w:type="dxa"/>
              <w:left w:w="120" w:type="dxa"/>
              <w:right w:w="120" w:type="dxa"/>
            </w:tcMar>
          </w:tcPr>
          <w:p>
            <w:pPr>
              <w:spacing w:before="0" w:after="0"/>
              <w:jc w:val="left"/>
            </w:pPr>
            <w:r>
              <w:rPr>
                <w:rFonts w:ascii="Calibri" w:hAnsi="Calibri"/>
                <w:b/>
                <w:color w:val="1E293B"/>
                <w:sz w:val="18"/>
              </w:rPr>
              <w:t>ML Model Training &amp; Temporal Holdout</w:t>
            </w:r>
          </w:p>
        </w:tc>
        <w:tc>
          <w:tcPr>
            <w:tcW w:type="dxa" w:w="2592"/>
            <w:shd w:fill="F8FAFC"/>
            <w:tcMar>
              <w:top w:w="85" w:type="dxa"/>
              <w:bottom w:w="85" w:type="dxa"/>
              <w:left w:w="120" w:type="dxa"/>
              <w:right w:w="120" w:type="dxa"/>
            </w:tcMar>
          </w:tcPr>
          <w:p>
            <w:pPr>
              <w:spacing w:before="0" w:after="0"/>
              <w:jc w:val="left"/>
            </w:pPr>
            <w:r>
              <w:rPr>
                <w:rFonts w:ascii="Calibri" w:hAnsi="Calibri"/>
                <w:color w:val="1E293B"/>
                <w:sz w:val="18"/>
              </w:rPr>
              <w:t>Scikit-Learn Multi-Threaded</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200,000</w:t>
            </w:r>
          </w:p>
        </w:tc>
        <w:tc>
          <w:tcPr>
            <w:tcW w:type="dxa" w:w="1296"/>
            <w:shd w:fill="F8FAFC"/>
            <w:tcMar>
              <w:top w:w="85" w:type="dxa"/>
              <w:bottom w:w="85" w:type="dxa"/>
              <w:left w:w="120" w:type="dxa"/>
              <w:right w:w="120" w:type="dxa"/>
            </w:tcMar>
          </w:tcPr>
          <w:p>
            <w:pPr>
              <w:spacing w:before="0" w:after="0"/>
              <w:jc w:val="right"/>
            </w:pPr>
            <w:r>
              <w:rPr>
                <w:rFonts w:ascii="Calibri" w:hAnsi="Calibri"/>
                <w:color w:val="1E293B"/>
                <w:sz w:val="18"/>
              </w:rPr>
              <w:t>10.39 s</w:t>
            </w:r>
          </w:p>
        </w:tc>
        <w:tc>
          <w:tcPr>
            <w:tcW w:type="dxa" w:w="1728"/>
            <w:shd w:fill="F8FAFC"/>
            <w:tcMar>
              <w:top w:w="85" w:type="dxa"/>
              <w:bottom w:w="85" w:type="dxa"/>
              <w:left w:w="120" w:type="dxa"/>
              <w:right w:w="120" w:type="dxa"/>
            </w:tcMar>
          </w:tcPr>
          <w:p>
            <w:pPr>
              <w:spacing w:before="0" w:after="0"/>
              <w:jc w:val="right"/>
            </w:pPr>
            <w:r>
              <w:rPr>
                <w:rFonts w:ascii="Calibri" w:hAnsi="Calibri"/>
                <w:color w:val="1E293B"/>
                <w:sz w:val="18"/>
              </w:rPr>
              <w:t>19,250 samples/s</w:t>
            </w:r>
          </w:p>
        </w:tc>
      </w:tr>
      <w:tr>
        <w:tc>
          <w:tcPr>
            <w:tcW w:type="dxa" w:w="3168"/>
            <w:shd w:fill="FFFFFF"/>
            <w:tcMar>
              <w:top w:w="85" w:type="dxa"/>
              <w:bottom w:w="85" w:type="dxa"/>
              <w:left w:w="120" w:type="dxa"/>
              <w:right w:w="120" w:type="dxa"/>
            </w:tcMar>
          </w:tcPr>
          <w:p>
            <w:pPr>
              <w:spacing w:before="0" w:after="0"/>
              <w:jc w:val="left"/>
            </w:pPr>
            <w:r>
              <w:rPr>
                <w:rFonts w:ascii="Calibri" w:hAnsi="Calibri"/>
                <w:b/>
                <w:color w:val="1E293B"/>
                <w:sz w:val="18"/>
              </w:rPr>
              <w:t>NoSQL Storage Persistence</w:t>
            </w:r>
          </w:p>
        </w:tc>
        <w:tc>
          <w:tcPr>
            <w:tcW w:type="dxa" w:w="2592"/>
            <w:shd w:fill="FFFFFF"/>
            <w:tcMar>
              <w:top w:w="85" w:type="dxa"/>
              <w:bottom w:w="85" w:type="dxa"/>
              <w:left w:w="120" w:type="dxa"/>
              <w:right w:w="120" w:type="dxa"/>
            </w:tcMar>
          </w:tcPr>
          <w:p>
            <w:pPr>
              <w:spacing w:before="0" w:after="0"/>
              <w:jc w:val="left"/>
            </w:pPr>
            <w:r>
              <w:rPr>
                <w:rFonts w:ascii="Calibri" w:hAnsi="Calibri"/>
                <w:color w:val="1E293B"/>
                <w:sz w:val="18"/>
              </w:rPr>
              <w:t>SQLite Document Store</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5,000 + 38</w:t>
            </w:r>
          </w:p>
        </w:tc>
        <w:tc>
          <w:tcPr>
            <w:tcW w:type="dxa" w:w="1296"/>
            <w:shd w:fill="FFFFFF"/>
            <w:tcMar>
              <w:top w:w="85" w:type="dxa"/>
              <w:bottom w:w="85" w:type="dxa"/>
              <w:left w:w="120" w:type="dxa"/>
              <w:right w:w="120" w:type="dxa"/>
            </w:tcMar>
          </w:tcPr>
          <w:p>
            <w:pPr>
              <w:spacing w:before="0" w:after="0"/>
              <w:jc w:val="right"/>
            </w:pPr>
            <w:r>
              <w:rPr>
                <w:rFonts w:ascii="Calibri" w:hAnsi="Calibri"/>
                <w:color w:val="1E293B"/>
                <w:sz w:val="18"/>
              </w:rPr>
              <w:t>0.12 s</w:t>
            </w:r>
          </w:p>
        </w:tc>
        <w:tc>
          <w:tcPr>
            <w:tcW w:type="dxa" w:w="1728"/>
            <w:shd w:fill="FFFFFF"/>
            <w:tcMar>
              <w:top w:w="85" w:type="dxa"/>
              <w:bottom w:w="85" w:type="dxa"/>
              <w:left w:w="120" w:type="dxa"/>
              <w:right w:w="120" w:type="dxa"/>
            </w:tcMar>
          </w:tcPr>
          <w:p>
            <w:pPr>
              <w:spacing w:before="0" w:after="0"/>
              <w:jc w:val="right"/>
            </w:pPr>
            <w:r>
              <w:rPr>
                <w:rFonts w:ascii="Calibri" w:hAnsi="Calibri"/>
                <w:color w:val="1E293B"/>
                <w:sz w:val="18"/>
              </w:rPr>
              <w:t>42,000 docs/s</w:t>
            </w:r>
          </w:p>
        </w:tc>
      </w:tr>
    </w:tbl>
    <w:p>
      <w:pPr>
        <w:spacing w:after="120"/>
      </w:pPr>
    </w:p>
    <w:p>
      <w:pPr>
        <w:spacing w:before="160" w:after="60"/>
        <w:jc w:val="center"/>
      </w:pPr>
      <w:r>
        <w:drawing>
          <wp:inline xmlns:a="http://schemas.openxmlformats.org/drawingml/2006/main" xmlns:pic="http://schemas.openxmlformats.org/drawingml/2006/picture">
            <wp:extent cx="5669280" cy="1400008"/>
            <wp:docPr id="2" name="Picture 2"/>
            <wp:cNvGraphicFramePr>
              <a:graphicFrameLocks noChangeAspect="1"/>
            </wp:cNvGraphicFramePr>
            <a:graphic>
              <a:graphicData uri="http://schemas.openxmlformats.org/drawingml/2006/picture">
                <pic:pic>
                  <pic:nvPicPr>
                    <pic:cNvPr id="0" name="fig2_runtime_benchmark.png"/>
                    <pic:cNvPicPr/>
                  </pic:nvPicPr>
                  <pic:blipFill>
                    <a:blip r:embed="rId10"/>
                    <a:stretch>
                      <a:fillRect/>
                    </a:stretch>
                  </pic:blipFill>
                  <pic:spPr>
                    <a:xfrm>
                      <a:off x="0" y="0"/>
                      <a:ext cx="5669280" cy="1400008"/>
                    </a:xfrm>
                    <a:prstGeom prst="rect"/>
                  </pic:spPr>
                </pic:pic>
              </a:graphicData>
            </a:graphic>
          </wp:inline>
        </w:drawing>
      </w:r>
    </w:p>
    <w:p>
      <w:pPr>
        <w:spacing w:before="0" w:after="160"/>
        <w:jc w:val="center"/>
      </w:pPr>
      <w:r>
        <w:rPr>
          <w:rFonts w:ascii="Calibri" w:hAnsi="Calibri"/>
          <w:i/>
          <w:color w:val="64748B"/>
          <w:sz w:val="19"/>
        </w:rPr>
        <w:t>Figure 2: Empirical PySpark Distributed Query Benchmarking Across 9.51 Million Telemetry Records</w:t>
      </w:r>
    </w:p>
    <w:p>
      <w:pPr>
        <w:spacing w:before="160" w:after="60"/>
        <w:jc w:val="center"/>
      </w:pPr>
      <w:r>
        <w:drawing>
          <wp:inline xmlns:a="http://schemas.openxmlformats.org/drawingml/2006/main" xmlns:pic="http://schemas.openxmlformats.org/drawingml/2006/picture">
            <wp:extent cx="5669280" cy="1109014"/>
            <wp:docPr id="3" name="Picture 3"/>
            <wp:cNvGraphicFramePr>
              <a:graphicFrameLocks noChangeAspect="1"/>
            </wp:cNvGraphicFramePr>
            <a:graphic>
              <a:graphicData uri="http://schemas.openxmlformats.org/drawingml/2006/picture">
                <pic:pic>
                  <pic:nvPicPr>
                    <pic:cNvPr id="0" name="fig3_pyspark_code.png"/>
                    <pic:cNvPicPr/>
                  </pic:nvPicPr>
                  <pic:blipFill>
                    <a:blip r:embed="rId11"/>
                    <a:stretch>
                      <a:fillRect/>
                    </a:stretch>
                  </pic:blipFill>
                  <pic:spPr>
                    <a:xfrm>
                      <a:off x="0" y="0"/>
                      <a:ext cx="5669280" cy="1109014"/>
                    </a:xfrm>
                    <a:prstGeom prst="rect"/>
                  </pic:spPr>
                </pic:pic>
              </a:graphicData>
            </a:graphic>
          </wp:inline>
        </w:drawing>
      </w:r>
    </w:p>
    <w:p>
      <w:pPr>
        <w:spacing w:before="0" w:after="160"/>
        <w:jc w:val="center"/>
      </w:pPr>
      <w:r>
        <w:rPr>
          <w:rFonts w:ascii="Calibri" w:hAnsi="Calibri"/>
          <w:i/>
          <w:color w:val="64748B"/>
          <w:sz w:val="19"/>
        </w:rPr>
        <w:t>Figure 3: PySpark Distributed Window Aggregation and UTC Hourly Feature Transformation Implementation</w:t>
      </w:r>
    </w:p>
    <w:p>
      <w:pPr>
        <w:pStyle w:val="Heading1"/>
        <w:keepNext/>
        <w:spacing w:before="280" w:after="80"/>
      </w:pPr>
      <w:r>
        <w:rPr>
          <w:rFonts w:ascii="Calibri" w:hAnsi="Calibri"/>
          <w:b/>
          <w:color w:val="0B3D91"/>
          <w:sz w:val="34"/>
        </w:rPr>
        <w:t>6. Empirical Results &amp; Spatiotemporal Analysis</w:t>
      </w:r>
    </w:p>
    <w:p>
      <w:pPr>
        <w:pStyle w:val="Heading2"/>
        <w:keepNext/>
        <w:spacing w:before="280" w:after="80"/>
      </w:pPr>
      <w:r>
        <w:rPr>
          <w:rFonts w:ascii="Calibri" w:hAnsi="Calibri"/>
          <w:b/>
          <w:color w:val="1E293B"/>
          <w:sz w:val="26"/>
        </w:rPr>
        <w:t>6.1 Peak Incident Dates and Extreme Global Events</w:t>
      </w:r>
    </w:p>
    <w:p>
      <w:pPr>
        <w:spacing w:before="0" w:after="120" w:line="276" w:lineRule="auto"/>
      </w:pPr>
      <w:r>
        <w:rPr>
          <w:rFonts w:ascii="Calibri" w:hAnsi="Calibri"/>
          <w:b/>
          <w:color w:val="0F172A"/>
          <w:sz w:val="21"/>
        </w:rPr>
        <w:t xml:space="preserve">Single-Day Disaster Peak: </w:t>
      </w:r>
      <w:r>
        <w:rPr>
          <w:rFonts w:ascii="Calibri" w:hAnsi="Calibri"/>
          <w:i w:val="0"/>
          <w:color w:val="334155"/>
          <w:sz w:val="21"/>
        </w:rPr>
        <w:t>The analysis revealed that global wildfire activity peaked on October 16, 2025, recording 66,867 separate satellite hotspot detections within a single 24-hour UTC window. Hotspots on this date generated a cumulative thermal energy output of 675,835 MegaWatts (MW), averaging 10.11 MW per detection. October 17 and October 25 closely followed, each exceeding 65,000 detections. Geospatial correlation shows that these October peaks were driven primarily by end-of-dry-season biomass burning across Sub-Saharan Africa and high-latitude agricultural clearances in the Northern Hemisphere.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632"/>
        <w:gridCol w:w="1632"/>
        <w:gridCol w:w="1632"/>
        <w:gridCol w:w="1632"/>
        <w:gridCol w:w="1632"/>
        <w:gridCol w:w="1632"/>
      </w:tblGrid>
      <w:tr>
        <w:tc>
          <w:tcPr>
            <w:tcW w:type="dxa" w:w="864"/>
            <w:shd w:fill="0B3D91"/>
            <w:tcMar>
              <w:top w:w="120" w:type="dxa"/>
              <w:bottom w:w="120" w:type="dxa"/>
              <w:left w:w="120" w:type="dxa"/>
              <w:right w:w="120" w:type="dxa"/>
            </w:tcMar>
          </w:tcPr>
          <w:p>
            <w:pPr>
              <w:spacing w:before="0" w:after="0"/>
              <w:jc w:val="center"/>
            </w:pPr>
            <w:r>
              <w:rPr>
                <w:rFonts w:ascii="Calibri" w:hAnsi="Calibri"/>
                <w:b/>
                <w:color w:val="FFFFFF"/>
                <w:sz w:val="19"/>
              </w:rPr>
              <w:t>Rank</w:t>
            </w:r>
          </w:p>
        </w:tc>
        <w:tc>
          <w:tcPr>
            <w:tcW w:type="dxa" w:w="1728"/>
            <w:shd w:fill="0B3D91"/>
            <w:tcMar>
              <w:top w:w="120" w:type="dxa"/>
              <w:bottom w:w="120" w:type="dxa"/>
              <w:left w:w="120" w:type="dxa"/>
              <w:right w:w="120" w:type="dxa"/>
            </w:tcMar>
          </w:tcPr>
          <w:p>
            <w:pPr>
              <w:spacing w:before="0" w:after="0"/>
              <w:jc w:val="center"/>
            </w:pPr>
            <w:r>
              <w:rPr>
                <w:rFonts w:ascii="Calibri" w:hAnsi="Calibri"/>
                <w:b/>
                <w:color w:val="FFFFFF"/>
                <w:sz w:val="19"/>
              </w:rPr>
              <w:t>Acquisition Date</w:t>
            </w:r>
          </w:p>
        </w:tc>
        <w:tc>
          <w:tcPr>
            <w:tcW w:type="dxa" w:w="1584"/>
            <w:shd w:fill="0B3D91"/>
            <w:tcMar>
              <w:top w:w="120" w:type="dxa"/>
              <w:bottom w:w="120" w:type="dxa"/>
              <w:left w:w="120" w:type="dxa"/>
              <w:right w:w="120" w:type="dxa"/>
            </w:tcMar>
          </w:tcPr>
          <w:p>
            <w:pPr>
              <w:spacing w:before="0" w:after="0"/>
              <w:jc w:val="left"/>
            </w:pPr>
            <w:r>
              <w:rPr>
                <w:rFonts w:ascii="Calibri" w:hAnsi="Calibri"/>
                <w:b/>
                <w:color w:val="FFFFFF"/>
                <w:sz w:val="19"/>
              </w:rPr>
              <w:t>Hotspot Count</w:t>
            </w:r>
          </w:p>
        </w:tc>
        <w:tc>
          <w:tcPr>
            <w:tcW w:type="dxa" w:w="1584"/>
            <w:shd w:fill="0B3D91"/>
            <w:tcMar>
              <w:top w:w="120" w:type="dxa"/>
              <w:bottom w:w="120" w:type="dxa"/>
              <w:left w:w="120" w:type="dxa"/>
              <w:right w:w="120" w:type="dxa"/>
            </w:tcMar>
          </w:tcPr>
          <w:p>
            <w:pPr>
              <w:spacing w:before="0" w:after="0"/>
              <w:jc w:val="left"/>
            </w:pPr>
            <w:r>
              <w:rPr>
                <w:rFonts w:ascii="Calibri" w:hAnsi="Calibri"/>
                <w:b/>
                <w:color w:val="FFFFFF"/>
                <w:sz w:val="19"/>
              </w:rPr>
              <w:t>Mean FRP (MW)</w:t>
            </w:r>
          </w:p>
        </w:tc>
        <w:tc>
          <w:tcPr>
            <w:tcW w:type="dxa" w:w="1872"/>
            <w:shd w:fill="0B3D91"/>
            <w:tcMar>
              <w:top w:w="120" w:type="dxa"/>
              <w:bottom w:w="120" w:type="dxa"/>
              <w:left w:w="120" w:type="dxa"/>
              <w:right w:w="120" w:type="dxa"/>
            </w:tcMar>
          </w:tcPr>
          <w:p>
            <w:pPr>
              <w:spacing w:before="0" w:after="0"/>
              <w:jc w:val="left"/>
            </w:pPr>
            <w:r>
              <w:rPr>
                <w:rFonts w:ascii="Calibri" w:hAnsi="Calibri"/>
                <w:b/>
                <w:color w:val="FFFFFF"/>
                <w:sz w:val="19"/>
              </w:rPr>
              <w:t>Daily Total FRP (MW)</w:t>
            </w:r>
          </w:p>
        </w:tc>
        <w:tc>
          <w:tcPr>
            <w:tcW w:type="dxa" w:w="2736"/>
            <w:shd w:fill="0B3D91"/>
            <w:tcMar>
              <w:top w:w="120" w:type="dxa"/>
              <w:bottom w:w="120" w:type="dxa"/>
              <w:left w:w="120" w:type="dxa"/>
              <w:right w:w="120" w:type="dxa"/>
            </w:tcMar>
          </w:tcPr>
          <w:p>
            <w:pPr>
              <w:spacing w:before="0" w:after="0"/>
              <w:jc w:val="left"/>
            </w:pPr>
            <w:r>
              <w:rPr>
                <w:rFonts w:ascii="Calibri" w:hAnsi="Calibri"/>
                <w:b/>
                <w:color w:val="FFFFFF"/>
                <w:sz w:val="19"/>
              </w:rPr>
              <w:t>Regional Activity Driver</w:t>
            </w:r>
          </w:p>
        </w:tc>
      </w:tr>
      <w:tr>
        <w:tc>
          <w:tcPr>
            <w:tcW w:type="dxa" w:w="864"/>
            <w:shd w:fill="FFFFFF"/>
            <w:tcMar>
              <w:top w:w="85" w:type="dxa"/>
              <w:bottom w:w="85" w:type="dxa"/>
              <w:left w:w="120" w:type="dxa"/>
              <w:right w:w="120" w:type="dxa"/>
            </w:tcMar>
          </w:tcPr>
          <w:p>
            <w:pPr>
              <w:spacing w:before="0" w:after="0"/>
              <w:jc w:val="center"/>
            </w:pPr>
            <w:r>
              <w:rPr>
                <w:rFonts w:ascii="Calibri" w:hAnsi="Calibri"/>
                <w:b/>
                <w:color w:val="1E293B"/>
                <w:sz w:val="18"/>
              </w:rPr>
              <w:t>1</w:t>
            </w:r>
          </w:p>
        </w:tc>
        <w:tc>
          <w:tcPr>
            <w:tcW w:type="dxa" w:w="1728"/>
            <w:shd w:fill="FFFFFF"/>
            <w:tcMar>
              <w:top w:w="85" w:type="dxa"/>
              <w:bottom w:w="85" w:type="dxa"/>
              <w:left w:w="120" w:type="dxa"/>
              <w:right w:w="120" w:type="dxa"/>
            </w:tcMar>
          </w:tcPr>
          <w:p>
            <w:pPr>
              <w:spacing w:before="0" w:after="0"/>
              <w:jc w:val="center"/>
            </w:pPr>
            <w:r>
              <w:rPr>
                <w:rFonts w:ascii="Calibri" w:hAnsi="Calibri"/>
                <w:color w:val="1E293B"/>
                <w:sz w:val="18"/>
              </w:rPr>
              <w:t>2025-10-16</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66,867</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10.11 MW</w:t>
            </w:r>
          </w:p>
        </w:tc>
        <w:tc>
          <w:tcPr>
            <w:tcW w:type="dxa" w:w="1872"/>
            <w:shd w:fill="FFFFFF"/>
            <w:tcMar>
              <w:top w:w="85" w:type="dxa"/>
              <w:bottom w:w="85" w:type="dxa"/>
              <w:left w:w="120" w:type="dxa"/>
              <w:right w:w="120" w:type="dxa"/>
            </w:tcMar>
          </w:tcPr>
          <w:p>
            <w:pPr>
              <w:spacing w:before="0" w:after="0"/>
              <w:jc w:val="right"/>
            </w:pPr>
            <w:r>
              <w:rPr>
                <w:rFonts w:ascii="Calibri" w:hAnsi="Calibri"/>
                <w:color w:val="1E293B"/>
                <w:sz w:val="18"/>
              </w:rPr>
              <w:t>675,835 MW</w:t>
            </w:r>
          </w:p>
        </w:tc>
        <w:tc>
          <w:tcPr>
            <w:tcW w:type="dxa" w:w="2736"/>
            <w:shd w:fill="FFFFFF"/>
            <w:tcMar>
              <w:top w:w="85" w:type="dxa"/>
              <w:bottom w:w="85" w:type="dxa"/>
              <w:left w:w="120" w:type="dxa"/>
              <w:right w:w="120" w:type="dxa"/>
            </w:tcMar>
          </w:tcPr>
          <w:p>
            <w:pPr>
              <w:spacing w:before="0" w:after="0"/>
              <w:jc w:val="left"/>
            </w:pPr>
            <w:r>
              <w:rPr>
                <w:rFonts w:ascii="Calibri" w:hAnsi="Calibri"/>
                <w:color w:val="1E293B"/>
                <w:sz w:val="18"/>
              </w:rPr>
              <w:t>Boreal &amp; Sub-Saharan clearance</w:t>
            </w:r>
          </w:p>
        </w:tc>
      </w:tr>
      <w:tr>
        <w:tc>
          <w:tcPr>
            <w:tcW w:type="dxa" w:w="864"/>
            <w:shd w:fill="F8FAFC"/>
            <w:tcMar>
              <w:top w:w="85" w:type="dxa"/>
              <w:bottom w:w="85" w:type="dxa"/>
              <w:left w:w="120" w:type="dxa"/>
              <w:right w:w="120" w:type="dxa"/>
            </w:tcMar>
          </w:tcPr>
          <w:p>
            <w:pPr>
              <w:spacing w:before="0" w:after="0"/>
              <w:jc w:val="center"/>
            </w:pPr>
            <w:r>
              <w:rPr>
                <w:rFonts w:ascii="Calibri" w:hAnsi="Calibri"/>
                <w:b/>
                <w:color w:val="1E293B"/>
                <w:sz w:val="18"/>
              </w:rPr>
              <w:t>2</w:t>
            </w:r>
          </w:p>
        </w:tc>
        <w:tc>
          <w:tcPr>
            <w:tcW w:type="dxa" w:w="1728"/>
            <w:shd w:fill="F8FAFC"/>
            <w:tcMar>
              <w:top w:w="85" w:type="dxa"/>
              <w:bottom w:w="85" w:type="dxa"/>
              <w:left w:w="120" w:type="dxa"/>
              <w:right w:w="120" w:type="dxa"/>
            </w:tcMar>
          </w:tcPr>
          <w:p>
            <w:pPr>
              <w:spacing w:before="0" w:after="0"/>
              <w:jc w:val="center"/>
            </w:pPr>
            <w:r>
              <w:rPr>
                <w:rFonts w:ascii="Calibri" w:hAnsi="Calibri"/>
                <w:color w:val="1E293B"/>
                <w:sz w:val="18"/>
              </w:rPr>
              <w:t>2025-10-17</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65,679</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10.09 MW</w:t>
            </w:r>
          </w:p>
        </w:tc>
        <w:tc>
          <w:tcPr>
            <w:tcW w:type="dxa" w:w="1872"/>
            <w:shd w:fill="F8FAFC"/>
            <w:tcMar>
              <w:top w:w="85" w:type="dxa"/>
              <w:bottom w:w="85" w:type="dxa"/>
              <w:left w:w="120" w:type="dxa"/>
              <w:right w:w="120" w:type="dxa"/>
            </w:tcMar>
          </w:tcPr>
          <w:p>
            <w:pPr>
              <w:spacing w:before="0" w:after="0"/>
              <w:jc w:val="right"/>
            </w:pPr>
            <w:r>
              <w:rPr>
                <w:rFonts w:ascii="Calibri" w:hAnsi="Calibri"/>
                <w:color w:val="1E293B"/>
                <w:sz w:val="18"/>
              </w:rPr>
              <w:t>662,580 MW</w:t>
            </w:r>
          </w:p>
        </w:tc>
        <w:tc>
          <w:tcPr>
            <w:tcW w:type="dxa" w:w="2736"/>
            <w:shd w:fill="F8FAFC"/>
            <w:tcMar>
              <w:top w:w="85" w:type="dxa"/>
              <w:bottom w:w="85" w:type="dxa"/>
              <w:left w:w="120" w:type="dxa"/>
              <w:right w:w="120" w:type="dxa"/>
            </w:tcMar>
          </w:tcPr>
          <w:p>
            <w:pPr>
              <w:spacing w:before="0" w:after="0"/>
              <w:jc w:val="left"/>
            </w:pPr>
            <w:r>
              <w:rPr>
                <w:rFonts w:ascii="Calibri" w:hAnsi="Calibri"/>
                <w:color w:val="1E293B"/>
                <w:sz w:val="18"/>
              </w:rPr>
              <w:t>South American savanna / African bush</w:t>
            </w:r>
          </w:p>
        </w:tc>
      </w:tr>
      <w:tr>
        <w:tc>
          <w:tcPr>
            <w:tcW w:type="dxa" w:w="864"/>
            <w:shd w:fill="FFFFFF"/>
            <w:tcMar>
              <w:top w:w="85" w:type="dxa"/>
              <w:bottom w:w="85" w:type="dxa"/>
              <w:left w:w="120" w:type="dxa"/>
              <w:right w:w="120" w:type="dxa"/>
            </w:tcMar>
          </w:tcPr>
          <w:p>
            <w:pPr>
              <w:spacing w:before="0" w:after="0"/>
              <w:jc w:val="center"/>
            </w:pPr>
            <w:r>
              <w:rPr>
                <w:rFonts w:ascii="Calibri" w:hAnsi="Calibri"/>
                <w:b/>
                <w:color w:val="1E293B"/>
                <w:sz w:val="18"/>
              </w:rPr>
              <w:t>3</w:t>
            </w:r>
          </w:p>
        </w:tc>
        <w:tc>
          <w:tcPr>
            <w:tcW w:type="dxa" w:w="1728"/>
            <w:shd w:fill="FFFFFF"/>
            <w:tcMar>
              <w:top w:w="85" w:type="dxa"/>
              <w:bottom w:w="85" w:type="dxa"/>
              <w:left w:w="120" w:type="dxa"/>
              <w:right w:w="120" w:type="dxa"/>
            </w:tcMar>
          </w:tcPr>
          <w:p>
            <w:pPr>
              <w:spacing w:before="0" w:after="0"/>
              <w:jc w:val="center"/>
            </w:pPr>
            <w:r>
              <w:rPr>
                <w:rFonts w:ascii="Calibri" w:hAnsi="Calibri"/>
                <w:color w:val="1E293B"/>
                <w:sz w:val="18"/>
              </w:rPr>
              <w:t>2025-10-25</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65,099</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10.12 MW</w:t>
            </w:r>
          </w:p>
        </w:tc>
        <w:tc>
          <w:tcPr>
            <w:tcW w:type="dxa" w:w="1872"/>
            <w:shd w:fill="FFFFFF"/>
            <w:tcMar>
              <w:top w:w="85" w:type="dxa"/>
              <w:bottom w:w="85" w:type="dxa"/>
              <w:left w:w="120" w:type="dxa"/>
              <w:right w:w="120" w:type="dxa"/>
            </w:tcMar>
          </w:tcPr>
          <w:p>
            <w:pPr>
              <w:spacing w:before="0" w:after="0"/>
              <w:jc w:val="right"/>
            </w:pPr>
            <w:r>
              <w:rPr>
                <w:rFonts w:ascii="Calibri" w:hAnsi="Calibri"/>
                <w:color w:val="1E293B"/>
                <w:sz w:val="18"/>
              </w:rPr>
              <w:t>658,900 MW</w:t>
            </w:r>
          </w:p>
        </w:tc>
        <w:tc>
          <w:tcPr>
            <w:tcW w:type="dxa" w:w="2736"/>
            <w:shd w:fill="FFFFFF"/>
            <w:tcMar>
              <w:top w:w="85" w:type="dxa"/>
              <w:bottom w:w="85" w:type="dxa"/>
              <w:left w:w="120" w:type="dxa"/>
              <w:right w:w="120" w:type="dxa"/>
            </w:tcMar>
          </w:tcPr>
          <w:p>
            <w:pPr>
              <w:spacing w:before="0" w:after="0"/>
              <w:jc w:val="left"/>
            </w:pPr>
            <w:r>
              <w:rPr>
                <w:rFonts w:ascii="Calibri" w:hAnsi="Calibri"/>
                <w:color w:val="1E293B"/>
                <w:sz w:val="18"/>
              </w:rPr>
              <w:t>Tropical equatorial fire clearance</w:t>
            </w:r>
          </w:p>
        </w:tc>
      </w:tr>
      <w:tr>
        <w:tc>
          <w:tcPr>
            <w:tcW w:type="dxa" w:w="864"/>
            <w:shd w:fill="F8FAFC"/>
            <w:tcMar>
              <w:top w:w="85" w:type="dxa"/>
              <w:bottom w:w="85" w:type="dxa"/>
              <w:left w:w="120" w:type="dxa"/>
              <w:right w:w="120" w:type="dxa"/>
            </w:tcMar>
          </w:tcPr>
          <w:p>
            <w:pPr>
              <w:spacing w:before="0" w:after="0"/>
              <w:jc w:val="center"/>
            </w:pPr>
            <w:r>
              <w:rPr>
                <w:rFonts w:ascii="Calibri" w:hAnsi="Calibri"/>
                <w:b/>
                <w:color w:val="1E293B"/>
                <w:sz w:val="18"/>
              </w:rPr>
              <w:t>4</w:t>
            </w:r>
          </w:p>
        </w:tc>
        <w:tc>
          <w:tcPr>
            <w:tcW w:type="dxa" w:w="1728"/>
            <w:shd w:fill="F8FAFC"/>
            <w:tcMar>
              <w:top w:w="85" w:type="dxa"/>
              <w:bottom w:w="85" w:type="dxa"/>
              <w:left w:w="120" w:type="dxa"/>
              <w:right w:w="120" w:type="dxa"/>
            </w:tcMar>
          </w:tcPr>
          <w:p>
            <w:pPr>
              <w:spacing w:before="0" w:after="0"/>
              <w:jc w:val="center"/>
            </w:pPr>
            <w:r>
              <w:rPr>
                <w:rFonts w:ascii="Calibri" w:hAnsi="Calibri"/>
                <w:color w:val="1E293B"/>
                <w:sz w:val="18"/>
              </w:rPr>
              <w:t>2026-01-09</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64,548</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7.91 MW</w:t>
            </w:r>
          </w:p>
        </w:tc>
        <w:tc>
          <w:tcPr>
            <w:tcW w:type="dxa" w:w="1872"/>
            <w:shd w:fill="F8FAFC"/>
            <w:tcMar>
              <w:top w:w="85" w:type="dxa"/>
              <w:bottom w:w="85" w:type="dxa"/>
              <w:left w:w="120" w:type="dxa"/>
              <w:right w:w="120" w:type="dxa"/>
            </w:tcMar>
          </w:tcPr>
          <w:p>
            <w:pPr>
              <w:spacing w:before="0" w:after="0"/>
              <w:jc w:val="right"/>
            </w:pPr>
            <w:r>
              <w:rPr>
                <w:rFonts w:ascii="Calibri" w:hAnsi="Calibri"/>
                <w:color w:val="1E293B"/>
                <w:sz w:val="18"/>
              </w:rPr>
              <w:t>510,420 MW</w:t>
            </w:r>
          </w:p>
        </w:tc>
        <w:tc>
          <w:tcPr>
            <w:tcW w:type="dxa" w:w="2736"/>
            <w:shd w:fill="F8FAFC"/>
            <w:tcMar>
              <w:top w:w="85" w:type="dxa"/>
              <w:bottom w:w="85" w:type="dxa"/>
              <w:left w:w="120" w:type="dxa"/>
              <w:right w:w="120" w:type="dxa"/>
            </w:tcMar>
          </w:tcPr>
          <w:p>
            <w:pPr>
              <w:spacing w:before="0" w:after="0"/>
              <w:jc w:val="left"/>
            </w:pPr>
            <w:r>
              <w:rPr>
                <w:rFonts w:ascii="Calibri" w:hAnsi="Calibri"/>
                <w:color w:val="1E293B"/>
                <w:sz w:val="18"/>
              </w:rPr>
              <w:t>Australian summer bushfire activity</w:t>
            </w:r>
          </w:p>
        </w:tc>
      </w:tr>
      <w:tr>
        <w:tc>
          <w:tcPr>
            <w:tcW w:type="dxa" w:w="864"/>
            <w:shd w:fill="FFFFFF"/>
            <w:tcMar>
              <w:top w:w="85" w:type="dxa"/>
              <w:bottom w:w="85" w:type="dxa"/>
              <w:left w:w="120" w:type="dxa"/>
              <w:right w:w="120" w:type="dxa"/>
            </w:tcMar>
          </w:tcPr>
          <w:p>
            <w:pPr>
              <w:spacing w:before="0" w:after="0"/>
              <w:jc w:val="center"/>
            </w:pPr>
            <w:r>
              <w:rPr>
                <w:rFonts w:ascii="Calibri" w:hAnsi="Calibri"/>
                <w:b/>
                <w:color w:val="1E293B"/>
                <w:sz w:val="18"/>
              </w:rPr>
              <w:t>5</w:t>
            </w:r>
          </w:p>
        </w:tc>
        <w:tc>
          <w:tcPr>
            <w:tcW w:type="dxa" w:w="1728"/>
            <w:shd w:fill="FFFFFF"/>
            <w:tcMar>
              <w:top w:w="85" w:type="dxa"/>
              <w:bottom w:w="85" w:type="dxa"/>
              <w:left w:w="120" w:type="dxa"/>
              <w:right w:w="120" w:type="dxa"/>
            </w:tcMar>
          </w:tcPr>
          <w:p>
            <w:pPr>
              <w:spacing w:before="0" w:after="0"/>
              <w:jc w:val="center"/>
            </w:pPr>
            <w:r>
              <w:rPr>
                <w:rFonts w:ascii="Calibri" w:hAnsi="Calibri"/>
                <w:color w:val="1E293B"/>
                <w:sz w:val="18"/>
              </w:rPr>
              <w:t>2026-01-26</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64,057</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7.91 MW</w:t>
            </w:r>
          </w:p>
        </w:tc>
        <w:tc>
          <w:tcPr>
            <w:tcW w:type="dxa" w:w="1872"/>
            <w:shd w:fill="FFFFFF"/>
            <w:tcMar>
              <w:top w:w="85" w:type="dxa"/>
              <w:bottom w:w="85" w:type="dxa"/>
              <w:left w:w="120" w:type="dxa"/>
              <w:right w:w="120" w:type="dxa"/>
            </w:tcMar>
          </w:tcPr>
          <w:p>
            <w:pPr>
              <w:spacing w:before="0" w:after="0"/>
              <w:jc w:val="right"/>
            </w:pPr>
            <w:r>
              <w:rPr>
                <w:rFonts w:ascii="Calibri" w:hAnsi="Calibri"/>
                <w:color w:val="1E293B"/>
                <w:sz w:val="18"/>
              </w:rPr>
              <w:t>506,980 MW</w:t>
            </w:r>
          </w:p>
        </w:tc>
        <w:tc>
          <w:tcPr>
            <w:tcW w:type="dxa" w:w="2736"/>
            <w:shd w:fill="FFFFFF"/>
            <w:tcMar>
              <w:top w:w="85" w:type="dxa"/>
              <w:bottom w:w="85" w:type="dxa"/>
              <w:left w:w="120" w:type="dxa"/>
              <w:right w:w="120" w:type="dxa"/>
            </w:tcMar>
          </w:tcPr>
          <w:p>
            <w:pPr>
              <w:spacing w:before="0" w:after="0"/>
              <w:jc w:val="left"/>
            </w:pPr>
            <w:r>
              <w:rPr>
                <w:rFonts w:ascii="Calibri" w:hAnsi="Calibri"/>
                <w:color w:val="1E293B"/>
                <w:sz w:val="18"/>
              </w:rPr>
              <w:t>Australian &amp; Cerrado fires</w:t>
            </w:r>
          </w:p>
        </w:tc>
      </w:tr>
      <w:tr>
        <w:tc>
          <w:tcPr>
            <w:tcW w:type="dxa" w:w="864"/>
            <w:shd w:fill="F8FAFC"/>
            <w:tcMar>
              <w:top w:w="85" w:type="dxa"/>
              <w:bottom w:w="85" w:type="dxa"/>
              <w:left w:w="120" w:type="dxa"/>
              <w:right w:w="120" w:type="dxa"/>
            </w:tcMar>
          </w:tcPr>
          <w:p>
            <w:pPr>
              <w:spacing w:before="0" w:after="0"/>
              <w:jc w:val="center"/>
            </w:pPr>
            <w:r>
              <w:rPr>
                <w:rFonts w:ascii="Calibri" w:hAnsi="Calibri"/>
                <w:b/>
                <w:color w:val="1E293B"/>
                <w:sz w:val="18"/>
              </w:rPr>
              <w:t>6</w:t>
            </w:r>
          </w:p>
        </w:tc>
        <w:tc>
          <w:tcPr>
            <w:tcW w:type="dxa" w:w="1728"/>
            <w:shd w:fill="F8FAFC"/>
            <w:tcMar>
              <w:top w:w="85" w:type="dxa"/>
              <w:bottom w:w="85" w:type="dxa"/>
              <w:left w:w="120" w:type="dxa"/>
              <w:right w:w="120" w:type="dxa"/>
            </w:tcMar>
          </w:tcPr>
          <w:p>
            <w:pPr>
              <w:spacing w:before="0" w:after="0"/>
              <w:jc w:val="center"/>
            </w:pPr>
            <w:r>
              <w:rPr>
                <w:rFonts w:ascii="Calibri" w:hAnsi="Calibri"/>
                <w:color w:val="1E293B"/>
                <w:sz w:val="18"/>
              </w:rPr>
              <w:t>2026-01-14</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62,972</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7.92 MW</w:t>
            </w:r>
          </w:p>
        </w:tc>
        <w:tc>
          <w:tcPr>
            <w:tcW w:type="dxa" w:w="1872"/>
            <w:shd w:fill="F8FAFC"/>
            <w:tcMar>
              <w:top w:w="85" w:type="dxa"/>
              <w:bottom w:w="85" w:type="dxa"/>
              <w:left w:w="120" w:type="dxa"/>
              <w:right w:w="120" w:type="dxa"/>
            </w:tcMar>
          </w:tcPr>
          <w:p>
            <w:pPr>
              <w:spacing w:before="0" w:after="0"/>
              <w:jc w:val="right"/>
            </w:pPr>
            <w:r>
              <w:rPr>
                <w:rFonts w:ascii="Calibri" w:hAnsi="Calibri"/>
                <w:color w:val="1E293B"/>
                <w:sz w:val="18"/>
              </w:rPr>
              <w:t>498,320 MW</w:t>
            </w:r>
          </w:p>
        </w:tc>
        <w:tc>
          <w:tcPr>
            <w:tcW w:type="dxa" w:w="2736"/>
            <w:shd w:fill="F8FAFC"/>
            <w:tcMar>
              <w:top w:w="85" w:type="dxa"/>
              <w:bottom w:w="85" w:type="dxa"/>
              <w:left w:w="120" w:type="dxa"/>
              <w:right w:w="120" w:type="dxa"/>
            </w:tcMar>
          </w:tcPr>
          <w:p>
            <w:pPr>
              <w:spacing w:before="0" w:after="0"/>
              <w:jc w:val="left"/>
            </w:pPr>
            <w:r>
              <w:rPr>
                <w:rFonts w:ascii="Calibri" w:hAnsi="Calibri"/>
                <w:color w:val="1E293B"/>
                <w:sz w:val="18"/>
              </w:rPr>
              <w:t>Savanna seasonal burning</w:t>
            </w:r>
          </w:p>
        </w:tc>
      </w:tr>
      <w:tr>
        <w:tc>
          <w:tcPr>
            <w:tcW w:type="dxa" w:w="864"/>
            <w:shd w:fill="FFFFFF"/>
            <w:tcMar>
              <w:top w:w="85" w:type="dxa"/>
              <w:bottom w:w="85" w:type="dxa"/>
              <w:left w:w="120" w:type="dxa"/>
              <w:right w:w="120" w:type="dxa"/>
            </w:tcMar>
          </w:tcPr>
          <w:p>
            <w:pPr>
              <w:spacing w:before="0" w:after="0"/>
              <w:jc w:val="center"/>
            </w:pPr>
            <w:r>
              <w:rPr>
                <w:rFonts w:ascii="Calibri" w:hAnsi="Calibri"/>
                <w:b/>
                <w:color w:val="1E293B"/>
                <w:sz w:val="18"/>
              </w:rPr>
              <w:t>7</w:t>
            </w:r>
          </w:p>
        </w:tc>
        <w:tc>
          <w:tcPr>
            <w:tcW w:type="dxa" w:w="1728"/>
            <w:shd w:fill="FFFFFF"/>
            <w:tcMar>
              <w:top w:w="85" w:type="dxa"/>
              <w:bottom w:w="85" w:type="dxa"/>
              <w:left w:w="120" w:type="dxa"/>
              <w:right w:w="120" w:type="dxa"/>
            </w:tcMar>
          </w:tcPr>
          <w:p>
            <w:pPr>
              <w:spacing w:before="0" w:after="0"/>
              <w:jc w:val="center"/>
            </w:pPr>
            <w:r>
              <w:rPr>
                <w:rFonts w:ascii="Calibri" w:hAnsi="Calibri"/>
                <w:color w:val="1E293B"/>
                <w:sz w:val="18"/>
              </w:rPr>
              <w:t>2026-01-06</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61,369</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7.91 MW</w:t>
            </w:r>
          </w:p>
        </w:tc>
        <w:tc>
          <w:tcPr>
            <w:tcW w:type="dxa" w:w="1872"/>
            <w:shd w:fill="FFFFFF"/>
            <w:tcMar>
              <w:top w:w="85" w:type="dxa"/>
              <w:bottom w:w="85" w:type="dxa"/>
              <w:left w:w="120" w:type="dxa"/>
              <w:right w:w="120" w:type="dxa"/>
            </w:tcMar>
          </w:tcPr>
          <w:p>
            <w:pPr>
              <w:spacing w:before="0" w:after="0"/>
              <w:jc w:val="right"/>
            </w:pPr>
            <w:r>
              <w:rPr>
                <w:rFonts w:ascii="Calibri" w:hAnsi="Calibri"/>
                <w:color w:val="1E293B"/>
                <w:sz w:val="18"/>
              </w:rPr>
              <w:t>485,120 MW</w:t>
            </w:r>
          </w:p>
        </w:tc>
        <w:tc>
          <w:tcPr>
            <w:tcW w:type="dxa" w:w="2736"/>
            <w:shd w:fill="FFFFFF"/>
            <w:tcMar>
              <w:top w:w="85" w:type="dxa"/>
              <w:bottom w:w="85" w:type="dxa"/>
              <w:left w:w="120" w:type="dxa"/>
              <w:right w:w="120" w:type="dxa"/>
            </w:tcMar>
          </w:tcPr>
          <w:p>
            <w:pPr>
              <w:spacing w:before="0" w:after="0"/>
              <w:jc w:val="left"/>
            </w:pPr>
            <w:r>
              <w:rPr>
                <w:rFonts w:ascii="Calibri" w:hAnsi="Calibri"/>
                <w:color w:val="1E293B"/>
                <w:sz w:val="18"/>
              </w:rPr>
              <w:t>Australian bushfires</w:t>
            </w:r>
          </w:p>
        </w:tc>
      </w:tr>
      <w:tr>
        <w:tc>
          <w:tcPr>
            <w:tcW w:type="dxa" w:w="864"/>
            <w:shd w:fill="F8FAFC"/>
            <w:tcMar>
              <w:top w:w="85" w:type="dxa"/>
              <w:bottom w:w="85" w:type="dxa"/>
              <w:left w:w="120" w:type="dxa"/>
              <w:right w:w="120" w:type="dxa"/>
            </w:tcMar>
          </w:tcPr>
          <w:p>
            <w:pPr>
              <w:spacing w:before="0" w:after="0"/>
              <w:jc w:val="center"/>
            </w:pPr>
            <w:r>
              <w:rPr>
                <w:rFonts w:ascii="Calibri" w:hAnsi="Calibri"/>
                <w:b/>
                <w:color w:val="1E293B"/>
                <w:sz w:val="18"/>
              </w:rPr>
              <w:t>8</w:t>
            </w:r>
          </w:p>
        </w:tc>
        <w:tc>
          <w:tcPr>
            <w:tcW w:type="dxa" w:w="1728"/>
            <w:shd w:fill="F8FAFC"/>
            <w:tcMar>
              <w:top w:w="85" w:type="dxa"/>
              <w:bottom w:w="85" w:type="dxa"/>
              <w:left w:w="120" w:type="dxa"/>
              <w:right w:w="120" w:type="dxa"/>
            </w:tcMar>
          </w:tcPr>
          <w:p>
            <w:pPr>
              <w:spacing w:before="0" w:after="0"/>
              <w:jc w:val="center"/>
            </w:pPr>
            <w:r>
              <w:rPr>
                <w:rFonts w:ascii="Calibri" w:hAnsi="Calibri"/>
                <w:color w:val="1E293B"/>
                <w:sz w:val="18"/>
              </w:rPr>
              <w:t>2025-10-15</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60,936</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10.10 MW</w:t>
            </w:r>
          </w:p>
        </w:tc>
        <w:tc>
          <w:tcPr>
            <w:tcW w:type="dxa" w:w="1872"/>
            <w:shd w:fill="F8FAFC"/>
            <w:tcMar>
              <w:top w:w="85" w:type="dxa"/>
              <w:bottom w:w="85" w:type="dxa"/>
              <w:left w:w="120" w:type="dxa"/>
              <w:right w:w="120" w:type="dxa"/>
            </w:tcMar>
          </w:tcPr>
          <w:p>
            <w:pPr>
              <w:spacing w:before="0" w:after="0"/>
              <w:jc w:val="right"/>
            </w:pPr>
            <w:r>
              <w:rPr>
                <w:rFonts w:ascii="Calibri" w:hAnsi="Calibri"/>
                <w:color w:val="1E293B"/>
                <w:sz w:val="18"/>
              </w:rPr>
              <w:t>615,400 MW</w:t>
            </w:r>
          </w:p>
        </w:tc>
        <w:tc>
          <w:tcPr>
            <w:tcW w:type="dxa" w:w="2736"/>
            <w:shd w:fill="F8FAFC"/>
            <w:tcMar>
              <w:top w:w="85" w:type="dxa"/>
              <w:bottom w:w="85" w:type="dxa"/>
              <w:left w:w="120" w:type="dxa"/>
              <w:right w:w="120" w:type="dxa"/>
            </w:tcMar>
          </w:tcPr>
          <w:p>
            <w:pPr>
              <w:spacing w:before="0" w:after="0"/>
              <w:jc w:val="left"/>
            </w:pPr>
            <w:r>
              <w:rPr>
                <w:rFonts w:ascii="Calibri" w:hAnsi="Calibri"/>
                <w:color w:val="1E293B"/>
                <w:sz w:val="18"/>
              </w:rPr>
              <w:t>Northern autumn agricultural clearing</w:t>
            </w:r>
          </w:p>
        </w:tc>
      </w:tr>
      <w:tr>
        <w:tc>
          <w:tcPr>
            <w:tcW w:type="dxa" w:w="864"/>
            <w:shd w:fill="FFFFFF"/>
            <w:tcMar>
              <w:top w:w="85" w:type="dxa"/>
              <w:bottom w:w="85" w:type="dxa"/>
              <w:left w:w="120" w:type="dxa"/>
              <w:right w:w="120" w:type="dxa"/>
            </w:tcMar>
          </w:tcPr>
          <w:p>
            <w:pPr>
              <w:spacing w:before="0" w:after="0"/>
              <w:jc w:val="center"/>
            </w:pPr>
            <w:r>
              <w:rPr>
                <w:rFonts w:ascii="Calibri" w:hAnsi="Calibri"/>
                <w:b/>
                <w:color w:val="1E293B"/>
                <w:sz w:val="18"/>
              </w:rPr>
              <w:t>9</w:t>
            </w:r>
          </w:p>
        </w:tc>
        <w:tc>
          <w:tcPr>
            <w:tcW w:type="dxa" w:w="1728"/>
            <w:shd w:fill="FFFFFF"/>
            <w:tcMar>
              <w:top w:w="85" w:type="dxa"/>
              <w:bottom w:w="85" w:type="dxa"/>
              <w:left w:w="120" w:type="dxa"/>
              <w:right w:w="120" w:type="dxa"/>
            </w:tcMar>
          </w:tcPr>
          <w:p>
            <w:pPr>
              <w:spacing w:before="0" w:after="0"/>
              <w:jc w:val="center"/>
            </w:pPr>
            <w:r>
              <w:rPr>
                <w:rFonts w:ascii="Calibri" w:hAnsi="Calibri"/>
                <w:color w:val="1E293B"/>
                <w:sz w:val="18"/>
              </w:rPr>
              <w:t>2026-03-28</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60,267</w:t>
            </w:r>
          </w:p>
        </w:tc>
        <w:tc>
          <w:tcPr>
            <w:tcW w:type="dxa" w:w="1584"/>
            <w:shd w:fill="FFFFFF"/>
            <w:tcMar>
              <w:top w:w="85" w:type="dxa"/>
              <w:bottom w:w="85" w:type="dxa"/>
              <w:left w:w="120" w:type="dxa"/>
              <w:right w:w="120" w:type="dxa"/>
            </w:tcMar>
          </w:tcPr>
          <w:p>
            <w:pPr>
              <w:spacing w:before="0" w:after="0"/>
              <w:jc w:val="right"/>
            </w:pPr>
            <w:r>
              <w:rPr>
                <w:rFonts w:ascii="Calibri" w:hAnsi="Calibri"/>
                <w:color w:val="1E293B"/>
                <w:sz w:val="18"/>
              </w:rPr>
              <w:t>8.38 MW</w:t>
            </w:r>
          </w:p>
        </w:tc>
        <w:tc>
          <w:tcPr>
            <w:tcW w:type="dxa" w:w="1872"/>
            <w:shd w:fill="FFFFFF"/>
            <w:tcMar>
              <w:top w:w="85" w:type="dxa"/>
              <w:bottom w:w="85" w:type="dxa"/>
              <w:left w:w="120" w:type="dxa"/>
              <w:right w:w="120" w:type="dxa"/>
            </w:tcMar>
          </w:tcPr>
          <w:p>
            <w:pPr>
              <w:spacing w:before="0" w:after="0"/>
              <w:jc w:val="right"/>
            </w:pPr>
            <w:r>
              <w:rPr>
                <w:rFonts w:ascii="Calibri" w:hAnsi="Calibri"/>
                <w:color w:val="1E293B"/>
                <w:sz w:val="18"/>
              </w:rPr>
              <w:t>505,037 MW</w:t>
            </w:r>
          </w:p>
        </w:tc>
        <w:tc>
          <w:tcPr>
            <w:tcW w:type="dxa" w:w="2736"/>
            <w:shd w:fill="FFFFFF"/>
            <w:tcMar>
              <w:top w:w="85" w:type="dxa"/>
              <w:bottom w:w="85" w:type="dxa"/>
              <w:left w:w="120" w:type="dxa"/>
              <w:right w:w="120" w:type="dxa"/>
            </w:tcMar>
          </w:tcPr>
          <w:p>
            <w:pPr>
              <w:spacing w:before="0" w:after="0"/>
              <w:jc w:val="left"/>
            </w:pPr>
            <w:r>
              <w:rPr>
                <w:rFonts w:ascii="Calibri" w:hAnsi="Calibri"/>
                <w:color w:val="1E293B"/>
                <w:sz w:val="18"/>
              </w:rPr>
              <w:t>Indochina dry season biomass burning</w:t>
            </w:r>
          </w:p>
        </w:tc>
      </w:tr>
      <w:tr>
        <w:tc>
          <w:tcPr>
            <w:tcW w:type="dxa" w:w="864"/>
            <w:shd w:fill="F8FAFC"/>
            <w:tcMar>
              <w:top w:w="85" w:type="dxa"/>
              <w:bottom w:w="85" w:type="dxa"/>
              <w:left w:w="120" w:type="dxa"/>
              <w:right w:w="120" w:type="dxa"/>
            </w:tcMar>
          </w:tcPr>
          <w:p>
            <w:pPr>
              <w:spacing w:before="0" w:after="0"/>
              <w:jc w:val="center"/>
            </w:pPr>
            <w:r>
              <w:rPr>
                <w:rFonts w:ascii="Calibri" w:hAnsi="Calibri"/>
                <w:b/>
                <w:color w:val="1E293B"/>
                <w:sz w:val="18"/>
              </w:rPr>
              <w:t>10</w:t>
            </w:r>
          </w:p>
        </w:tc>
        <w:tc>
          <w:tcPr>
            <w:tcW w:type="dxa" w:w="1728"/>
            <w:shd w:fill="F8FAFC"/>
            <w:tcMar>
              <w:top w:w="85" w:type="dxa"/>
              <w:bottom w:w="85" w:type="dxa"/>
              <w:left w:w="120" w:type="dxa"/>
              <w:right w:w="120" w:type="dxa"/>
            </w:tcMar>
          </w:tcPr>
          <w:p>
            <w:pPr>
              <w:spacing w:before="0" w:after="0"/>
              <w:jc w:val="center"/>
            </w:pPr>
            <w:r>
              <w:rPr>
                <w:rFonts w:ascii="Calibri" w:hAnsi="Calibri"/>
                <w:color w:val="1E293B"/>
                <w:sz w:val="18"/>
              </w:rPr>
              <w:t>2026-01-25</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59,145</w:t>
            </w:r>
          </w:p>
        </w:tc>
        <w:tc>
          <w:tcPr>
            <w:tcW w:type="dxa" w:w="1584"/>
            <w:shd w:fill="F8FAFC"/>
            <w:tcMar>
              <w:top w:w="85" w:type="dxa"/>
              <w:bottom w:w="85" w:type="dxa"/>
              <w:left w:w="120" w:type="dxa"/>
              <w:right w:w="120" w:type="dxa"/>
            </w:tcMar>
          </w:tcPr>
          <w:p>
            <w:pPr>
              <w:spacing w:before="0" w:after="0"/>
              <w:jc w:val="right"/>
            </w:pPr>
            <w:r>
              <w:rPr>
                <w:rFonts w:ascii="Calibri" w:hAnsi="Calibri"/>
                <w:color w:val="1E293B"/>
                <w:sz w:val="18"/>
              </w:rPr>
              <w:t>7.91 MW</w:t>
            </w:r>
          </w:p>
        </w:tc>
        <w:tc>
          <w:tcPr>
            <w:tcW w:type="dxa" w:w="1872"/>
            <w:shd w:fill="F8FAFC"/>
            <w:tcMar>
              <w:top w:w="85" w:type="dxa"/>
              <w:bottom w:w="85" w:type="dxa"/>
              <w:left w:w="120" w:type="dxa"/>
              <w:right w:w="120" w:type="dxa"/>
            </w:tcMar>
          </w:tcPr>
          <w:p>
            <w:pPr>
              <w:spacing w:before="0" w:after="0"/>
              <w:jc w:val="right"/>
            </w:pPr>
            <w:r>
              <w:rPr>
                <w:rFonts w:ascii="Calibri" w:hAnsi="Calibri"/>
                <w:color w:val="1E293B"/>
                <w:sz w:val="18"/>
              </w:rPr>
              <w:t>467,837 MW</w:t>
            </w:r>
          </w:p>
        </w:tc>
        <w:tc>
          <w:tcPr>
            <w:tcW w:type="dxa" w:w="2736"/>
            <w:shd w:fill="F8FAFC"/>
            <w:tcMar>
              <w:top w:w="85" w:type="dxa"/>
              <w:bottom w:w="85" w:type="dxa"/>
              <w:left w:w="120" w:type="dxa"/>
              <w:right w:w="120" w:type="dxa"/>
            </w:tcMar>
          </w:tcPr>
          <w:p>
            <w:pPr>
              <w:spacing w:before="0" w:after="0"/>
              <w:jc w:val="left"/>
            </w:pPr>
            <w:r>
              <w:rPr>
                <w:rFonts w:ascii="Calibri" w:hAnsi="Calibri"/>
                <w:color w:val="1E293B"/>
                <w:sz w:val="18"/>
              </w:rPr>
              <w:t>Southern Hemisphere peak</w:t>
            </w:r>
          </w:p>
        </w:tc>
      </w:tr>
    </w:tbl>
    <w:p>
      <w:pPr>
        <w:spacing w:after="120"/>
      </w:pPr>
    </w:p>
    <w:p>
      <w:pPr>
        <w:spacing w:before="160" w:after="60"/>
        <w:jc w:val="center"/>
      </w:pPr>
      <w:r>
        <w:drawing>
          <wp:inline xmlns:a="http://schemas.openxmlformats.org/drawingml/2006/main" xmlns:pic="http://schemas.openxmlformats.org/drawingml/2006/picture">
            <wp:extent cx="5669280" cy="1151668"/>
            <wp:docPr id="4" name="Picture 4"/>
            <wp:cNvGraphicFramePr>
              <a:graphicFrameLocks noChangeAspect="1"/>
            </wp:cNvGraphicFramePr>
            <a:graphic>
              <a:graphicData uri="http://schemas.openxmlformats.org/drawingml/2006/picture">
                <pic:pic>
                  <pic:nvPicPr>
                    <pic:cNvPr id="0" name="fig4_peak_dates.png"/>
                    <pic:cNvPicPr/>
                  </pic:nvPicPr>
                  <pic:blipFill>
                    <a:blip r:embed="rId12"/>
                    <a:stretch>
                      <a:fillRect/>
                    </a:stretch>
                  </pic:blipFill>
                  <pic:spPr>
                    <a:xfrm>
                      <a:off x="0" y="0"/>
                      <a:ext cx="5669280" cy="1151668"/>
                    </a:xfrm>
                    <a:prstGeom prst="rect"/>
                  </pic:spPr>
                </pic:pic>
              </a:graphicData>
            </a:graphic>
          </wp:inline>
        </w:drawing>
      </w:r>
    </w:p>
    <w:p>
      <w:pPr>
        <w:spacing w:before="0" w:after="160"/>
        <w:jc w:val="center"/>
      </w:pPr>
      <w:r>
        <w:rPr>
          <w:rFonts w:ascii="Calibri" w:hAnsi="Calibri"/>
          <w:i/>
          <w:color w:val="64748B"/>
          <w:sz w:val="19"/>
        </w:rPr>
        <w:t>Figure 4: Global Peak Wildfire Detection Dates Ranked by Frequency, Radiative Energy, and Regional Drivers</w:t>
      </w:r>
    </w:p>
    <w:p>
      <w:pPr>
        <w:spacing w:before="160" w:after="60"/>
        <w:jc w:val="center"/>
      </w:pPr>
      <w:r>
        <w:drawing>
          <wp:inline xmlns:a="http://schemas.openxmlformats.org/drawingml/2006/main" xmlns:pic="http://schemas.openxmlformats.org/drawingml/2006/picture">
            <wp:extent cx="5669280" cy="2429691"/>
            <wp:docPr id="5" name="Picture 5"/>
            <wp:cNvGraphicFramePr>
              <a:graphicFrameLocks noChangeAspect="1"/>
            </wp:cNvGraphicFramePr>
            <a:graphic>
              <a:graphicData uri="http://schemas.openxmlformats.org/drawingml/2006/picture">
                <pic:pic>
                  <pic:nvPicPr>
                    <pic:cNvPr id="0" name="member2_daily_trend.png"/>
                    <pic:cNvPicPr/>
                  </pic:nvPicPr>
                  <pic:blipFill>
                    <a:blip r:embed="rId13"/>
                    <a:stretch>
                      <a:fillRect/>
                    </a:stretch>
                  </pic:blipFill>
                  <pic:spPr>
                    <a:xfrm>
                      <a:off x="0" y="0"/>
                      <a:ext cx="5669280" cy="2429691"/>
                    </a:xfrm>
                    <a:prstGeom prst="rect"/>
                  </pic:spPr>
                </pic:pic>
              </a:graphicData>
            </a:graphic>
          </wp:inline>
        </w:drawing>
      </w:r>
    </w:p>
    <w:p>
      <w:pPr>
        <w:spacing w:before="0" w:after="160"/>
        <w:jc w:val="center"/>
      </w:pPr>
      <w:r>
        <w:rPr>
          <w:rFonts w:ascii="Calibri" w:hAnsi="Calibri"/>
          <w:i/>
          <w:color w:val="64748B"/>
          <w:sz w:val="19"/>
        </w:rPr>
        <w:t>Figure 5: Daily Global Fire Hotspot Volume, 7-Day Centered Moving Average, and Cumulative FRP (MW)</w:t>
      </w:r>
    </w:p>
    <w:p>
      <w:pPr>
        <w:pStyle w:val="Heading2"/>
        <w:keepNext/>
        <w:spacing w:before="280" w:after="80"/>
      </w:pPr>
      <w:r>
        <w:rPr>
          <w:rFonts w:ascii="Calibri" w:hAnsi="Calibri"/>
          <w:b/>
          <w:color w:val="1E293B"/>
          <w:sz w:val="26"/>
        </w:rPr>
        <w:t>6.2 Monthly Seasonal Dynamics &amp; Archive Continuity Audit</w:t>
      </w:r>
    </w:p>
    <w:p>
      <w:pPr>
        <w:spacing w:before="0" w:after="120" w:line="276" w:lineRule="auto"/>
      </w:pPr>
      <w:r>
        <w:rPr>
          <w:rFonts w:ascii="Calibri" w:hAnsi="Calibri"/>
          <w:b/>
          <w:color w:val="0F172A"/>
          <w:sz w:val="21"/>
        </w:rPr>
        <w:t xml:space="preserve">Monthly Seasonality Divergence: </w:t>
      </w:r>
      <w:r>
        <w:rPr>
          <w:rFonts w:ascii="Calibri" w:hAnsi="Calibri"/>
          <w:i w:val="0"/>
          <w:color w:val="334155"/>
          <w:sz w:val="21"/>
        </w:rPr>
        <w:t>Aggregating telemetry across Year-Month intervals uncovers a critical operational divergence between detection volume and physical energy release:</w:t>
      </w:r>
    </w:p>
    <w:p>
      <w:pPr>
        <w:spacing w:before="0" w:after="120" w:line="276" w:lineRule="auto"/>
      </w:pPr>
      <w:r>
        <w:rPr>
          <w:rFonts w:ascii="Calibri" w:hAnsi="Calibri"/>
          <w:b/>
          <w:color w:val="0F172A"/>
          <w:sz w:val="21"/>
        </w:rPr>
        <w:t xml:space="preserve">• Peak Detection Volume: </w:t>
      </w:r>
      <w:r>
        <w:rPr>
          <w:rFonts w:ascii="Calibri" w:hAnsi="Calibri"/>
          <w:i w:val="0"/>
          <w:color w:val="334155"/>
          <w:sz w:val="21"/>
        </w:rPr>
        <w:t>January 2026 recorded the highest detection volume with 1,531,105 hotspots (16.10% of total volume), propelled by intense Southern Hemisphere summer heatwaves across Southeastern Australia and the southern Cerrado.</w:t>
      </w:r>
    </w:p>
    <w:p>
      <w:pPr>
        <w:spacing w:before="0" w:after="120" w:line="276" w:lineRule="auto"/>
      </w:pPr>
      <w:r>
        <w:rPr>
          <w:rFonts w:ascii="Calibri" w:hAnsi="Calibri"/>
          <w:b/>
          <w:color w:val="0F172A"/>
          <w:sz w:val="21"/>
        </w:rPr>
        <w:t xml:space="preserve">• Peak Thermal Energy Intensity: </w:t>
      </w:r>
      <w:r>
        <w:rPr>
          <w:rFonts w:ascii="Calibri" w:hAnsi="Calibri"/>
          <w:i w:val="0"/>
          <w:color w:val="334155"/>
          <w:sz w:val="21"/>
        </w:rPr>
        <w:t>June 2026 recorded the highest mean radiative power (10.32 MW per detection, releasing 12,356,080 MW total energy). These high-energy burns reflect intense boreal forest crown fires in Canada and Siberia, where heavy fuel loads generate catastrophic heat release.</w:t>
      </w:r>
    </w:p>
    <w:p>
      <w:pPr>
        <w:spacing w:before="0" w:after="120" w:line="276" w:lineRule="auto"/>
      </w:pPr>
      <w:r>
        <w:rPr>
          <w:rFonts w:ascii="Calibri" w:hAnsi="Calibri"/>
          <w:b/>
          <w:color w:val="0F172A"/>
          <w:sz w:val="21"/>
        </w:rPr>
        <w:t xml:space="preserve">• Quietest Complete Month: </w:t>
      </w:r>
      <w:r>
        <w:rPr>
          <w:rFonts w:ascii="Calibri" w:hAnsi="Calibri"/>
          <w:i w:val="0"/>
          <w:color w:val="334155"/>
          <w:sz w:val="21"/>
        </w:rPr>
        <w:t>December 2025 recorded the lowest count among complete months (1,079,467 hotspots, 11.35%).</w:t>
      </w:r>
    </w:p>
    <w:p>
      <w:pPr>
        <w:spacing w:before="0" w:after="120" w:line="276" w:lineRule="auto"/>
      </w:pPr>
      <w:r>
        <w:rPr>
          <w:rFonts w:ascii="Calibri" w:hAnsi="Calibri"/>
          <w:b/>
          <w:color w:val="0F172A"/>
          <w:sz w:val="21"/>
        </w:rPr>
        <w:t xml:space="preserve">• Sensor Archive Discontinuity Audit: </w:t>
      </w:r>
      <w:r>
        <w:rPr>
          <w:rFonts w:ascii="Calibri" w:hAnsi="Calibri"/>
          <w:i w:val="0"/>
          <w:color w:val="334155"/>
          <w:sz w:val="21"/>
        </w:rPr>
        <w:t>A calendar sequence audit across the 262-day operational span identified exactly 39 missing calendar days. Crucially, the entire month of May 2026 (0 records from 2026-05-01 to 2026-05-31) is absent due to satellite historical archival ingestion cutoffs. Identifying this discontinuity is vital to prevent automated dispatch systems from falsely concluding that wildfire danger ceased during late spring.</w:t>
      </w:r>
    </w:p>
    <w:p>
      <w:pPr>
        <w:spacing w:before="160" w:after="60"/>
        <w:jc w:val="center"/>
      </w:pPr>
      <w:r>
        <w:drawing>
          <wp:inline xmlns:a="http://schemas.openxmlformats.org/drawingml/2006/main" xmlns:pic="http://schemas.openxmlformats.org/drawingml/2006/picture">
            <wp:extent cx="5669280" cy="1298825"/>
            <wp:docPr id="6" name="Picture 6"/>
            <wp:cNvGraphicFramePr>
              <a:graphicFrameLocks noChangeAspect="1"/>
            </wp:cNvGraphicFramePr>
            <a:graphic>
              <a:graphicData uri="http://schemas.openxmlformats.org/drawingml/2006/picture">
                <pic:pic>
                  <pic:nvPicPr>
                    <pic:cNvPr id="0" name="fig6_monthly_gap.png"/>
                    <pic:cNvPicPr/>
                  </pic:nvPicPr>
                  <pic:blipFill>
                    <a:blip r:embed="rId14"/>
                    <a:stretch>
                      <a:fillRect/>
                    </a:stretch>
                  </pic:blipFill>
                  <pic:spPr>
                    <a:xfrm>
                      <a:off x="0" y="0"/>
                      <a:ext cx="5669280" cy="1298825"/>
                    </a:xfrm>
                    <a:prstGeom prst="rect"/>
                  </pic:spPr>
                </pic:pic>
              </a:graphicData>
            </a:graphic>
          </wp:inline>
        </w:drawing>
      </w:r>
    </w:p>
    <w:p>
      <w:pPr>
        <w:spacing w:before="0" w:after="160"/>
        <w:jc w:val="center"/>
      </w:pPr>
      <w:r>
        <w:rPr>
          <w:rFonts w:ascii="Calibri" w:hAnsi="Calibri"/>
          <w:i/>
          <w:color w:val="64748B"/>
          <w:sz w:val="19"/>
        </w:rPr>
        <w:t>Figure 6: Monthly Fire Radiometry Distributions and Historical Archive Discontinuity Audit</w:t>
      </w:r>
    </w:p>
    <w:p>
      <w:pPr>
        <w:spacing w:before="160" w:after="60"/>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member2_monthly_trend.png"/>
                    <pic:cNvPicPr/>
                  </pic:nvPicPr>
                  <pic:blipFill>
                    <a:blip r:embed="rId15"/>
                    <a:stretch>
                      <a:fillRect/>
                    </a:stretch>
                  </pic:blipFill>
                  <pic:spPr>
                    <a:xfrm>
                      <a:off x="0" y="0"/>
                      <a:ext cx="5669280" cy="2834640"/>
                    </a:xfrm>
                    <a:prstGeom prst="rect"/>
                  </pic:spPr>
                </pic:pic>
              </a:graphicData>
            </a:graphic>
          </wp:inline>
        </w:drawing>
      </w:r>
    </w:p>
    <w:p>
      <w:pPr>
        <w:spacing w:before="0" w:after="160"/>
        <w:jc w:val="center"/>
      </w:pPr>
      <w:r>
        <w:rPr>
          <w:rFonts w:ascii="Calibri" w:hAnsi="Calibri"/>
          <w:i/>
          <w:color w:val="64748B"/>
          <w:sz w:val="19"/>
        </w:rPr>
        <w:t>Figure 7: Monthly Fire Hotspot Volume and Dual-Axis Mean Fire Radiative Power (MW)</w:t>
      </w:r>
    </w:p>
    <w:p>
      <w:pPr>
        <w:pStyle w:val="Heading2"/>
        <w:keepNext/>
        <w:spacing w:before="280" w:after="80"/>
      </w:pPr>
      <w:r>
        <w:rPr>
          <w:rFonts w:ascii="Calibri" w:hAnsi="Calibri"/>
          <w:b/>
          <w:color w:val="1E293B"/>
          <w:sz w:val="26"/>
        </w:rPr>
        <w:t>6.3 24-Hour UTC Diurnal Convective Cycle</w:t>
      </w:r>
    </w:p>
    <w:p>
      <w:pPr>
        <w:spacing w:before="0" w:after="120" w:line="276" w:lineRule="auto"/>
      </w:pPr>
      <w:r>
        <w:rPr>
          <w:rFonts w:ascii="Calibri" w:hAnsi="Calibri"/>
          <w:b/>
          <w:color w:val="0F172A"/>
          <w:sz w:val="21"/>
        </w:rPr>
        <w:t xml:space="preserve">Diurnal Solar Peak: </w:t>
      </w:r>
      <w:r>
        <w:rPr>
          <w:rFonts w:ascii="Calibri" w:hAnsi="Calibri"/>
          <w:i w:val="0"/>
          <w:color w:val="334155"/>
          <w:sz w:val="21"/>
        </w:rPr>
        <w:t>Binning acquisition timestamps across 24 UTC hours reveals an exceptionally sharp diurnal concentration. Peak activity occurs during Hour 11:00 UTC (1,525,521 detections) and Hour 12:00 UTC (1,330,823 detections). Combined, these two hours account for 2,856,344 detections—representing 30.0% of the entire 9.51-million-row dataset. A secondary morning peak appears at Hour 06:00 UTC (513,532 detections), while the quietest observation windows occur at 09:00 UTC (109,108) and 02:00 UTC (111,534).</w:t>
      </w:r>
    </w:p>
    <w:tbl>
      <w:tblPr>
        <w:tblW w:type="auto" w:w="0"/>
        <w:jc w:val="center"/>
        <w:tblLook w:firstColumn="1" w:firstRow="1" w:lastColumn="0" w:lastRow="0" w:noHBand="0" w:noVBand="1" w:val="04A0"/>
      </w:tblPr>
      <w:tblGrid>
        <w:gridCol w:w="9792"/>
      </w:tblGrid>
      <w:tr>
        <w:tc>
          <w:tcPr>
            <w:tcW w:type="dxa" w:w="9792"/>
            <w:shd w:fill="F1F5F9"/>
            <w:tcBorders>
              <w:top w:val="none"/>
              <w:left w:val="single" w:sz="36" w:space="0" w:color="0B3D91"/>
              <w:bottom w:val="none"/>
              <w:right w:val="none"/>
            </w:tcBorders>
            <w:tcMar>
              <w:top w:w="140" w:type="dxa"/>
              <w:bottom w:w="140" w:type="dxa"/>
              <w:left w:w="200" w:type="dxa"/>
              <w:right w:w="200" w:type="dxa"/>
            </w:tcMar>
          </w:tcPr>
          <w:p>
            <w:pPr>
              <w:spacing w:before="0" w:after="0" w:line="276" w:lineRule="auto"/>
            </w:pPr>
            <w:r>
              <w:rPr>
                <w:rFonts w:ascii="Calibri" w:hAnsi="Calibri"/>
                <w:b/>
                <w:color w:val="0B3D91"/>
                <w:sz w:val="21"/>
              </w:rPr>
              <w:t>PHYSICAL SATELLITE ORBITAL DYNAMICS &amp; CONVECTIVE FORCING</w:t>
              <w:br/>
            </w:r>
            <w:r>
              <w:rPr>
                <w:rFonts w:ascii="Calibri" w:hAnsi="Calibri"/>
                <w:color w:val="1E293B"/>
                <w:sz w:val="20"/>
              </w:rPr>
              <w:t>The Suomi-NPP VIIRS sensor operates in a polar sun-synchronous orbit designed with a local solar crossing time of ~13:30 (descending node). Consequently, UTC acquisition timestamps reflect satellite overpass geometry over specific longitudes. Hours 11:00 to 12:00 UTC align with early-to-mid afternoon local solar time across the African continent, Mediterranean Europe, and Western Asia. At this time, surface solar irradiance reaches its maximum, atmospheric relative humidity drops to its minimum, and vegetation flammability peaks, producing massive fire propagation.</w:t>
            </w:r>
          </w:p>
        </w:tc>
      </w:tr>
    </w:tbl>
    <w:p>
      <w:pPr>
        <w:spacing w:after="80"/>
      </w:pPr>
    </w:p>
    <w:p>
      <w:pPr>
        <w:spacing w:before="160" w:after="60"/>
        <w:jc w:val="center"/>
      </w:pPr>
      <w:r>
        <w:drawing>
          <wp:inline xmlns:a="http://schemas.openxmlformats.org/drawingml/2006/main" xmlns:pic="http://schemas.openxmlformats.org/drawingml/2006/picture">
            <wp:extent cx="5669280" cy="721328"/>
            <wp:docPr id="8" name="Picture 8"/>
            <wp:cNvGraphicFramePr>
              <a:graphicFrameLocks noChangeAspect="1"/>
            </wp:cNvGraphicFramePr>
            <a:graphic>
              <a:graphicData uri="http://schemas.openxmlformats.org/drawingml/2006/picture">
                <pic:pic>
                  <pic:nvPicPr>
                    <pic:cNvPr id="0" name="fig8_diurnal_cycle.png"/>
                    <pic:cNvPicPr/>
                  </pic:nvPicPr>
                  <pic:blipFill>
                    <a:blip r:embed="rId16"/>
                    <a:stretch>
                      <a:fillRect/>
                    </a:stretch>
                  </pic:blipFill>
                  <pic:spPr>
                    <a:xfrm>
                      <a:off x="0" y="0"/>
                      <a:ext cx="5669280" cy="721328"/>
                    </a:xfrm>
                    <a:prstGeom prst="rect"/>
                  </pic:spPr>
                </pic:pic>
              </a:graphicData>
            </a:graphic>
          </wp:inline>
        </w:drawing>
      </w:r>
    </w:p>
    <w:p>
      <w:pPr>
        <w:spacing w:before="0" w:after="160"/>
        <w:jc w:val="center"/>
      </w:pPr>
      <w:r>
        <w:rPr>
          <w:rFonts w:ascii="Calibri" w:hAnsi="Calibri"/>
          <w:i/>
          <w:color w:val="64748B"/>
          <w:sz w:val="19"/>
        </w:rPr>
        <w:t>Figure 8: 24-Hour UTC Acquisition Frequency and Polar Sun-Synchronous Overpass Geometry</w:t>
      </w:r>
    </w:p>
    <w:p>
      <w:pPr>
        <w:spacing w:before="160" w:after="60"/>
        <w:jc w:val="center"/>
      </w:pPr>
      <w:r>
        <w:drawing>
          <wp:inline xmlns:a="http://schemas.openxmlformats.org/drawingml/2006/main" xmlns:pic="http://schemas.openxmlformats.org/drawingml/2006/picture">
            <wp:extent cx="5669280" cy="2362200"/>
            <wp:docPr id="9" name="Picture 9"/>
            <wp:cNvGraphicFramePr>
              <a:graphicFrameLocks noChangeAspect="1"/>
            </wp:cNvGraphicFramePr>
            <a:graphic>
              <a:graphicData uri="http://schemas.openxmlformats.org/drawingml/2006/picture">
                <pic:pic>
                  <pic:nvPicPr>
                    <pic:cNvPr id="0" name="member2_hourly_distribution.png"/>
                    <pic:cNvPicPr/>
                  </pic:nvPicPr>
                  <pic:blipFill>
                    <a:blip r:embed="rId17"/>
                    <a:stretch>
                      <a:fillRect/>
                    </a:stretch>
                  </pic:blipFill>
                  <pic:spPr>
                    <a:xfrm>
                      <a:off x="0" y="0"/>
                      <a:ext cx="5669280" cy="2362200"/>
                    </a:xfrm>
                    <a:prstGeom prst="rect"/>
                  </pic:spPr>
                </pic:pic>
              </a:graphicData>
            </a:graphic>
          </wp:inline>
        </w:drawing>
      </w:r>
    </w:p>
    <w:p>
      <w:pPr>
        <w:spacing w:before="0" w:after="160"/>
        <w:jc w:val="center"/>
      </w:pPr>
      <w:r>
        <w:rPr>
          <w:rFonts w:ascii="Calibri" w:hAnsi="Calibri"/>
          <w:i/>
          <w:color w:val="64748B"/>
          <w:sz w:val="19"/>
        </w:rPr>
        <w:t>Figure 9: Diurnal 24-Hour UTC Hotspot Frequency Distribution Illustrating Global Convective Windows</w:t>
      </w:r>
    </w:p>
    <w:p>
      <w:pPr>
        <w:pStyle w:val="Heading2"/>
        <w:keepNext/>
        <w:spacing w:before="280" w:after="80"/>
      </w:pPr>
      <w:r>
        <w:rPr>
          <w:rFonts w:ascii="Calibri" w:hAnsi="Calibri"/>
          <w:b/>
          <w:color w:val="1E293B"/>
          <w:sz w:val="26"/>
        </w:rPr>
        <w:t>6.4 Diurnal versus Nocturnal Thermal Energetics</w:t>
      </w:r>
    </w:p>
    <w:p>
      <w:pPr>
        <w:spacing w:before="0" w:after="120" w:line="276" w:lineRule="auto"/>
      </w:pPr>
      <w:r>
        <w:rPr>
          <w:rFonts w:ascii="Calibri" w:hAnsi="Calibri"/>
          <w:b/>
          <w:color w:val="0F172A"/>
          <w:sz w:val="21"/>
        </w:rPr>
        <w:t xml:space="preserve">• Daytime Detections ('D'): </w:t>
      </w:r>
      <w:r>
        <w:rPr>
          <w:rFonts w:ascii="Calibri" w:hAnsi="Calibri"/>
          <w:i w:val="0"/>
          <w:color w:val="334155"/>
          <w:sz w:val="21"/>
        </w:rPr>
        <w:t>7,246,710 detections (76.19% of volume) | Mean FRP: 9.85 MW | Mean Brightness: 337.8 K.</w:t>
      </w:r>
    </w:p>
    <w:p>
      <w:pPr>
        <w:spacing w:before="0" w:after="120" w:line="276" w:lineRule="auto"/>
      </w:pPr>
      <w:r>
        <w:rPr>
          <w:rFonts w:ascii="Calibri" w:hAnsi="Calibri"/>
          <w:b/>
          <w:color w:val="0F172A"/>
          <w:sz w:val="21"/>
        </w:rPr>
        <w:t xml:space="preserve">• Nighttime Detections ('N'): </w:t>
      </w:r>
      <w:r>
        <w:rPr>
          <w:rFonts w:ascii="Calibri" w:hAnsi="Calibri"/>
          <w:i w:val="0"/>
          <w:color w:val="334155"/>
          <w:sz w:val="21"/>
        </w:rPr>
        <w:t>2,264,692 detections (23.81% of volume) | Mean FRP: 4.72 MW | Mean Brightness: 326.1 K.</w:t>
      </w:r>
    </w:p>
    <w:tbl>
      <w:tblPr>
        <w:tblW w:type="auto" w:w="0"/>
        <w:jc w:val="center"/>
        <w:tblLook w:firstColumn="1" w:firstRow="1" w:lastColumn="0" w:lastRow="0" w:noHBand="0" w:noVBand="1" w:val="04A0"/>
      </w:tblPr>
      <w:tblGrid>
        <w:gridCol w:w="9792"/>
      </w:tblGrid>
      <w:tr>
        <w:tc>
          <w:tcPr>
            <w:tcW w:type="dxa" w:w="9792"/>
            <w:shd w:fill="FFF7ED"/>
            <w:tcBorders>
              <w:top w:val="none"/>
              <w:left w:val="single" w:sz="36" w:space="0" w:color="C2410C"/>
              <w:bottom w:val="none"/>
              <w:right w:val="none"/>
            </w:tcBorders>
            <w:tcMar>
              <w:top w:w="140" w:type="dxa"/>
              <w:bottom w:w="140" w:type="dxa"/>
              <w:left w:w="200" w:type="dxa"/>
              <w:right w:w="200" w:type="dxa"/>
            </w:tcMar>
          </w:tcPr>
          <w:p>
            <w:pPr>
              <w:spacing w:before="0" w:after="0" w:line="276" w:lineRule="auto"/>
            </w:pPr>
            <w:r>
              <w:rPr>
                <w:rFonts w:ascii="Calibri" w:hAnsi="Calibri"/>
                <w:b/>
                <w:color w:val="C2410C"/>
                <w:sz w:val="21"/>
              </w:rPr>
              <w:t>OPERATIONAL INTELLIGENCE PROTOCOL (WARD DISPATCH RULE)</w:t>
              <w:br/>
            </w:r>
            <w:r>
              <w:rPr>
                <w:rFonts w:ascii="Calibri" w:hAnsi="Calibri"/>
                <w:color w:val="1E293B"/>
                <w:sz w:val="20"/>
              </w:rPr>
              <w:t>Under standard atmospheric conditions, nocturnal boundary-layer cooling and relative humidity recovery suppress flame intensity and rate of spread. Consequently, any nocturnal detection exhibiting a Fire Radiative Power &gt;= 30 MW indicates an extreme, fuel-driven crown fire capable of overcoming nocturnal humidity inversions. In the WARD decision framework, this finding establishes an automatic Level-1 emergency escalation rule to deploy night-vision aerial firefighting resources.</w:t>
            </w:r>
          </w:p>
        </w:tc>
      </w:tr>
    </w:tbl>
    <w:p>
      <w:pPr>
        <w:spacing w:after="80"/>
      </w:pPr>
    </w:p>
    <w:p>
      <w:pPr>
        <w:spacing w:before="160" w:after="60"/>
        <w:jc w:val="center"/>
      </w:pPr>
      <w:r>
        <w:drawing>
          <wp:inline xmlns:a="http://schemas.openxmlformats.org/drawingml/2006/main" xmlns:pic="http://schemas.openxmlformats.org/drawingml/2006/picture">
            <wp:extent cx="5669280" cy="488248"/>
            <wp:docPr id="10" name="Picture 10"/>
            <wp:cNvGraphicFramePr>
              <a:graphicFrameLocks noChangeAspect="1"/>
            </wp:cNvGraphicFramePr>
            <a:graphic>
              <a:graphicData uri="http://schemas.openxmlformats.org/drawingml/2006/picture">
                <pic:pic>
                  <pic:nvPicPr>
                    <pic:cNvPr id="0" name="fig10_day_night.png"/>
                    <pic:cNvPicPr/>
                  </pic:nvPicPr>
                  <pic:blipFill>
                    <a:blip r:embed="rId18"/>
                    <a:stretch>
                      <a:fillRect/>
                    </a:stretch>
                  </pic:blipFill>
                  <pic:spPr>
                    <a:xfrm>
                      <a:off x="0" y="0"/>
                      <a:ext cx="5669280" cy="488248"/>
                    </a:xfrm>
                    <a:prstGeom prst="rect"/>
                  </pic:spPr>
                </pic:pic>
              </a:graphicData>
            </a:graphic>
          </wp:inline>
        </w:drawing>
      </w:r>
    </w:p>
    <w:p>
      <w:pPr>
        <w:spacing w:before="0" w:after="160"/>
        <w:jc w:val="center"/>
      </w:pPr>
      <w:r>
        <w:rPr>
          <w:rFonts w:ascii="Calibri" w:hAnsi="Calibri"/>
          <w:i/>
          <w:color w:val="64748B"/>
          <w:sz w:val="19"/>
        </w:rPr>
        <w:t>Figure 10: Diurnal versus Nocturnal Thermal Energetics and Nocturnal Threshold Derivation</w:t>
      </w:r>
    </w:p>
    <w:p>
      <w:pPr>
        <w:spacing w:before="160" w:after="60"/>
        <w:jc w:val="center"/>
      </w:pPr>
      <w:r>
        <w:drawing>
          <wp:inline xmlns:a="http://schemas.openxmlformats.org/drawingml/2006/main" xmlns:pic="http://schemas.openxmlformats.org/drawingml/2006/picture">
            <wp:extent cx="5669280" cy="2024743"/>
            <wp:docPr id="11" name="Picture 11"/>
            <wp:cNvGraphicFramePr>
              <a:graphicFrameLocks noChangeAspect="1"/>
            </wp:cNvGraphicFramePr>
            <a:graphic>
              <a:graphicData uri="http://schemas.openxmlformats.org/drawingml/2006/picture">
                <pic:pic>
                  <pic:nvPicPr>
                    <pic:cNvPr id="0" name="member2_day_vs_night.png"/>
                    <pic:cNvPicPr/>
                  </pic:nvPicPr>
                  <pic:blipFill>
                    <a:blip r:embed="rId19"/>
                    <a:stretch>
                      <a:fillRect/>
                    </a:stretch>
                  </pic:blipFill>
                  <pic:spPr>
                    <a:xfrm>
                      <a:off x="0" y="0"/>
                      <a:ext cx="5669280" cy="2024743"/>
                    </a:xfrm>
                    <a:prstGeom prst="rect"/>
                  </pic:spPr>
                </pic:pic>
              </a:graphicData>
            </a:graphic>
          </wp:inline>
        </w:drawing>
      </w:r>
    </w:p>
    <w:p>
      <w:pPr>
        <w:spacing w:before="0" w:after="160"/>
        <w:jc w:val="center"/>
      </w:pPr>
      <w:r>
        <w:rPr>
          <w:rFonts w:ascii="Calibri" w:hAnsi="Calibri"/>
          <w:i/>
          <w:color w:val="64748B"/>
          <w:sz w:val="19"/>
        </w:rPr>
        <w:t>Figure 11: Proportional Share and Mean Fire Radiative Power (MW) Contrast Between Day and Night Hotspots</w:t>
      </w:r>
    </w:p>
    <w:p>
      <w:pPr>
        <w:pStyle w:val="Heading2"/>
        <w:keepNext/>
        <w:spacing w:before="280" w:after="80"/>
      </w:pPr>
      <w:r>
        <w:rPr>
          <w:rFonts w:ascii="Calibri" w:hAnsi="Calibri"/>
          <w:b/>
          <w:color w:val="1E293B"/>
          <w:sz w:val="26"/>
        </w:rPr>
        <w:t>6.5 Frequency versus Thermal Radiative Energy Discrepancy</w:t>
      </w:r>
    </w:p>
    <w:p>
      <w:pPr>
        <w:spacing w:before="0" w:after="120" w:line="276" w:lineRule="auto"/>
      </w:pPr>
      <w:r>
        <w:rPr>
          <w:rFonts w:ascii="Calibri" w:hAnsi="Calibri"/>
          <w:b/>
          <w:color w:val="0F172A"/>
          <w:sz w:val="21"/>
        </w:rPr>
        <w:t xml:space="preserve">Operational Risk Assessment: </w:t>
      </w:r>
      <w:r>
        <w:rPr>
          <w:rFonts w:ascii="Calibri" w:hAnsi="Calibri"/>
          <w:i w:val="0"/>
          <w:color w:val="334155"/>
          <w:sz w:val="21"/>
        </w:rPr>
        <w:t>A vital empirical conclusion is that raw hotspot frequency is an insufficient operational dispatch metric. Ranking days by detection count highlights January dates dominated by hundreds of thousands of low-energy agricultural stubble burns (~7.9 MW). In contrast, ranking days by cumulative thermal energy prioritizes October and June dates dominated by high-intensity forest crown fires (10.1 to 10.3 MW mean FRP). Operational dispatch frameworks must prioritize Total Fire Radiative Power (MW) over raw count to prevent misallocation of emergency aircraft.</w:t>
      </w:r>
    </w:p>
    <w:p>
      <w:pPr>
        <w:spacing w:before="160" w:after="60"/>
        <w:jc w:val="center"/>
      </w:pPr>
      <w:r>
        <w:drawing>
          <wp:inline xmlns:a="http://schemas.openxmlformats.org/drawingml/2006/main" xmlns:pic="http://schemas.openxmlformats.org/drawingml/2006/picture">
            <wp:extent cx="5669280" cy="2024743"/>
            <wp:docPr id="12" name="Picture 12"/>
            <wp:cNvGraphicFramePr>
              <a:graphicFrameLocks noChangeAspect="1"/>
            </wp:cNvGraphicFramePr>
            <a:graphic>
              <a:graphicData uri="http://schemas.openxmlformats.org/drawingml/2006/picture">
                <pic:pic>
                  <pic:nvPicPr>
                    <pic:cNvPr id="0" name="member2_top_dates_comparison.png"/>
                    <pic:cNvPicPr/>
                  </pic:nvPicPr>
                  <pic:blipFill>
                    <a:blip r:embed="rId20"/>
                    <a:stretch>
                      <a:fillRect/>
                    </a:stretch>
                  </pic:blipFill>
                  <pic:spPr>
                    <a:xfrm>
                      <a:off x="0" y="0"/>
                      <a:ext cx="5669280" cy="2024743"/>
                    </a:xfrm>
                    <a:prstGeom prst="rect"/>
                  </pic:spPr>
                </pic:pic>
              </a:graphicData>
            </a:graphic>
          </wp:inline>
        </w:drawing>
      </w:r>
    </w:p>
    <w:p>
      <w:pPr>
        <w:spacing w:before="0" w:after="160"/>
        <w:jc w:val="center"/>
      </w:pPr>
      <w:r>
        <w:rPr>
          <w:rFonts w:ascii="Calibri" w:hAnsi="Calibri"/>
          <w:i/>
          <w:color w:val="64748B"/>
          <w:sz w:val="19"/>
        </w:rPr>
        <w:t>Figure 12: Analytical Disparity Between Raw Hotspot Frequency and Cumulative Fire Radiative Power</w:t>
      </w:r>
    </w:p>
    <w:p>
      <w:pPr>
        <w:pStyle w:val="Heading1"/>
        <w:keepNext/>
        <w:spacing w:before="280" w:after="80"/>
      </w:pPr>
      <w:r>
        <w:rPr>
          <w:rFonts w:ascii="Calibri" w:hAnsi="Calibri"/>
          <w:b/>
          <w:color w:val="0B3D91"/>
          <w:sz w:val="34"/>
        </w:rPr>
        <w:t>7. Machine Learning Evaluation &amp; Concept Drift Analysis</w:t>
      </w:r>
    </w:p>
    <w:p>
      <w:pPr>
        <w:spacing w:before="0" w:after="120" w:line="276" w:lineRule="auto"/>
      </w:pPr>
      <w:r>
        <w:rPr>
          <w:rFonts w:ascii="Calibri" w:hAnsi="Calibri"/>
          <w:b/>
          <w:color w:val="0F172A"/>
          <w:sz w:val="21"/>
        </w:rPr>
        <w:t xml:space="preserve">Temporal Data Leakage Vulnerability: </w:t>
      </w:r>
      <w:r>
        <w:rPr>
          <w:rFonts w:ascii="Calibri" w:hAnsi="Calibri"/>
          <w:i w:val="0"/>
          <w:color w:val="334155"/>
          <w:sz w:val="21"/>
        </w:rPr>
        <w:t>Traditional machine-learning workflows randomly partition datasets into an 80% training and 20% test split. In environmental time-series, this creates severe Temporal Data Leakage: future atmospheric states, fuel conditions, and seasonal patterns leak into the training partition, generating artificially inflated evaluation metrics that deteriorate when deployed into production.</w:t>
      </w:r>
    </w:p>
    <w:p>
      <w:pPr>
        <w:spacing w:before="0" w:after="120" w:line="276" w:lineRule="auto"/>
      </w:pPr>
      <w:r>
        <w:rPr>
          <w:rFonts w:ascii="Calibri" w:hAnsi="Calibri"/>
          <w:b/>
          <w:color w:val="0F172A"/>
          <w:sz w:val="21"/>
        </w:rPr>
        <w:t xml:space="preserve">Chronological Holdout Methodology: </w:t>
      </w:r>
      <w:r>
        <w:rPr>
          <w:rFonts w:ascii="Calibri" w:hAnsi="Calibri"/>
          <w:i w:val="0"/>
          <w:color w:val="334155"/>
          <w:sz w:val="21"/>
        </w:rPr>
        <w:t>To ensure leakage-safe validation, a Forward-Chronological Holdout Split was implemented. The model was trained strictly on historical observations recorded up to October 15, 2025 (160,000 samples) and evaluated forward in time on subsequent future observations from October 16, 2025 through June 30, 2026 (40,000 samples). FRP was strictly excluded from feature inputs to prevent target leakage.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399"/>
        <w:gridCol w:w="1399"/>
        <w:gridCol w:w="1399"/>
        <w:gridCol w:w="1399"/>
        <w:gridCol w:w="1399"/>
        <w:gridCol w:w="1399"/>
        <w:gridCol w:w="1399"/>
      </w:tblGrid>
      <w:tr>
        <w:tc>
          <w:tcPr>
            <w:tcW w:type="dxa" w:w="2592"/>
            <w:shd w:fill="0B3D91"/>
            <w:tcMar>
              <w:top w:w="120" w:type="dxa"/>
              <w:bottom w:w="120" w:type="dxa"/>
              <w:left w:w="120" w:type="dxa"/>
              <w:right w:w="120" w:type="dxa"/>
            </w:tcMar>
          </w:tcPr>
          <w:p>
            <w:pPr>
              <w:spacing w:before="0" w:after="0"/>
              <w:jc w:val="left"/>
            </w:pPr>
            <w:r>
              <w:rPr>
                <w:rFonts w:ascii="Calibri" w:hAnsi="Calibri"/>
                <w:b/>
                <w:color w:val="FFFFFF"/>
                <w:sz w:val="19"/>
              </w:rPr>
              <w:t>Model Architecture</w:t>
            </w:r>
          </w:p>
        </w:tc>
        <w:tc>
          <w:tcPr>
            <w:tcW w:type="dxa" w:w="2016"/>
            <w:shd w:fill="0B3D91"/>
            <w:tcMar>
              <w:top w:w="120" w:type="dxa"/>
              <w:bottom w:w="120" w:type="dxa"/>
              <w:left w:w="120" w:type="dxa"/>
              <w:right w:w="120" w:type="dxa"/>
            </w:tcMar>
          </w:tcPr>
          <w:p>
            <w:pPr>
              <w:spacing w:before="0" w:after="0"/>
              <w:jc w:val="left"/>
            </w:pPr>
            <w:r>
              <w:rPr>
                <w:rFonts w:ascii="Calibri" w:hAnsi="Calibri"/>
                <w:b/>
                <w:color w:val="FFFFFF"/>
                <w:sz w:val="19"/>
              </w:rPr>
              <w:t>Target Variable</w:t>
            </w:r>
          </w:p>
        </w:tc>
        <w:tc>
          <w:tcPr>
            <w:tcW w:type="dxa" w:w="2304"/>
            <w:shd w:fill="0B3D91"/>
            <w:tcMar>
              <w:top w:w="120" w:type="dxa"/>
              <w:bottom w:w="120" w:type="dxa"/>
              <w:left w:w="120" w:type="dxa"/>
              <w:right w:w="120" w:type="dxa"/>
            </w:tcMar>
          </w:tcPr>
          <w:p>
            <w:pPr>
              <w:spacing w:before="0" w:after="0"/>
              <w:jc w:val="left"/>
            </w:pPr>
            <w:r>
              <w:rPr>
                <w:rFonts w:ascii="Calibri" w:hAnsi="Calibri"/>
                <w:b/>
                <w:color w:val="FFFFFF"/>
                <w:sz w:val="19"/>
              </w:rPr>
              <w:t>Evaluation Strategy</w:t>
            </w:r>
          </w:p>
        </w:tc>
        <w:tc>
          <w:tcPr>
            <w:tcW w:type="dxa" w:w="1008"/>
            <w:shd w:fill="0B3D91"/>
            <w:tcMar>
              <w:top w:w="120" w:type="dxa"/>
              <w:bottom w:w="120" w:type="dxa"/>
              <w:left w:w="120" w:type="dxa"/>
              <w:right w:w="120" w:type="dxa"/>
            </w:tcMar>
          </w:tcPr>
          <w:p>
            <w:pPr>
              <w:spacing w:before="0" w:after="0"/>
              <w:jc w:val="center"/>
            </w:pPr>
            <w:r>
              <w:rPr>
                <w:rFonts w:ascii="Calibri" w:hAnsi="Calibri"/>
                <w:b/>
                <w:color w:val="FFFFFF"/>
                <w:sz w:val="19"/>
              </w:rPr>
              <w:t>Accuracy</w:t>
            </w:r>
          </w:p>
        </w:tc>
        <w:tc>
          <w:tcPr>
            <w:tcW w:type="dxa" w:w="1008"/>
            <w:shd w:fill="0B3D91"/>
            <w:tcMar>
              <w:top w:w="120" w:type="dxa"/>
              <w:bottom w:w="120" w:type="dxa"/>
              <w:left w:w="120" w:type="dxa"/>
              <w:right w:w="120" w:type="dxa"/>
            </w:tcMar>
          </w:tcPr>
          <w:p>
            <w:pPr>
              <w:spacing w:before="0" w:after="0"/>
              <w:jc w:val="center"/>
            </w:pPr>
            <w:r>
              <w:rPr>
                <w:rFonts w:ascii="Calibri" w:hAnsi="Calibri"/>
                <w:b/>
                <w:color w:val="FFFFFF"/>
                <w:sz w:val="19"/>
              </w:rPr>
              <w:t>Weighted F1</w:t>
            </w:r>
          </w:p>
        </w:tc>
        <w:tc>
          <w:tcPr>
            <w:tcW w:type="dxa" w:w="1152"/>
            <w:shd w:fill="0B3D91"/>
            <w:tcMar>
              <w:top w:w="120" w:type="dxa"/>
              <w:bottom w:w="120" w:type="dxa"/>
              <w:left w:w="120" w:type="dxa"/>
              <w:right w:w="120" w:type="dxa"/>
            </w:tcMar>
          </w:tcPr>
          <w:p>
            <w:pPr>
              <w:spacing w:before="0" w:after="0"/>
              <w:jc w:val="center"/>
            </w:pPr>
            <w:r>
              <w:rPr>
                <w:rFonts w:ascii="Calibri" w:hAnsi="Calibri"/>
                <w:b/>
                <w:color w:val="FFFFFF"/>
                <w:sz w:val="19"/>
              </w:rPr>
              <w:t>ROC-AUC</w:t>
            </w:r>
          </w:p>
        </w:tc>
        <w:tc>
          <w:tcPr>
            <w:tcW w:type="dxa" w:w="1008"/>
            <w:shd w:fill="0B3D91"/>
            <w:tcMar>
              <w:top w:w="120" w:type="dxa"/>
              <w:bottom w:w="120" w:type="dxa"/>
              <w:left w:w="120" w:type="dxa"/>
              <w:right w:w="120" w:type="dxa"/>
            </w:tcMar>
          </w:tcPr>
          <w:p>
            <w:pPr>
              <w:spacing w:before="0" w:after="0"/>
              <w:jc w:val="left"/>
            </w:pPr>
            <w:r>
              <w:rPr>
                <w:rFonts w:ascii="Calibri" w:hAnsi="Calibri"/>
                <w:b/>
                <w:color w:val="FFFFFF"/>
                <w:sz w:val="19"/>
              </w:rPr>
              <w:t>Latency</w:t>
            </w:r>
          </w:p>
        </w:tc>
      </w:tr>
      <w:tr>
        <w:tc>
          <w:tcPr>
            <w:tcW w:type="dxa" w:w="2592"/>
            <w:shd w:fill="FFFFFF"/>
            <w:tcMar>
              <w:top w:w="85" w:type="dxa"/>
              <w:bottom w:w="85" w:type="dxa"/>
              <w:left w:w="120" w:type="dxa"/>
              <w:right w:w="120" w:type="dxa"/>
            </w:tcMar>
          </w:tcPr>
          <w:p>
            <w:pPr>
              <w:spacing w:before="0" w:after="0"/>
              <w:jc w:val="left"/>
            </w:pPr>
            <w:r>
              <w:rPr>
                <w:rFonts w:ascii="Calibri" w:hAnsi="Calibri"/>
                <w:b/>
                <w:color w:val="1E293B"/>
                <w:sz w:val="18"/>
              </w:rPr>
              <w:t>Random Forest Classifier</w:t>
            </w:r>
          </w:p>
        </w:tc>
        <w:tc>
          <w:tcPr>
            <w:tcW w:type="dxa" w:w="2016"/>
            <w:shd w:fill="FFFFFF"/>
            <w:tcMar>
              <w:top w:w="85" w:type="dxa"/>
              <w:bottom w:w="85" w:type="dxa"/>
              <w:left w:w="120" w:type="dxa"/>
              <w:right w:w="120" w:type="dxa"/>
            </w:tcMar>
          </w:tcPr>
          <w:p>
            <w:pPr>
              <w:spacing w:before="0" w:after="0"/>
              <w:jc w:val="left"/>
            </w:pPr>
            <w:r>
              <w:rPr>
                <w:rFonts w:ascii="Calibri" w:hAnsi="Calibri"/>
                <w:color w:val="1E293B"/>
                <w:sz w:val="18"/>
              </w:rPr>
              <w:t>Severity Tier (4-Class)</w:t>
            </w:r>
          </w:p>
        </w:tc>
        <w:tc>
          <w:tcPr>
            <w:tcW w:type="dxa" w:w="2304"/>
            <w:shd w:fill="FFFFFF"/>
            <w:tcMar>
              <w:top w:w="85" w:type="dxa"/>
              <w:bottom w:w="85" w:type="dxa"/>
              <w:left w:w="120" w:type="dxa"/>
              <w:right w:w="120" w:type="dxa"/>
            </w:tcMar>
          </w:tcPr>
          <w:p>
            <w:pPr>
              <w:spacing w:before="0" w:after="0"/>
              <w:jc w:val="left"/>
            </w:pPr>
            <w:r>
              <w:rPr>
                <w:rFonts w:ascii="Calibri" w:hAnsi="Calibri"/>
                <w:color w:val="1E293B"/>
                <w:sz w:val="18"/>
              </w:rPr>
              <w:t>Random Stratified Split (80/20)</w:t>
            </w:r>
          </w:p>
        </w:tc>
        <w:tc>
          <w:tcPr>
            <w:tcW w:type="dxa" w:w="1008"/>
            <w:shd w:fill="FFFFFF"/>
            <w:tcMar>
              <w:top w:w="85" w:type="dxa"/>
              <w:bottom w:w="85" w:type="dxa"/>
              <w:left w:w="120" w:type="dxa"/>
              <w:right w:w="120" w:type="dxa"/>
            </w:tcMar>
          </w:tcPr>
          <w:p>
            <w:pPr>
              <w:spacing w:before="0" w:after="0"/>
              <w:jc w:val="center"/>
            </w:pPr>
            <w:r>
              <w:rPr>
                <w:rFonts w:ascii="Calibri" w:hAnsi="Calibri"/>
                <w:color w:val="1E293B"/>
                <w:sz w:val="18"/>
              </w:rPr>
              <w:t>74.72%</w:t>
            </w:r>
          </w:p>
        </w:tc>
        <w:tc>
          <w:tcPr>
            <w:tcW w:type="dxa" w:w="1008"/>
            <w:shd w:fill="FFFFFF"/>
            <w:tcMar>
              <w:top w:w="85" w:type="dxa"/>
              <w:bottom w:w="85" w:type="dxa"/>
              <w:left w:w="120" w:type="dxa"/>
              <w:right w:w="120" w:type="dxa"/>
            </w:tcMar>
          </w:tcPr>
          <w:p>
            <w:pPr>
              <w:spacing w:before="0" w:after="0"/>
              <w:jc w:val="center"/>
            </w:pPr>
            <w:r>
              <w:rPr>
                <w:rFonts w:ascii="Calibri" w:hAnsi="Calibri"/>
                <w:color w:val="1E293B"/>
                <w:sz w:val="18"/>
              </w:rPr>
              <w:t>0.7309</w:t>
            </w:r>
          </w:p>
        </w:tc>
        <w:tc>
          <w:tcPr>
            <w:tcW w:type="dxa" w:w="1152"/>
            <w:shd w:fill="FFFFFF"/>
            <w:tcMar>
              <w:top w:w="85" w:type="dxa"/>
              <w:bottom w:w="85" w:type="dxa"/>
              <w:left w:w="120" w:type="dxa"/>
              <w:right w:w="120" w:type="dxa"/>
            </w:tcMar>
          </w:tcPr>
          <w:p>
            <w:pPr>
              <w:spacing w:before="0" w:after="0"/>
              <w:jc w:val="center"/>
            </w:pPr>
            <w:r>
              <w:rPr>
                <w:rFonts w:ascii="Calibri" w:hAnsi="Calibri"/>
                <w:color w:val="1E293B"/>
                <w:sz w:val="18"/>
              </w:rPr>
              <w:t>0.8742</w:t>
            </w:r>
          </w:p>
        </w:tc>
        <w:tc>
          <w:tcPr>
            <w:tcW w:type="dxa" w:w="1008"/>
            <w:shd w:fill="FFFFFF"/>
            <w:tcMar>
              <w:top w:w="85" w:type="dxa"/>
              <w:bottom w:w="85" w:type="dxa"/>
              <w:left w:w="120" w:type="dxa"/>
              <w:right w:w="120" w:type="dxa"/>
            </w:tcMar>
          </w:tcPr>
          <w:p>
            <w:pPr>
              <w:spacing w:before="0" w:after="0"/>
              <w:jc w:val="right"/>
            </w:pPr>
            <w:r>
              <w:rPr>
                <w:rFonts w:ascii="Calibri" w:hAnsi="Calibri"/>
                <w:color w:val="1E293B"/>
                <w:sz w:val="18"/>
              </w:rPr>
              <w:t>0.08 ms</w:t>
            </w:r>
          </w:p>
        </w:tc>
      </w:tr>
      <w:tr>
        <w:tc>
          <w:tcPr>
            <w:tcW w:type="dxa" w:w="2592"/>
            <w:shd w:fill="F8FAFC"/>
            <w:tcMar>
              <w:top w:w="85" w:type="dxa"/>
              <w:bottom w:w="85" w:type="dxa"/>
              <w:left w:w="120" w:type="dxa"/>
              <w:right w:w="120" w:type="dxa"/>
            </w:tcMar>
          </w:tcPr>
          <w:p>
            <w:pPr>
              <w:spacing w:before="0" w:after="0"/>
              <w:jc w:val="left"/>
            </w:pPr>
            <w:r>
              <w:rPr>
                <w:rFonts w:ascii="Calibri" w:hAnsi="Calibri"/>
                <w:b/>
                <w:color w:val="1E293B"/>
                <w:sz w:val="18"/>
              </w:rPr>
              <w:t>HistGradientBoosting</w:t>
            </w:r>
          </w:p>
        </w:tc>
        <w:tc>
          <w:tcPr>
            <w:tcW w:type="dxa" w:w="2016"/>
            <w:shd w:fill="F8FAFC"/>
            <w:tcMar>
              <w:top w:w="85" w:type="dxa"/>
              <w:bottom w:w="85" w:type="dxa"/>
              <w:left w:w="120" w:type="dxa"/>
              <w:right w:w="120" w:type="dxa"/>
            </w:tcMar>
          </w:tcPr>
          <w:p>
            <w:pPr>
              <w:spacing w:before="0" w:after="0"/>
              <w:jc w:val="left"/>
            </w:pPr>
            <w:r>
              <w:rPr>
                <w:rFonts w:ascii="Calibri" w:hAnsi="Calibri"/>
                <w:color w:val="1E293B"/>
                <w:sz w:val="18"/>
              </w:rPr>
              <w:t>Severity Tier (4-Class)</w:t>
            </w:r>
          </w:p>
        </w:tc>
        <w:tc>
          <w:tcPr>
            <w:tcW w:type="dxa" w:w="2304"/>
            <w:shd w:fill="F8FAFC"/>
            <w:tcMar>
              <w:top w:w="85" w:type="dxa"/>
              <w:bottom w:w="85" w:type="dxa"/>
              <w:left w:w="120" w:type="dxa"/>
              <w:right w:w="120" w:type="dxa"/>
            </w:tcMar>
          </w:tcPr>
          <w:p>
            <w:pPr>
              <w:spacing w:before="0" w:after="0"/>
              <w:jc w:val="left"/>
            </w:pPr>
            <w:r>
              <w:rPr>
                <w:rFonts w:ascii="Calibri" w:hAnsi="Calibri"/>
                <w:color w:val="1E293B"/>
                <w:sz w:val="18"/>
              </w:rPr>
              <w:t>Random Stratified Split (80/20)</w:t>
            </w:r>
          </w:p>
        </w:tc>
        <w:tc>
          <w:tcPr>
            <w:tcW w:type="dxa" w:w="1008"/>
            <w:shd w:fill="F8FAFC"/>
            <w:tcMar>
              <w:top w:w="85" w:type="dxa"/>
              <w:bottom w:w="85" w:type="dxa"/>
              <w:left w:w="120" w:type="dxa"/>
              <w:right w:w="120" w:type="dxa"/>
            </w:tcMar>
          </w:tcPr>
          <w:p>
            <w:pPr>
              <w:spacing w:before="0" w:after="0"/>
              <w:jc w:val="center"/>
            </w:pPr>
            <w:r>
              <w:rPr>
                <w:rFonts w:ascii="Calibri" w:hAnsi="Calibri"/>
                <w:color w:val="1E293B"/>
                <w:sz w:val="18"/>
              </w:rPr>
              <w:t>74.72%</w:t>
            </w:r>
          </w:p>
        </w:tc>
        <w:tc>
          <w:tcPr>
            <w:tcW w:type="dxa" w:w="1008"/>
            <w:shd w:fill="F8FAFC"/>
            <w:tcMar>
              <w:top w:w="85" w:type="dxa"/>
              <w:bottom w:w="85" w:type="dxa"/>
              <w:left w:w="120" w:type="dxa"/>
              <w:right w:w="120" w:type="dxa"/>
            </w:tcMar>
          </w:tcPr>
          <w:p>
            <w:pPr>
              <w:spacing w:before="0" w:after="0"/>
              <w:jc w:val="center"/>
            </w:pPr>
            <w:r>
              <w:rPr>
                <w:rFonts w:ascii="Calibri" w:hAnsi="Calibri"/>
                <w:color w:val="1E293B"/>
                <w:sz w:val="18"/>
              </w:rPr>
              <w:t>0.7297</w:t>
            </w:r>
          </w:p>
        </w:tc>
        <w:tc>
          <w:tcPr>
            <w:tcW w:type="dxa" w:w="1152"/>
            <w:shd w:fill="F8FAFC"/>
            <w:tcMar>
              <w:top w:w="85" w:type="dxa"/>
              <w:bottom w:w="85" w:type="dxa"/>
              <w:left w:w="120" w:type="dxa"/>
              <w:right w:w="120" w:type="dxa"/>
            </w:tcMar>
          </w:tcPr>
          <w:p>
            <w:pPr>
              <w:spacing w:before="0" w:after="0"/>
              <w:jc w:val="center"/>
            </w:pPr>
            <w:r>
              <w:rPr>
                <w:rFonts w:ascii="Calibri" w:hAnsi="Calibri"/>
                <w:color w:val="1E293B"/>
                <w:sz w:val="18"/>
              </w:rPr>
              <w:t>0.8748</w:t>
            </w:r>
          </w:p>
        </w:tc>
        <w:tc>
          <w:tcPr>
            <w:tcW w:type="dxa" w:w="1008"/>
            <w:shd w:fill="F8FAFC"/>
            <w:tcMar>
              <w:top w:w="85" w:type="dxa"/>
              <w:bottom w:w="85" w:type="dxa"/>
              <w:left w:w="120" w:type="dxa"/>
              <w:right w:w="120" w:type="dxa"/>
            </w:tcMar>
          </w:tcPr>
          <w:p>
            <w:pPr>
              <w:spacing w:before="0" w:after="0"/>
              <w:jc w:val="right"/>
            </w:pPr>
            <w:r>
              <w:rPr>
                <w:rFonts w:ascii="Calibri" w:hAnsi="Calibri"/>
                <w:color w:val="1E293B"/>
                <w:sz w:val="18"/>
              </w:rPr>
              <w:t>0.04 ms</w:t>
            </w:r>
          </w:p>
        </w:tc>
      </w:tr>
      <w:tr>
        <w:tc>
          <w:tcPr>
            <w:tcW w:type="dxa" w:w="2592"/>
            <w:shd w:fill="FFFFFF"/>
            <w:tcMar>
              <w:top w:w="85" w:type="dxa"/>
              <w:bottom w:w="85" w:type="dxa"/>
              <w:left w:w="120" w:type="dxa"/>
              <w:right w:w="120" w:type="dxa"/>
            </w:tcMar>
          </w:tcPr>
          <w:p>
            <w:pPr>
              <w:spacing w:before="0" w:after="0"/>
              <w:jc w:val="left"/>
            </w:pPr>
            <w:r>
              <w:rPr>
                <w:rFonts w:ascii="Calibri" w:hAnsi="Calibri"/>
                <w:b/>
                <w:color w:val="1E293B"/>
                <w:sz w:val="18"/>
              </w:rPr>
              <w:t>Random Forest (Temporal)</w:t>
            </w:r>
          </w:p>
        </w:tc>
        <w:tc>
          <w:tcPr>
            <w:tcW w:type="dxa" w:w="2016"/>
            <w:shd w:fill="FFFFFF"/>
            <w:tcMar>
              <w:top w:w="85" w:type="dxa"/>
              <w:bottom w:w="85" w:type="dxa"/>
              <w:left w:w="120" w:type="dxa"/>
              <w:right w:w="120" w:type="dxa"/>
            </w:tcMar>
          </w:tcPr>
          <w:p>
            <w:pPr>
              <w:spacing w:before="0" w:after="0"/>
              <w:jc w:val="left"/>
            </w:pPr>
            <w:r>
              <w:rPr>
                <w:rFonts w:ascii="Calibri" w:hAnsi="Calibri"/>
                <w:color w:val="1E293B"/>
                <w:sz w:val="18"/>
              </w:rPr>
              <w:t>Severity Tier (4-Class)</w:t>
            </w:r>
          </w:p>
        </w:tc>
        <w:tc>
          <w:tcPr>
            <w:tcW w:type="dxa" w:w="2304"/>
            <w:shd w:fill="FFFFFF"/>
            <w:tcMar>
              <w:top w:w="85" w:type="dxa"/>
              <w:bottom w:w="85" w:type="dxa"/>
              <w:left w:w="120" w:type="dxa"/>
              <w:right w:w="120" w:type="dxa"/>
            </w:tcMar>
          </w:tcPr>
          <w:p>
            <w:pPr>
              <w:spacing w:before="0" w:after="0"/>
              <w:jc w:val="left"/>
            </w:pPr>
            <w:r>
              <w:rPr>
                <w:rFonts w:ascii="Calibri" w:hAnsi="Calibri"/>
                <w:color w:val="1E293B"/>
                <w:sz w:val="18"/>
              </w:rPr>
              <w:t>Forward Chronological Split</w:t>
            </w:r>
          </w:p>
        </w:tc>
        <w:tc>
          <w:tcPr>
            <w:tcW w:type="dxa" w:w="1008"/>
            <w:shd w:fill="FFFFFF"/>
            <w:tcMar>
              <w:top w:w="85" w:type="dxa"/>
              <w:bottom w:w="85" w:type="dxa"/>
              <w:left w:w="120" w:type="dxa"/>
              <w:right w:w="120" w:type="dxa"/>
            </w:tcMar>
          </w:tcPr>
          <w:p>
            <w:pPr>
              <w:spacing w:before="0" w:after="0"/>
              <w:jc w:val="center"/>
            </w:pPr>
            <w:r>
              <w:rPr>
                <w:rFonts w:ascii="Calibri" w:hAnsi="Calibri"/>
                <w:color w:val="1E293B"/>
                <w:sz w:val="18"/>
              </w:rPr>
              <w:t>71.19%</w:t>
            </w:r>
          </w:p>
        </w:tc>
        <w:tc>
          <w:tcPr>
            <w:tcW w:type="dxa" w:w="1008"/>
            <w:shd w:fill="FFFFFF"/>
            <w:tcMar>
              <w:top w:w="85" w:type="dxa"/>
              <w:bottom w:w="85" w:type="dxa"/>
              <w:left w:w="120" w:type="dxa"/>
              <w:right w:w="120" w:type="dxa"/>
            </w:tcMar>
          </w:tcPr>
          <w:p>
            <w:pPr>
              <w:spacing w:before="0" w:after="0"/>
              <w:jc w:val="center"/>
            </w:pPr>
            <w:r>
              <w:rPr>
                <w:rFonts w:ascii="Calibri" w:hAnsi="Calibri"/>
                <w:color w:val="1E293B"/>
                <w:sz w:val="18"/>
              </w:rPr>
              <w:t>0.6868</w:t>
            </w:r>
          </w:p>
        </w:tc>
        <w:tc>
          <w:tcPr>
            <w:tcW w:type="dxa" w:w="1152"/>
            <w:shd w:fill="FFFFFF"/>
            <w:tcMar>
              <w:top w:w="85" w:type="dxa"/>
              <w:bottom w:w="85" w:type="dxa"/>
              <w:left w:w="120" w:type="dxa"/>
              <w:right w:w="120" w:type="dxa"/>
            </w:tcMar>
          </w:tcPr>
          <w:p>
            <w:pPr>
              <w:spacing w:before="0" w:after="0"/>
              <w:jc w:val="center"/>
            </w:pPr>
            <w:r>
              <w:rPr>
                <w:rFonts w:ascii="Calibri" w:hAnsi="Calibri"/>
                <w:color w:val="1E293B"/>
                <w:sz w:val="18"/>
              </w:rPr>
              <w:t>0.8415</w:t>
            </w:r>
          </w:p>
        </w:tc>
        <w:tc>
          <w:tcPr>
            <w:tcW w:type="dxa" w:w="1008"/>
            <w:shd w:fill="FFFFFF"/>
            <w:tcMar>
              <w:top w:w="85" w:type="dxa"/>
              <w:bottom w:w="85" w:type="dxa"/>
              <w:left w:w="120" w:type="dxa"/>
              <w:right w:w="120" w:type="dxa"/>
            </w:tcMar>
          </w:tcPr>
          <w:p>
            <w:pPr>
              <w:spacing w:before="0" w:after="0"/>
              <w:jc w:val="right"/>
            </w:pPr>
            <w:r>
              <w:rPr>
                <w:rFonts w:ascii="Calibri" w:hAnsi="Calibri"/>
                <w:color w:val="1E293B"/>
                <w:sz w:val="18"/>
              </w:rPr>
              <w:t>0.002 ms</w:t>
            </w:r>
          </w:p>
        </w:tc>
      </w:tr>
      <w:tr>
        <w:tc>
          <w:tcPr>
            <w:tcW w:type="dxa" w:w="2592"/>
            <w:shd w:fill="F8FAFC"/>
            <w:tcMar>
              <w:top w:w="85" w:type="dxa"/>
              <w:bottom w:w="85" w:type="dxa"/>
              <w:left w:w="120" w:type="dxa"/>
              <w:right w:w="120" w:type="dxa"/>
            </w:tcMar>
          </w:tcPr>
          <w:p>
            <w:pPr>
              <w:spacing w:before="0" w:after="0"/>
              <w:jc w:val="left"/>
            </w:pPr>
            <w:r>
              <w:rPr>
                <w:rFonts w:ascii="Calibri" w:hAnsi="Calibri"/>
                <w:b/>
                <w:color w:val="1E293B"/>
                <w:sz w:val="18"/>
              </w:rPr>
              <w:t>Random Forest Regressor</w:t>
            </w:r>
          </w:p>
        </w:tc>
        <w:tc>
          <w:tcPr>
            <w:tcW w:type="dxa" w:w="2016"/>
            <w:shd w:fill="F8FAFC"/>
            <w:tcMar>
              <w:top w:w="85" w:type="dxa"/>
              <w:bottom w:w="85" w:type="dxa"/>
              <w:left w:w="120" w:type="dxa"/>
              <w:right w:w="120" w:type="dxa"/>
            </w:tcMar>
          </w:tcPr>
          <w:p>
            <w:pPr>
              <w:spacing w:before="0" w:after="0"/>
              <w:jc w:val="left"/>
            </w:pPr>
            <w:r>
              <w:rPr>
                <w:rFonts w:ascii="Calibri" w:hAnsi="Calibri"/>
                <w:color w:val="1E293B"/>
                <w:sz w:val="18"/>
              </w:rPr>
              <w:t>Continuous FRP (MW)</w:t>
            </w:r>
          </w:p>
        </w:tc>
        <w:tc>
          <w:tcPr>
            <w:tcW w:type="dxa" w:w="2304"/>
            <w:shd w:fill="F8FAFC"/>
            <w:tcMar>
              <w:top w:w="85" w:type="dxa"/>
              <w:bottom w:w="85" w:type="dxa"/>
              <w:left w:w="120" w:type="dxa"/>
              <w:right w:w="120" w:type="dxa"/>
            </w:tcMar>
          </w:tcPr>
          <w:p>
            <w:pPr>
              <w:spacing w:before="0" w:after="0"/>
              <w:jc w:val="left"/>
            </w:pPr>
            <w:r>
              <w:rPr>
                <w:rFonts w:ascii="Calibri" w:hAnsi="Calibri"/>
                <w:color w:val="1E293B"/>
                <w:sz w:val="18"/>
              </w:rPr>
              <w:t>Continuous Energy Prediction</w:t>
            </w:r>
          </w:p>
        </w:tc>
        <w:tc>
          <w:tcPr>
            <w:tcW w:type="dxa" w:w="1008"/>
            <w:shd w:fill="F8FAFC"/>
            <w:tcMar>
              <w:top w:w="85" w:type="dxa"/>
              <w:bottom w:w="85" w:type="dxa"/>
              <w:left w:w="120" w:type="dxa"/>
              <w:right w:w="120" w:type="dxa"/>
            </w:tcMar>
          </w:tcPr>
          <w:p>
            <w:pPr>
              <w:spacing w:before="0" w:after="0"/>
              <w:jc w:val="center"/>
            </w:pPr>
            <w:r>
              <w:rPr>
                <w:rFonts w:ascii="Calibri" w:hAnsi="Calibri"/>
                <w:color w:val="1E293B"/>
                <w:sz w:val="18"/>
              </w:rPr>
              <w:t>—</w:t>
            </w:r>
          </w:p>
        </w:tc>
        <w:tc>
          <w:tcPr>
            <w:tcW w:type="dxa" w:w="1008"/>
            <w:shd w:fill="F8FAFC"/>
            <w:tcMar>
              <w:top w:w="85" w:type="dxa"/>
              <w:bottom w:w="85" w:type="dxa"/>
              <w:left w:w="120" w:type="dxa"/>
              <w:right w:w="120" w:type="dxa"/>
            </w:tcMar>
          </w:tcPr>
          <w:p>
            <w:pPr>
              <w:spacing w:before="0" w:after="0"/>
              <w:jc w:val="center"/>
            </w:pPr>
            <w:r>
              <w:rPr>
                <w:rFonts w:ascii="Calibri" w:hAnsi="Calibri"/>
                <w:color w:val="1E293B"/>
                <w:sz w:val="18"/>
              </w:rPr>
              <w:t>—</w:t>
            </w:r>
          </w:p>
        </w:tc>
        <w:tc>
          <w:tcPr>
            <w:tcW w:type="dxa" w:w="1152"/>
            <w:shd w:fill="F8FAFC"/>
            <w:tcMar>
              <w:top w:w="85" w:type="dxa"/>
              <w:bottom w:w="85" w:type="dxa"/>
              <w:left w:w="120" w:type="dxa"/>
              <w:right w:w="120" w:type="dxa"/>
            </w:tcMar>
          </w:tcPr>
          <w:p>
            <w:pPr>
              <w:spacing w:before="0" w:after="0"/>
              <w:jc w:val="center"/>
            </w:pPr>
            <w:r>
              <w:rPr>
                <w:rFonts w:ascii="Calibri" w:hAnsi="Calibri"/>
                <w:color w:val="1E293B"/>
                <w:sz w:val="18"/>
              </w:rPr>
              <w:t>R² = 0.4736</w:t>
            </w:r>
          </w:p>
        </w:tc>
        <w:tc>
          <w:tcPr>
            <w:tcW w:type="dxa" w:w="1008"/>
            <w:shd w:fill="F8FAFC"/>
            <w:tcMar>
              <w:top w:w="85" w:type="dxa"/>
              <w:bottom w:w="85" w:type="dxa"/>
              <w:left w:w="120" w:type="dxa"/>
              <w:right w:w="120" w:type="dxa"/>
            </w:tcMar>
          </w:tcPr>
          <w:p>
            <w:pPr>
              <w:spacing w:before="0" w:after="0"/>
              <w:jc w:val="right"/>
            </w:pPr>
            <w:r>
              <w:rPr>
                <w:rFonts w:ascii="Calibri" w:hAnsi="Calibri"/>
                <w:color w:val="1E293B"/>
                <w:sz w:val="18"/>
              </w:rPr>
              <w:t>RMSE: 13.45 MW</w:t>
            </w:r>
          </w:p>
        </w:tc>
      </w:tr>
    </w:tbl>
    <w:p>
      <w:pPr>
        <w:spacing w:after="120"/>
      </w:pPr>
    </w:p>
    <w:tbl>
      <w:tblPr>
        <w:tblW w:type="auto" w:w="0"/>
        <w:jc w:val="center"/>
        <w:tblLook w:firstColumn="1" w:firstRow="1" w:lastColumn="0" w:lastRow="0" w:noHBand="0" w:noVBand="1" w:val="04A0"/>
      </w:tblPr>
      <w:tblGrid>
        <w:gridCol w:w="9792"/>
      </w:tblGrid>
      <w:tr>
        <w:tc>
          <w:tcPr>
            <w:tcW w:type="dxa" w:w="9792"/>
            <w:shd w:fill="F1F5F9"/>
            <w:tcBorders>
              <w:top w:val="none"/>
              <w:left w:val="single" w:sz="36" w:space="0" w:color="0B3D91"/>
              <w:bottom w:val="none"/>
              <w:right w:val="none"/>
            </w:tcBorders>
            <w:tcMar>
              <w:top w:w="140" w:type="dxa"/>
              <w:bottom w:w="140" w:type="dxa"/>
              <w:left w:w="200" w:type="dxa"/>
              <w:right w:w="200" w:type="dxa"/>
            </w:tcMar>
          </w:tcPr>
          <w:p>
            <w:pPr>
              <w:spacing w:before="0" w:after="0" w:line="276" w:lineRule="auto"/>
            </w:pPr>
            <w:r>
              <w:rPr>
                <w:rFonts w:ascii="Calibri" w:hAnsi="Calibri"/>
                <w:b/>
                <w:color w:val="0B3D91"/>
                <w:sz w:val="21"/>
              </w:rPr>
              <w:t>EMPIRICAL VALIDATION OF SEASONAL CONCEPT DRIFT</w:t>
              <w:br/>
            </w:r>
            <w:r>
              <w:rPr>
                <w:rFonts w:ascii="Calibri" w:hAnsi="Calibri"/>
                <w:color w:val="1E293B"/>
                <w:sz w:val="20"/>
              </w:rPr>
              <w:t>Evaluating the model strictly on subsequent chronological dates produces a realistic 3.53% drop in classification accuracy (from 74.72% to 71.19%), while sustaining strong discriminative capability with a multiclass ROC-AUC of 0.8415. This drop demonstrates seasonal concept drift: decision boundaries shift as vegetation fuel moisture and weather patterns change across seasons. This provides empirical evidence that operational wildfire dispatch AI requires periodic seasonal recalibration.</w:t>
            </w:r>
          </w:p>
        </w:tc>
      </w:tr>
    </w:tbl>
    <w:p>
      <w:pPr>
        <w:spacing w:after="80"/>
      </w:pPr>
    </w:p>
    <w:p>
      <w:pPr>
        <w:spacing w:before="160" w:after="60"/>
        <w:jc w:val="center"/>
      </w:pPr>
      <w:r>
        <w:drawing>
          <wp:inline xmlns:a="http://schemas.openxmlformats.org/drawingml/2006/main" xmlns:pic="http://schemas.openxmlformats.org/drawingml/2006/picture">
            <wp:extent cx="5669280" cy="1344139"/>
            <wp:docPr id="13" name="Picture 13"/>
            <wp:cNvGraphicFramePr>
              <a:graphicFrameLocks noChangeAspect="1"/>
            </wp:cNvGraphicFramePr>
            <a:graphic>
              <a:graphicData uri="http://schemas.openxmlformats.org/drawingml/2006/picture">
                <pic:pic>
                  <pic:nvPicPr>
                    <pic:cNvPr id="0" name="fig13_ml_benchmark.png"/>
                    <pic:cNvPicPr/>
                  </pic:nvPicPr>
                  <pic:blipFill>
                    <a:blip r:embed="rId21"/>
                    <a:stretch>
                      <a:fillRect/>
                    </a:stretch>
                  </pic:blipFill>
                  <pic:spPr>
                    <a:xfrm>
                      <a:off x="0" y="0"/>
                      <a:ext cx="5669280" cy="1344139"/>
                    </a:xfrm>
                    <a:prstGeom prst="rect"/>
                  </pic:spPr>
                </pic:pic>
              </a:graphicData>
            </a:graphic>
          </wp:inline>
        </w:drawing>
      </w:r>
    </w:p>
    <w:p>
      <w:pPr>
        <w:spacing w:before="0" w:after="160"/>
        <w:jc w:val="center"/>
      </w:pPr>
      <w:r>
        <w:rPr>
          <w:rFonts w:ascii="Calibri" w:hAnsi="Calibri"/>
          <w:i/>
          <w:color w:val="64748B"/>
          <w:sz w:val="19"/>
        </w:rPr>
        <w:t>Figure 13: Machine Learning Model Performance Scorecard Across Random and Forward-Chronological Splits</w:t>
      </w:r>
    </w:p>
    <w:p>
      <w:pPr>
        <w:spacing w:before="160" w:after="60"/>
        <w:jc w:val="center"/>
      </w:pPr>
      <w:r>
        <w:drawing>
          <wp:inline xmlns:a="http://schemas.openxmlformats.org/drawingml/2006/main" xmlns:pic="http://schemas.openxmlformats.org/drawingml/2006/picture">
            <wp:extent cx="5669280" cy="1316030"/>
            <wp:docPr id="14" name="Picture 14"/>
            <wp:cNvGraphicFramePr>
              <a:graphicFrameLocks noChangeAspect="1"/>
            </wp:cNvGraphicFramePr>
            <a:graphic>
              <a:graphicData uri="http://schemas.openxmlformats.org/drawingml/2006/picture">
                <pic:pic>
                  <pic:nvPicPr>
                    <pic:cNvPr id="0" name="fig14_ml_holdout_log.png"/>
                    <pic:cNvPicPr/>
                  </pic:nvPicPr>
                  <pic:blipFill>
                    <a:blip r:embed="rId22"/>
                    <a:stretch>
                      <a:fillRect/>
                    </a:stretch>
                  </pic:blipFill>
                  <pic:spPr>
                    <a:xfrm>
                      <a:off x="0" y="0"/>
                      <a:ext cx="5669280" cy="1316030"/>
                    </a:xfrm>
                    <a:prstGeom prst="rect"/>
                  </pic:spPr>
                </pic:pic>
              </a:graphicData>
            </a:graphic>
          </wp:inline>
        </w:drawing>
      </w:r>
    </w:p>
    <w:p>
      <w:pPr>
        <w:spacing w:before="0" w:after="160"/>
        <w:jc w:val="center"/>
      </w:pPr>
      <w:r>
        <w:rPr>
          <w:rFonts w:ascii="Calibri" w:hAnsi="Calibri"/>
          <w:i/>
          <w:color w:val="64748B"/>
          <w:sz w:val="19"/>
        </w:rPr>
        <w:t>Figure 14: Empirical Output of the Forward-Chronological Holdout Validation Evaluating Concept Drift</w:t>
      </w:r>
    </w:p>
    <w:p>
      <w:pPr>
        <w:spacing w:before="160" w:after="60"/>
        <w:jc w:val="center"/>
      </w:pPr>
      <w:r>
        <w:drawing>
          <wp:inline xmlns:a="http://schemas.openxmlformats.org/drawingml/2006/main" xmlns:pic="http://schemas.openxmlformats.org/drawingml/2006/picture">
            <wp:extent cx="5669280" cy="4859383"/>
            <wp:docPr id="15" name="Picture 15"/>
            <wp:cNvGraphicFramePr>
              <a:graphicFrameLocks noChangeAspect="1"/>
            </wp:cNvGraphicFramePr>
            <a:graphic>
              <a:graphicData uri="http://schemas.openxmlformats.org/drawingml/2006/picture">
                <pic:pic>
                  <pic:nvPicPr>
                    <pic:cNvPr id="0" name="ml_confusion_matrix.png"/>
                    <pic:cNvPicPr/>
                  </pic:nvPicPr>
                  <pic:blipFill>
                    <a:blip r:embed="rId23"/>
                    <a:stretch>
                      <a:fillRect/>
                    </a:stretch>
                  </pic:blipFill>
                  <pic:spPr>
                    <a:xfrm>
                      <a:off x="0" y="0"/>
                      <a:ext cx="5669280" cy="4859383"/>
                    </a:xfrm>
                    <a:prstGeom prst="rect"/>
                  </pic:spPr>
                </pic:pic>
              </a:graphicData>
            </a:graphic>
          </wp:inline>
        </w:drawing>
      </w:r>
    </w:p>
    <w:p>
      <w:pPr>
        <w:spacing w:before="0" w:after="160"/>
        <w:jc w:val="center"/>
      </w:pPr>
      <w:r>
        <w:rPr>
          <w:rFonts w:ascii="Calibri" w:hAnsi="Calibri"/>
          <w:i/>
          <w:color w:val="64748B"/>
          <w:sz w:val="19"/>
        </w:rPr>
        <w:t>Figure 15: Confusion Matrix for the 4-Tier Fire Severity Classification Architecture</w:t>
      </w:r>
    </w:p>
    <w:p>
      <w:pPr>
        <w:spacing w:before="160" w:after="60"/>
        <w:jc w:val="center"/>
      </w:pPr>
      <w:r>
        <w:drawing>
          <wp:inline xmlns:a="http://schemas.openxmlformats.org/drawingml/2006/main" xmlns:pic="http://schemas.openxmlformats.org/drawingml/2006/picture">
            <wp:extent cx="5669280" cy="4251960"/>
            <wp:docPr id="16" name="Picture 16"/>
            <wp:cNvGraphicFramePr>
              <a:graphicFrameLocks noChangeAspect="1"/>
            </wp:cNvGraphicFramePr>
            <a:graphic>
              <a:graphicData uri="http://schemas.openxmlformats.org/drawingml/2006/picture">
                <pic:pic>
                  <pic:nvPicPr>
                    <pic:cNvPr id="0" name="ml_roc_curve.png"/>
                    <pic:cNvPicPr/>
                  </pic:nvPicPr>
                  <pic:blipFill>
                    <a:blip r:embed="rId24"/>
                    <a:stretch>
                      <a:fillRect/>
                    </a:stretch>
                  </pic:blipFill>
                  <pic:spPr>
                    <a:xfrm>
                      <a:off x="0" y="0"/>
                      <a:ext cx="5669280" cy="4251960"/>
                    </a:xfrm>
                    <a:prstGeom prst="rect"/>
                  </pic:spPr>
                </pic:pic>
              </a:graphicData>
            </a:graphic>
          </wp:inline>
        </w:drawing>
      </w:r>
    </w:p>
    <w:p>
      <w:pPr>
        <w:spacing w:before="0" w:after="160"/>
        <w:jc w:val="center"/>
      </w:pPr>
      <w:r>
        <w:rPr>
          <w:rFonts w:ascii="Calibri" w:hAnsi="Calibri"/>
          <w:i/>
          <w:color w:val="64748B"/>
          <w:sz w:val="19"/>
        </w:rPr>
        <w:t>Figure 16: Multiclass Receiver Operating Characteristic (ROC) Curves Across Fire Severity Tiers</w:t>
      </w:r>
    </w:p>
    <w:p>
      <w:pPr>
        <w:spacing w:before="160" w:after="60"/>
        <w:jc w:val="center"/>
      </w:pPr>
      <w:r>
        <w:drawing>
          <wp:inline xmlns:a="http://schemas.openxmlformats.org/drawingml/2006/main" xmlns:pic="http://schemas.openxmlformats.org/drawingml/2006/picture">
            <wp:extent cx="5669280" cy="1478685"/>
            <wp:docPr id="17" name="Picture 17"/>
            <wp:cNvGraphicFramePr>
              <a:graphicFrameLocks noChangeAspect="1"/>
            </wp:cNvGraphicFramePr>
            <a:graphic>
              <a:graphicData uri="http://schemas.openxmlformats.org/drawingml/2006/picture">
                <pic:pic>
                  <pic:nvPicPr>
                    <pic:cNvPr id="0" name="fig19_leakage_code.png"/>
                    <pic:cNvPicPr/>
                  </pic:nvPicPr>
                  <pic:blipFill>
                    <a:blip r:embed="rId25"/>
                    <a:stretch>
                      <a:fillRect/>
                    </a:stretch>
                  </pic:blipFill>
                  <pic:spPr>
                    <a:xfrm>
                      <a:off x="0" y="0"/>
                      <a:ext cx="5669280" cy="1478685"/>
                    </a:xfrm>
                    <a:prstGeom prst="rect"/>
                  </pic:spPr>
                </pic:pic>
              </a:graphicData>
            </a:graphic>
          </wp:inline>
        </w:drawing>
      </w:r>
    </w:p>
    <w:p>
      <w:pPr>
        <w:spacing w:before="0" w:after="160"/>
        <w:jc w:val="center"/>
      </w:pPr>
      <w:r>
        <w:rPr>
          <w:rFonts w:ascii="Calibri" w:hAnsi="Calibri"/>
          <w:i/>
          <w:color w:val="64748B"/>
          <w:sz w:val="19"/>
        </w:rPr>
        <w:t>Figure 18: Forward-Chronological Holdout Data Partitioning Implementation for Leakage Prevention</w:t>
      </w:r>
    </w:p>
    <w:p>
      <w:pPr>
        <w:pStyle w:val="Heading1"/>
        <w:keepNext/>
        <w:spacing w:before="280" w:after="80"/>
      </w:pPr>
      <w:r>
        <w:rPr>
          <w:rFonts w:ascii="Calibri" w:hAnsi="Calibri"/>
          <w:b/>
          <w:color w:val="0B3D91"/>
          <w:sz w:val="34"/>
        </w:rPr>
        <w:t>8. Operational Decision Framework (WARD) &amp; System Integration</w:t>
      </w:r>
    </w:p>
    <w:p>
      <w:pPr>
        <w:spacing w:before="0" w:after="120" w:line="276" w:lineRule="auto"/>
      </w:pPr>
      <w:r>
        <w:rPr>
          <w:rFonts w:ascii="Calibri" w:hAnsi="Calibri"/>
          <w:b/>
          <w:color w:val="0F172A"/>
          <w:sz w:val="21"/>
        </w:rPr>
        <w:t xml:space="preserve">Operational Architecture: </w:t>
      </w:r>
      <w:r>
        <w:rPr>
          <w:rFonts w:ascii="Calibri" w:hAnsi="Calibri"/>
          <w:i w:val="0"/>
          <w:color w:val="334155"/>
          <w:sz w:val="21"/>
        </w:rPr>
        <w:t>The data-processing, temporal modeling, and machine-learning components were integrated into an operational Wildfire Alert &amp; Rapid Dispatch (WARD) system: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2448"/>
        <w:gridCol w:w="2448"/>
        <w:gridCol w:w="2448"/>
        <w:gridCol w:w="2448"/>
      </w:tblGrid>
      <w:tr>
        <w:tc>
          <w:tcPr>
            <w:tcW w:type="dxa" w:w="2160"/>
            <w:shd w:fill="0B3D91"/>
            <w:tcMar>
              <w:top w:w="120" w:type="dxa"/>
              <w:bottom w:w="120" w:type="dxa"/>
              <w:left w:w="120" w:type="dxa"/>
              <w:right w:w="120" w:type="dxa"/>
            </w:tcMar>
          </w:tcPr>
          <w:p>
            <w:pPr>
              <w:spacing w:before="0" w:after="0"/>
              <w:jc w:val="left"/>
            </w:pPr>
            <w:r>
              <w:rPr>
                <w:rFonts w:ascii="Calibri" w:hAnsi="Calibri"/>
                <w:b/>
                <w:color w:val="FFFFFF"/>
                <w:sz w:val="19"/>
              </w:rPr>
              <w:t>Pipeline Component</w:t>
            </w:r>
          </w:p>
        </w:tc>
        <w:tc>
          <w:tcPr>
            <w:tcW w:type="dxa" w:w="2880"/>
            <w:shd w:fill="0B3D91"/>
            <w:tcMar>
              <w:top w:w="120" w:type="dxa"/>
              <w:bottom w:w="120" w:type="dxa"/>
              <w:left w:w="120" w:type="dxa"/>
              <w:right w:w="120" w:type="dxa"/>
            </w:tcMar>
          </w:tcPr>
          <w:p>
            <w:pPr>
              <w:spacing w:before="0" w:after="0"/>
              <w:jc w:val="left"/>
            </w:pPr>
            <w:r>
              <w:rPr>
                <w:rFonts w:ascii="Calibri" w:hAnsi="Calibri"/>
                <w:b/>
                <w:color w:val="FFFFFF"/>
                <w:sz w:val="19"/>
              </w:rPr>
              <w:t>Source Code File</w:t>
            </w:r>
          </w:p>
        </w:tc>
        <w:tc>
          <w:tcPr>
            <w:tcW w:type="dxa" w:w="2592"/>
            <w:shd w:fill="0B3D91"/>
            <w:tcMar>
              <w:top w:w="120" w:type="dxa"/>
              <w:bottom w:w="120" w:type="dxa"/>
              <w:left w:w="120" w:type="dxa"/>
              <w:right w:w="120" w:type="dxa"/>
            </w:tcMar>
          </w:tcPr>
          <w:p>
            <w:pPr>
              <w:spacing w:before="0" w:after="0"/>
              <w:jc w:val="left"/>
            </w:pPr>
            <w:r>
              <w:rPr>
                <w:rFonts w:ascii="Calibri" w:hAnsi="Calibri"/>
                <w:b/>
                <w:color w:val="FFFFFF"/>
                <w:sz w:val="19"/>
              </w:rPr>
              <w:t>Primary Libraries / Tools</w:t>
            </w:r>
          </w:p>
        </w:tc>
        <w:tc>
          <w:tcPr>
            <w:tcW w:type="dxa" w:w="2736"/>
            <w:shd w:fill="0B3D91"/>
            <w:tcMar>
              <w:top w:w="120" w:type="dxa"/>
              <w:bottom w:w="120" w:type="dxa"/>
              <w:left w:w="120" w:type="dxa"/>
              <w:right w:w="120" w:type="dxa"/>
            </w:tcMar>
          </w:tcPr>
          <w:p>
            <w:pPr>
              <w:spacing w:before="0" w:after="0"/>
              <w:jc w:val="left"/>
            </w:pPr>
            <w:r>
              <w:rPr>
                <w:rFonts w:ascii="Calibri" w:hAnsi="Calibri"/>
                <w:b/>
                <w:color w:val="FFFFFF"/>
                <w:sz w:val="19"/>
              </w:rPr>
              <w:t>Production Output / Artifact</w:t>
            </w:r>
          </w:p>
        </w:tc>
      </w:tr>
      <w:tr>
        <w:tc>
          <w:tcPr>
            <w:tcW w:type="dxa" w:w="2160"/>
            <w:shd w:fill="FFFFFF"/>
            <w:tcMar>
              <w:top w:w="85" w:type="dxa"/>
              <w:bottom w:w="85" w:type="dxa"/>
              <w:left w:w="120" w:type="dxa"/>
              <w:right w:w="120" w:type="dxa"/>
            </w:tcMar>
          </w:tcPr>
          <w:p>
            <w:pPr>
              <w:spacing w:before="0" w:after="0"/>
              <w:jc w:val="left"/>
            </w:pPr>
            <w:r>
              <w:rPr>
                <w:rFonts w:ascii="Calibri" w:hAnsi="Calibri"/>
                <w:b/>
                <w:color w:val="1E293B"/>
                <w:sz w:val="18"/>
              </w:rPr>
              <w:t>PySpark Distributed Engine</w:t>
            </w:r>
          </w:p>
        </w:tc>
        <w:tc>
          <w:tcPr>
            <w:tcW w:type="dxa" w:w="2880"/>
            <w:shd w:fill="FFFFFF"/>
            <w:tcMar>
              <w:top w:w="85" w:type="dxa"/>
              <w:bottom w:w="85" w:type="dxa"/>
              <w:left w:w="120" w:type="dxa"/>
              <w:right w:w="120" w:type="dxa"/>
            </w:tcMar>
          </w:tcPr>
          <w:p>
            <w:pPr>
              <w:spacing w:before="0" w:after="0"/>
              <w:jc w:val="left"/>
            </w:pPr>
            <w:r>
              <w:rPr>
                <w:rFonts w:ascii="Calibri" w:hAnsi="Calibri"/>
                <w:color w:val="1E293B"/>
                <w:sz w:val="18"/>
              </w:rPr>
              <w:t>member2_temporal_analysis.py</w:t>
            </w:r>
          </w:p>
        </w:tc>
        <w:tc>
          <w:tcPr>
            <w:tcW w:type="dxa" w:w="2592"/>
            <w:shd w:fill="FFFFFF"/>
            <w:tcMar>
              <w:top w:w="85" w:type="dxa"/>
              <w:bottom w:w="85" w:type="dxa"/>
              <w:left w:w="120" w:type="dxa"/>
              <w:right w:w="120" w:type="dxa"/>
            </w:tcMar>
          </w:tcPr>
          <w:p>
            <w:pPr>
              <w:spacing w:before="0" w:after="0"/>
              <w:jc w:val="left"/>
            </w:pPr>
            <w:r>
              <w:rPr>
                <w:rFonts w:ascii="Calibri" w:hAnsi="Calibri"/>
                <w:color w:val="1E293B"/>
                <w:sz w:val="18"/>
              </w:rPr>
              <w:t>Apache PySpark 4.2.0, Java 21, Spark SQL</w:t>
            </w:r>
          </w:p>
        </w:tc>
        <w:tc>
          <w:tcPr>
            <w:tcW w:type="dxa" w:w="2736"/>
            <w:shd w:fill="FFFFFF"/>
            <w:tcMar>
              <w:top w:w="85" w:type="dxa"/>
              <w:bottom w:w="85" w:type="dxa"/>
              <w:left w:w="120" w:type="dxa"/>
              <w:right w:w="120" w:type="dxa"/>
            </w:tcMar>
          </w:tcPr>
          <w:p>
            <w:pPr>
              <w:spacing w:before="0" w:after="0"/>
              <w:jc w:val="left"/>
            </w:pPr>
            <w:r>
              <w:rPr>
                <w:rFonts w:ascii="Calibri" w:hAnsi="Calibri"/>
                <w:color w:val="1E293B"/>
                <w:sz w:val="18"/>
              </w:rPr>
              <w:t>7 distributed queries, Daily &amp; Monthly aggregations</w:t>
            </w:r>
          </w:p>
        </w:tc>
      </w:tr>
      <w:tr>
        <w:tc>
          <w:tcPr>
            <w:tcW w:type="dxa" w:w="2160"/>
            <w:shd w:fill="F8FAFC"/>
            <w:tcMar>
              <w:top w:w="85" w:type="dxa"/>
              <w:bottom w:w="85" w:type="dxa"/>
              <w:left w:w="120" w:type="dxa"/>
              <w:right w:w="120" w:type="dxa"/>
            </w:tcMar>
          </w:tcPr>
          <w:p>
            <w:pPr>
              <w:spacing w:before="0" w:after="0"/>
              <w:jc w:val="left"/>
            </w:pPr>
            <w:r>
              <w:rPr>
                <w:rFonts w:ascii="Calibri" w:hAnsi="Calibri"/>
                <w:b/>
                <w:color w:val="1E293B"/>
                <w:sz w:val="18"/>
              </w:rPr>
              <w:t>Publication Charting Suite</w:t>
            </w:r>
          </w:p>
        </w:tc>
        <w:tc>
          <w:tcPr>
            <w:tcW w:type="dxa" w:w="2880"/>
            <w:shd w:fill="F8FAFC"/>
            <w:tcMar>
              <w:top w:w="85" w:type="dxa"/>
              <w:bottom w:w="85" w:type="dxa"/>
              <w:left w:w="120" w:type="dxa"/>
              <w:right w:w="120" w:type="dxa"/>
            </w:tcMar>
          </w:tcPr>
          <w:p>
            <w:pPr>
              <w:spacing w:before="0" w:after="0"/>
              <w:jc w:val="left"/>
            </w:pPr>
            <w:r>
              <w:rPr>
                <w:rFonts w:ascii="Calibri" w:hAnsi="Calibri"/>
                <w:color w:val="1E293B"/>
                <w:sz w:val="18"/>
              </w:rPr>
              <w:t>generate_member2_visualizations.py</w:t>
            </w:r>
          </w:p>
        </w:tc>
        <w:tc>
          <w:tcPr>
            <w:tcW w:type="dxa" w:w="2592"/>
            <w:shd w:fill="F8FAFC"/>
            <w:tcMar>
              <w:top w:w="85" w:type="dxa"/>
              <w:bottom w:w="85" w:type="dxa"/>
              <w:left w:w="120" w:type="dxa"/>
              <w:right w:w="120" w:type="dxa"/>
            </w:tcMar>
          </w:tcPr>
          <w:p>
            <w:pPr>
              <w:spacing w:before="0" w:after="0"/>
              <w:jc w:val="left"/>
            </w:pPr>
            <w:r>
              <w:rPr>
                <w:rFonts w:ascii="Calibri" w:hAnsi="Calibri"/>
                <w:color w:val="1E293B"/>
                <w:sz w:val="18"/>
              </w:rPr>
              <w:t>Matplotlib 3.11, Seaborn, Pandas</w:t>
            </w:r>
          </w:p>
        </w:tc>
        <w:tc>
          <w:tcPr>
            <w:tcW w:type="dxa" w:w="2736"/>
            <w:shd w:fill="F8FAFC"/>
            <w:tcMar>
              <w:top w:w="85" w:type="dxa"/>
              <w:bottom w:w="85" w:type="dxa"/>
              <w:left w:w="120" w:type="dxa"/>
              <w:right w:w="120" w:type="dxa"/>
            </w:tcMar>
          </w:tcPr>
          <w:p>
            <w:pPr>
              <w:spacing w:before="0" w:after="0"/>
              <w:jc w:val="left"/>
            </w:pPr>
            <w:r>
              <w:rPr>
                <w:rFonts w:ascii="Calibri" w:hAnsi="Calibri"/>
                <w:color w:val="1E293B"/>
                <w:sz w:val="18"/>
              </w:rPr>
              <w:t>High-resolution 300-DPI visual telemetry figures</w:t>
            </w:r>
          </w:p>
        </w:tc>
      </w:tr>
      <w:tr>
        <w:tc>
          <w:tcPr>
            <w:tcW w:type="dxa" w:w="2160"/>
            <w:shd w:fill="FFFFFF"/>
            <w:tcMar>
              <w:top w:w="85" w:type="dxa"/>
              <w:bottom w:w="85" w:type="dxa"/>
              <w:left w:w="120" w:type="dxa"/>
              <w:right w:w="120" w:type="dxa"/>
            </w:tcMar>
          </w:tcPr>
          <w:p>
            <w:pPr>
              <w:spacing w:before="0" w:after="0"/>
              <w:jc w:val="left"/>
            </w:pPr>
            <w:r>
              <w:rPr>
                <w:rFonts w:ascii="Calibri" w:hAnsi="Calibri"/>
                <w:b/>
                <w:color w:val="1E293B"/>
                <w:sz w:val="18"/>
              </w:rPr>
              <w:t>Automated Test Suite</w:t>
            </w:r>
          </w:p>
        </w:tc>
        <w:tc>
          <w:tcPr>
            <w:tcW w:type="dxa" w:w="2880"/>
            <w:shd w:fill="FFFFFF"/>
            <w:tcMar>
              <w:top w:w="85" w:type="dxa"/>
              <w:bottom w:w="85" w:type="dxa"/>
              <w:left w:w="120" w:type="dxa"/>
              <w:right w:w="120" w:type="dxa"/>
            </w:tcMar>
          </w:tcPr>
          <w:p>
            <w:pPr>
              <w:spacing w:before="0" w:after="0"/>
              <w:jc w:val="left"/>
            </w:pPr>
            <w:r>
              <w:rPr>
                <w:rFonts w:ascii="Calibri" w:hAnsi="Calibri"/>
                <w:color w:val="1E293B"/>
                <w:sz w:val="18"/>
              </w:rPr>
              <w:t>tests/test_temporal_analysis.py</w:t>
            </w:r>
          </w:p>
        </w:tc>
        <w:tc>
          <w:tcPr>
            <w:tcW w:type="dxa" w:w="2592"/>
            <w:shd w:fill="FFFFFF"/>
            <w:tcMar>
              <w:top w:w="85" w:type="dxa"/>
              <w:bottom w:w="85" w:type="dxa"/>
              <w:left w:w="120" w:type="dxa"/>
              <w:right w:w="120" w:type="dxa"/>
            </w:tcMar>
          </w:tcPr>
          <w:p>
            <w:pPr>
              <w:spacing w:before="0" w:after="0"/>
              <w:jc w:val="left"/>
            </w:pPr>
            <w:r>
              <w:rPr>
                <w:rFonts w:ascii="Calibri" w:hAnsi="Calibri"/>
                <w:color w:val="1E293B"/>
                <w:sz w:val="18"/>
              </w:rPr>
              <w:t>Python unittest module</w:t>
            </w:r>
          </w:p>
        </w:tc>
        <w:tc>
          <w:tcPr>
            <w:tcW w:type="dxa" w:w="2736"/>
            <w:shd w:fill="FFFFFF"/>
            <w:tcMar>
              <w:top w:w="85" w:type="dxa"/>
              <w:bottom w:w="85" w:type="dxa"/>
              <w:left w:w="120" w:type="dxa"/>
              <w:right w:w="120" w:type="dxa"/>
            </w:tcMar>
          </w:tcPr>
          <w:p>
            <w:pPr>
              <w:spacing w:before="0" w:after="0"/>
              <w:jc w:val="left"/>
            </w:pPr>
            <w:r>
              <w:rPr>
                <w:rFonts w:ascii="Calibri" w:hAnsi="Calibri"/>
                <w:color w:val="1E293B"/>
                <w:sz w:val="18"/>
              </w:rPr>
              <w:t>10/10 automated tests passing in 0.016 seconds</w:t>
            </w:r>
          </w:p>
        </w:tc>
      </w:tr>
      <w:tr>
        <w:tc>
          <w:tcPr>
            <w:tcW w:type="dxa" w:w="2160"/>
            <w:shd w:fill="F8FAFC"/>
            <w:tcMar>
              <w:top w:w="85" w:type="dxa"/>
              <w:bottom w:w="85" w:type="dxa"/>
              <w:left w:w="120" w:type="dxa"/>
              <w:right w:w="120" w:type="dxa"/>
            </w:tcMar>
          </w:tcPr>
          <w:p>
            <w:pPr>
              <w:spacing w:before="0" w:after="0"/>
              <w:jc w:val="left"/>
            </w:pPr>
            <w:r>
              <w:rPr>
                <w:rFonts w:ascii="Calibri" w:hAnsi="Calibri"/>
                <w:b/>
                <w:color w:val="1E293B"/>
                <w:sz w:val="18"/>
              </w:rPr>
              <w:t>Temporal ML Holdout Model</w:t>
            </w:r>
          </w:p>
        </w:tc>
        <w:tc>
          <w:tcPr>
            <w:tcW w:type="dxa" w:w="2880"/>
            <w:shd w:fill="F8FAFC"/>
            <w:tcMar>
              <w:top w:w="85" w:type="dxa"/>
              <w:bottom w:w="85" w:type="dxa"/>
              <w:left w:w="120" w:type="dxa"/>
              <w:right w:w="120" w:type="dxa"/>
            </w:tcMar>
          </w:tcPr>
          <w:p>
            <w:pPr>
              <w:spacing w:before="0" w:after="0"/>
              <w:jc w:val="left"/>
            </w:pPr>
            <w:r>
              <w:rPr>
                <w:rFonts w:ascii="Calibri" w:hAnsi="Calibri"/>
                <w:color w:val="1E293B"/>
                <w:sz w:val="18"/>
              </w:rPr>
              <w:t>ml_model/train_and_evaluate.py</w:t>
            </w:r>
          </w:p>
        </w:tc>
        <w:tc>
          <w:tcPr>
            <w:tcW w:type="dxa" w:w="2592"/>
            <w:shd w:fill="F8FAFC"/>
            <w:tcMar>
              <w:top w:w="85" w:type="dxa"/>
              <w:bottom w:w="85" w:type="dxa"/>
              <w:left w:w="120" w:type="dxa"/>
              <w:right w:w="120" w:type="dxa"/>
            </w:tcMar>
          </w:tcPr>
          <w:p>
            <w:pPr>
              <w:spacing w:before="0" w:after="0"/>
              <w:jc w:val="left"/>
            </w:pPr>
            <w:r>
              <w:rPr>
                <w:rFonts w:ascii="Calibri" w:hAnsi="Calibri"/>
                <w:color w:val="1E293B"/>
                <w:sz w:val="18"/>
              </w:rPr>
              <w:t>Scikit-Learn (RandomForest, HistGBDT)</w:t>
            </w:r>
          </w:p>
        </w:tc>
        <w:tc>
          <w:tcPr>
            <w:tcW w:type="dxa" w:w="2736"/>
            <w:shd w:fill="F8FAFC"/>
            <w:tcMar>
              <w:top w:w="85" w:type="dxa"/>
              <w:bottom w:w="85" w:type="dxa"/>
              <w:left w:w="120" w:type="dxa"/>
              <w:right w:w="120" w:type="dxa"/>
            </w:tcMar>
          </w:tcPr>
          <w:p>
            <w:pPr>
              <w:spacing w:before="0" w:after="0"/>
              <w:jc w:val="left"/>
            </w:pPr>
            <w:r>
              <w:rPr>
                <w:rFonts w:ascii="Calibri" w:hAnsi="Calibri"/>
                <w:color w:val="1E293B"/>
                <w:sz w:val="18"/>
              </w:rPr>
              <w:t>71.19% temporal holdout benchmark &amp; serialized models</w:t>
            </w:r>
          </w:p>
        </w:tc>
      </w:tr>
      <w:tr>
        <w:tc>
          <w:tcPr>
            <w:tcW w:type="dxa" w:w="2160"/>
            <w:shd w:fill="FFFFFF"/>
            <w:tcMar>
              <w:top w:w="85" w:type="dxa"/>
              <w:bottom w:w="85" w:type="dxa"/>
              <w:left w:w="120" w:type="dxa"/>
              <w:right w:w="120" w:type="dxa"/>
            </w:tcMar>
          </w:tcPr>
          <w:p>
            <w:pPr>
              <w:spacing w:before="0" w:after="0"/>
              <w:jc w:val="left"/>
            </w:pPr>
            <w:r>
              <w:rPr>
                <w:rFonts w:ascii="Calibri" w:hAnsi="Calibri"/>
                <w:b/>
                <w:color w:val="1E293B"/>
                <w:sz w:val="18"/>
              </w:rPr>
              <w:t>REST API Backend</w:t>
            </w:r>
          </w:p>
        </w:tc>
        <w:tc>
          <w:tcPr>
            <w:tcW w:type="dxa" w:w="2880"/>
            <w:shd w:fill="FFFFFF"/>
            <w:tcMar>
              <w:top w:w="85" w:type="dxa"/>
              <w:bottom w:w="85" w:type="dxa"/>
              <w:left w:w="120" w:type="dxa"/>
              <w:right w:w="120" w:type="dxa"/>
            </w:tcMar>
          </w:tcPr>
          <w:p>
            <w:pPr>
              <w:spacing w:before="0" w:after="0"/>
              <w:jc w:val="left"/>
            </w:pPr>
            <w:r>
              <w:rPr>
                <w:rFonts w:ascii="Calibri" w:hAnsi="Calibri"/>
                <w:color w:val="1E293B"/>
                <w:sz w:val="18"/>
              </w:rPr>
              <w:t>webapp/app.py</w:t>
            </w:r>
          </w:p>
        </w:tc>
        <w:tc>
          <w:tcPr>
            <w:tcW w:type="dxa" w:w="2592"/>
            <w:shd w:fill="FFFFFF"/>
            <w:tcMar>
              <w:top w:w="85" w:type="dxa"/>
              <w:bottom w:w="85" w:type="dxa"/>
              <w:left w:w="120" w:type="dxa"/>
              <w:right w:w="120" w:type="dxa"/>
            </w:tcMar>
          </w:tcPr>
          <w:p>
            <w:pPr>
              <w:spacing w:before="0" w:after="0"/>
              <w:jc w:val="left"/>
            </w:pPr>
            <w:r>
              <w:rPr>
                <w:rFonts w:ascii="Calibri" w:hAnsi="Calibri"/>
                <w:color w:val="1E293B"/>
                <w:sz w:val="18"/>
              </w:rPr>
              <w:t>Flask 3.1, Python 3.13</w:t>
            </w:r>
          </w:p>
        </w:tc>
        <w:tc>
          <w:tcPr>
            <w:tcW w:type="dxa" w:w="2736"/>
            <w:shd w:fill="FFFFFF"/>
            <w:tcMar>
              <w:top w:w="85" w:type="dxa"/>
              <w:bottom w:w="85" w:type="dxa"/>
              <w:left w:w="120" w:type="dxa"/>
              <w:right w:w="120" w:type="dxa"/>
            </w:tcMar>
          </w:tcPr>
          <w:p>
            <w:pPr>
              <w:spacing w:before="0" w:after="0"/>
              <w:jc w:val="left"/>
            </w:pPr>
            <w:r>
              <w:rPr>
                <w:rFonts w:ascii="Calibri" w:hAnsi="Calibri"/>
                <w:color w:val="1E293B"/>
                <w:sz w:val="18"/>
              </w:rPr>
              <w:t>Endpoints: /api/temporal, /api/charts/&lt;name&gt;</w:t>
            </w:r>
          </w:p>
        </w:tc>
      </w:tr>
      <w:tr>
        <w:tc>
          <w:tcPr>
            <w:tcW w:type="dxa" w:w="2160"/>
            <w:shd w:fill="F8FAFC"/>
            <w:tcMar>
              <w:top w:w="85" w:type="dxa"/>
              <w:bottom w:w="85" w:type="dxa"/>
              <w:left w:w="120" w:type="dxa"/>
              <w:right w:w="120" w:type="dxa"/>
            </w:tcMar>
          </w:tcPr>
          <w:p>
            <w:pPr>
              <w:spacing w:before="0" w:after="0"/>
              <w:jc w:val="left"/>
            </w:pPr>
            <w:r>
              <w:rPr>
                <w:rFonts w:ascii="Calibri" w:hAnsi="Calibri"/>
                <w:b/>
                <w:color w:val="1E293B"/>
                <w:sz w:val="18"/>
              </w:rPr>
              <w:t>Interactive UI &amp; Globe</w:t>
            </w:r>
          </w:p>
        </w:tc>
        <w:tc>
          <w:tcPr>
            <w:tcW w:type="dxa" w:w="2880"/>
            <w:shd w:fill="F8FAFC"/>
            <w:tcMar>
              <w:top w:w="85" w:type="dxa"/>
              <w:bottom w:w="85" w:type="dxa"/>
              <w:left w:w="120" w:type="dxa"/>
              <w:right w:w="120" w:type="dxa"/>
            </w:tcMar>
          </w:tcPr>
          <w:p>
            <w:pPr>
              <w:spacing w:before="0" w:after="0"/>
              <w:jc w:val="left"/>
            </w:pPr>
            <w:r>
              <w:rPr>
                <w:rFonts w:ascii="Calibri" w:hAnsi="Calibri"/>
                <w:color w:val="1E293B"/>
                <w:sz w:val="18"/>
              </w:rPr>
              <w:t>webapp/templates/index.html</w:t>
            </w:r>
          </w:p>
        </w:tc>
        <w:tc>
          <w:tcPr>
            <w:tcW w:type="dxa" w:w="2592"/>
            <w:shd w:fill="F8FAFC"/>
            <w:tcMar>
              <w:top w:w="85" w:type="dxa"/>
              <w:bottom w:w="85" w:type="dxa"/>
              <w:left w:w="120" w:type="dxa"/>
              <w:right w:w="120" w:type="dxa"/>
            </w:tcMar>
          </w:tcPr>
          <w:p>
            <w:pPr>
              <w:spacing w:before="0" w:after="0"/>
              <w:jc w:val="left"/>
            </w:pPr>
            <w:r>
              <w:rPr>
                <w:rFonts w:ascii="Calibri" w:hAnsi="Calibri"/>
                <w:color w:val="1E293B"/>
                <w:sz w:val="18"/>
              </w:rPr>
              <w:t>HTML5, CSS3, Chart.js, Leaflet.js</w:t>
            </w:r>
          </w:p>
        </w:tc>
        <w:tc>
          <w:tcPr>
            <w:tcW w:type="dxa" w:w="2736"/>
            <w:shd w:fill="F8FAFC"/>
            <w:tcMar>
              <w:top w:w="85" w:type="dxa"/>
              <w:bottom w:w="85" w:type="dxa"/>
              <w:left w:w="120" w:type="dxa"/>
              <w:right w:w="120" w:type="dxa"/>
            </w:tcMar>
          </w:tcPr>
          <w:p>
            <w:pPr>
              <w:spacing w:before="0" w:after="0"/>
              <w:jc w:val="left"/>
            </w:pPr>
            <w:r>
              <w:rPr>
                <w:rFonts w:ascii="Calibri" w:hAnsi="Calibri"/>
                <w:color w:val="1E293B"/>
                <w:sz w:val="18"/>
              </w:rPr>
              <w:t>Dynamic metric cards, satellite telemetry globe, modal lightbox</w:t>
            </w:r>
          </w:p>
        </w:tc>
      </w:tr>
      <w:tr>
        <w:tc>
          <w:tcPr>
            <w:tcW w:type="dxa" w:w="2160"/>
            <w:shd w:fill="FFFFFF"/>
            <w:tcMar>
              <w:top w:w="85" w:type="dxa"/>
              <w:bottom w:w="85" w:type="dxa"/>
              <w:left w:w="120" w:type="dxa"/>
              <w:right w:w="120" w:type="dxa"/>
            </w:tcMar>
          </w:tcPr>
          <w:p>
            <w:pPr>
              <w:spacing w:before="0" w:after="0"/>
              <w:jc w:val="left"/>
            </w:pPr>
            <w:r>
              <w:rPr>
                <w:rFonts w:ascii="Calibri" w:hAnsi="Calibri"/>
                <w:b/>
                <w:color w:val="1E293B"/>
                <w:sz w:val="18"/>
              </w:rPr>
              <w:t>NoSQL Document Store</w:t>
            </w:r>
          </w:p>
        </w:tc>
        <w:tc>
          <w:tcPr>
            <w:tcW w:type="dxa" w:w="2880"/>
            <w:shd w:fill="FFFFFF"/>
            <w:tcMar>
              <w:top w:w="85" w:type="dxa"/>
              <w:bottom w:w="85" w:type="dxa"/>
              <w:left w:w="120" w:type="dxa"/>
              <w:right w:w="120" w:type="dxa"/>
            </w:tcMar>
          </w:tcPr>
          <w:p>
            <w:pPr>
              <w:spacing w:before="0" w:after="0"/>
              <w:jc w:val="left"/>
            </w:pPr>
            <w:r>
              <w:rPr>
                <w:rFonts w:ascii="Calibri" w:hAnsi="Calibri"/>
                <w:color w:val="1E293B"/>
                <w:sz w:val="18"/>
              </w:rPr>
              <w:t>nosql/nosql_store.py</w:t>
            </w:r>
          </w:p>
        </w:tc>
        <w:tc>
          <w:tcPr>
            <w:tcW w:type="dxa" w:w="2592"/>
            <w:shd w:fill="FFFFFF"/>
            <w:tcMar>
              <w:top w:w="85" w:type="dxa"/>
              <w:bottom w:w="85" w:type="dxa"/>
              <w:left w:w="120" w:type="dxa"/>
              <w:right w:w="120" w:type="dxa"/>
            </w:tcMar>
          </w:tcPr>
          <w:p>
            <w:pPr>
              <w:spacing w:before="0" w:after="0"/>
              <w:jc w:val="left"/>
            </w:pPr>
            <w:r>
              <w:rPr>
                <w:rFonts w:ascii="Calibri" w:hAnsi="Calibri"/>
                <w:color w:val="1E293B"/>
                <w:sz w:val="18"/>
              </w:rPr>
              <w:t>SQLite Document Database</w:t>
            </w:r>
          </w:p>
        </w:tc>
        <w:tc>
          <w:tcPr>
            <w:tcW w:type="dxa" w:w="2736"/>
            <w:shd w:fill="FFFFFF"/>
            <w:tcMar>
              <w:top w:w="85" w:type="dxa"/>
              <w:bottom w:w="85" w:type="dxa"/>
              <w:left w:w="120" w:type="dxa"/>
              <w:right w:w="120" w:type="dxa"/>
            </w:tcMar>
          </w:tcPr>
          <w:p>
            <w:pPr>
              <w:spacing w:before="0" w:after="0"/>
              <w:jc w:val="left"/>
            </w:pPr>
            <w:r>
              <w:rPr>
                <w:rFonts w:ascii="Calibri" w:hAnsi="Calibri"/>
                <w:color w:val="1E293B"/>
                <w:sz w:val="18"/>
              </w:rPr>
              <w:t>Table: temporal_aggregates with daily and monthly records</w:t>
            </w:r>
          </w:p>
        </w:tc>
      </w:tr>
    </w:tbl>
    <w:p>
      <w:pPr>
        <w:spacing w:after="120"/>
      </w:pPr>
    </w:p>
    <w:p>
      <w:pPr>
        <w:spacing w:before="160" w:after="60"/>
        <w:jc w:val="center"/>
      </w:pPr>
      <w:r>
        <w:drawing>
          <wp:inline xmlns:a="http://schemas.openxmlformats.org/drawingml/2006/main" xmlns:pic="http://schemas.openxmlformats.org/drawingml/2006/picture">
            <wp:extent cx="5669280" cy="1375177"/>
            <wp:docPr id="18" name="Picture 18"/>
            <wp:cNvGraphicFramePr>
              <a:graphicFrameLocks noChangeAspect="1"/>
            </wp:cNvGraphicFramePr>
            <a:graphic>
              <a:graphicData uri="http://schemas.openxmlformats.org/drawingml/2006/picture">
                <pic:pic>
                  <pic:nvPicPr>
                    <pic:cNvPr id="0" name="fig17_code_architecture_table.png"/>
                    <pic:cNvPicPr/>
                  </pic:nvPicPr>
                  <pic:blipFill>
                    <a:blip r:embed="rId26"/>
                    <a:stretch>
                      <a:fillRect/>
                    </a:stretch>
                  </pic:blipFill>
                  <pic:spPr>
                    <a:xfrm>
                      <a:off x="0" y="0"/>
                      <a:ext cx="5669280" cy="1375177"/>
                    </a:xfrm>
                    <a:prstGeom prst="rect"/>
                  </pic:spPr>
                </pic:pic>
              </a:graphicData>
            </a:graphic>
          </wp:inline>
        </w:drawing>
      </w:r>
    </w:p>
    <w:p>
      <w:pPr>
        <w:spacing w:before="0" w:after="160"/>
        <w:jc w:val="center"/>
      </w:pPr>
      <w:r>
        <w:rPr>
          <w:rFonts w:ascii="Calibri" w:hAnsi="Calibri"/>
          <w:i/>
          <w:color w:val="64748B"/>
          <w:sz w:val="19"/>
        </w:rPr>
        <w:t>Figure 17: End-to-End System Integration Stack, Framework Libraries, and Component Mapping</w:t>
      </w:r>
    </w:p>
    <w:p>
      <w:pPr>
        <w:pStyle w:val="Heading1"/>
        <w:keepNext/>
        <w:spacing w:before="280" w:after="80"/>
      </w:pPr>
      <w:r>
        <w:rPr>
          <w:rFonts w:ascii="Calibri" w:hAnsi="Calibri"/>
          <w:b/>
          <w:color w:val="0B3D91"/>
          <w:sz w:val="34"/>
        </w:rPr>
        <w:t>9. Discussion &amp; Technical Limitations</w:t>
      </w:r>
    </w:p>
    <w:p>
      <w:pPr>
        <w:spacing w:before="0" w:after="120" w:line="276" w:lineRule="auto"/>
      </w:pPr>
      <w:r>
        <w:rPr>
          <w:rFonts w:ascii="Calibri" w:hAnsi="Calibri"/>
          <w:b/>
          <w:color w:val="0F172A"/>
          <w:sz w:val="21"/>
        </w:rPr>
        <w:t xml:space="preserve">Methodological Synthesis: </w:t>
      </w:r>
      <w:r>
        <w:rPr>
          <w:rFonts w:ascii="Calibri" w:hAnsi="Calibri"/>
          <w:i w:val="0"/>
          <w:color w:val="334155"/>
          <w:sz w:val="21"/>
        </w:rPr>
        <w:t>The analysis demonstrates that combining distributed PySpark processing with leakage-safe machine learning yields operational insight into global wildfire dynamics. However, three key physical and methodological limitations must be acknowledged:</w:t>
      </w:r>
    </w:p>
    <w:p>
      <w:pPr>
        <w:spacing w:before="0" w:after="120" w:line="276" w:lineRule="auto"/>
      </w:pPr>
      <w:r>
        <w:rPr>
          <w:rFonts w:ascii="Calibri" w:hAnsi="Calibri"/>
          <w:b/>
          <w:color w:val="0F172A"/>
          <w:sz w:val="21"/>
        </w:rPr>
        <w:t xml:space="preserve">1. Polar Orbital Sampling Frequency: </w:t>
      </w:r>
      <w:r>
        <w:rPr>
          <w:rFonts w:ascii="Calibri" w:hAnsi="Calibri"/>
          <w:i w:val="0"/>
          <w:color w:val="334155"/>
          <w:sz w:val="21"/>
        </w:rPr>
        <w:t>Because the Suomi-NPP VIIRS sensor relies on a sun-synchronous orbit, observation frequency is constrained to two daily overpasses per geographic location (~13:30 and ~01:30 local solar time). Rapidly spreading convective fires that ignite and dissipate between satellite orbits may remain undetected or have their peak intensity under-sampled. Integration of geostationary satellite telemetry (such as GOES-16/18 and Himawari-9) would complement polar coverage with high-cadence 10-minute observations.</w:t>
      </w:r>
    </w:p>
    <w:p>
      <w:pPr>
        <w:spacing w:before="0" w:after="120" w:line="276" w:lineRule="auto"/>
      </w:pPr>
      <w:r>
        <w:rPr>
          <w:rFonts w:ascii="Calibri" w:hAnsi="Calibri"/>
          <w:b/>
          <w:color w:val="0F172A"/>
          <w:sz w:val="21"/>
        </w:rPr>
        <w:t xml:space="preserve">2. Atmospheric &amp; Cloud Attenuation: </w:t>
      </w:r>
      <w:r>
        <w:rPr>
          <w:rFonts w:ascii="Calibri" w:hAnsi="Calibri"/>
          <w:i w:val="0"/>
          <w:color w:val="334155"/>
          <w:sz w:val="21"/>
        </w:rPr>
        <w:t>Thermal infrared channels (4 µm and 11 µm) cannot penetrate thick cloud cover or dense pyrocumulonimbus smoke plumes, leading to temporary undercounting during severe meteorological storms. Future system iterations should integrate synthetic aperture radar (SAR) feeds to penetrate cloud cover.</w:t>
      </w:r>
    </w:p>
    <w:p>
      <w:pPr>
        <w:spacing w:before="0" w:after="120" w:line="276" w:lineRule="auto"/>
      </w:pPr>
      <w:r>
        <w:rPr>
          <w:rFonts w:ascii="Calibri" w:hAnsi="Calibri"/>
          <w:b/>
          <w:color w:val="0F172A"/>
          <w:sz w:val="21"/>
        </w:rPr>
        <w:t xml:space="preserve">3. Seasonal Concept Drift &amp; Continuous Retraining: </w:t>
      </w:r>
      <w:r>
        <w:rPr>
          <w:rFonts w:ascii="Calibri" w:hAnsi="Calibri"/>
          <w:i w:val="0"/>
          <w:color w:val="334155"/>
          <w:sz w:val="21"/>
        </w:rPr>
        <w:t>The 3.53% accuracy drop observed during forward-chronological holdout validation demonstrates that models trained in one seasonal window experience performance drift when predicting across future seasons. Operational deployments must incorporate continuous, automated retraining pipelines as new seasonal telemetry arrives.</w:t>
      </w:r>
    </w:p>
    <w:p>
      <w:pPr>
        <w:pStyle w:val="Heading1"/>
        <w:keepNext/>
        <w:spacing w:before="280" w:after="80"/>
      </w:pPr>
      <w:r>
        <w:rPr>
          <w:rFonts w:ascii="Calibri" w:hAnsi="Calibri"/>
          <w:b/>
          <w:color w:val="0B3D91"/>
          <w:sz w:val="34"/>
        </w:rPr>
        <w:t>10. Conclusion</w:t>
      </w:r>
    </w:p>
    <w:p>
      <w:pPr>
        <w:spacing w:before="0" w:after="120" w:line="276" w:lineRule="auto"/>
      </w:pPr>
      <w:r>
        <w:rPr>
          <w:rFonts w:ascii="Calibri" w:hAnsi="Calibri"/>
          <w:b/>
          <w:color w:val="0F172A"/>
          <w:sz w:val="21"/>
        </w:rPr>
        <w:t xml:space="preserve">Summary of Findings: </w:t>
      </w:r>
      <w:r>
        <w:rPr>
          <w:rFonts w:ascii="Calibri" w:hAnsi="Calibri"/>
          <w:i w:val="0"/>
          <w:color w:val="334155"/>
          <w:sz w:val="21"/>
        </w:rPr>
        <w:t>This study successfully established a scalable Big Data telemetry processing and Machine Learning framework applied to 9,511,402 global NASA FIRMS active wildfire records. By leveraging Apache PySpark 4.2.0 on Java 21, the system executed complex distributed window aggregations and diurnal calculations in 31.75 seconds.</w:t>
      </w:r>
    </w:p>
    <w:p>
      <w:pPr>
        <w:spacing w:before="0" w:after="120" w:line="276" w:lineRule="auto"/>
      </w:pPr>
      <w:r>
        <w:rPr>
          <w:rFonts w:ascii="Calibri" w:hAnsi="Calibri"/>
          <w:b/>
          <w:color w:val="0F172A"/>
          <w:sz w:val="21"/>
        </w:rPr>
        <w:t xml:space="preserve">Operational Impact: </w:t>
      </w:r>
      <w:r>
        <w:rPr>
          <w:rFonts w:ascii="Calibri" w:hAnsi="Calibri"/>
          <w:i w:val="0"/>
          <w:color w:val="334155"/>
          <w:sz w:val="21"/>
        </w:rPr>
        <w:t>Empirical discoveries confirmed that global wildfire volume peaked in January 2026, while thermal destructiveness peaked in June 2026, establishing October 16, 2025 as the single worst disaster date. Furthermore, the analysis isolated the 11:00–12:00 UTC diurnal solar peak and derived an operational dispatch rule for intense nocturnal crown fires (FRP &gt;= 30 MW). Finally, forward-chronological machine-learning validation verified model robustness (71.19% accuracy, 0.8415 ROC-AUC) while quantifying seasonal concept drift. These deliverables provide emergency management agencies with a mathematically verified, operationally resilient intelligence platform for real-time wildfire triage.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