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Project Report: AI-Based Business Location Selector Using Machine Learning, Clustering, and Multi-Criteria Decision Analysis</w:t>
      </w:r>
    </w:p>
    <w:p>
      <w:pPr>
        <w:pStyle w:val="BodyText"/>
        <w:bidi w:val="0"/>
        <w:rPr/>
      </w:pPr>
      <w:r>
        <w:rPr>
          <w:b/>
        </w:rPr>
        <w:t>Academic Domain:</w:t>
      </w:r>
      <w:r>
        <w:rPr/>
        <w:t xml:space="preserve"> Machine Learning, Geospatial Data Science, Decision Support Systems</w:t>
        <w:br/>
      </w:r>
      <w:r>
        <w:rPr>
          <w:b/>
        </w:rPr>
        <w:t>Study Case:</w:t>
      </w:r>
      <w:r>
        <w:rPr/>
        <w:t xml:space="preserve"> Commercial Retail Site Selection in Bhopal Metropolitan Area</w:t>
        <w:br/>
      </w:r>
      <w:r>
        <w:rPr>
          <w:b/>
        </w:rPr>
        <w:t>Document Type:</w:t>
      </w:r>
      <w:r>
        <w:rPr/>
        <w:t xml:space="preserve"> Formal Project Report and Technical Documentation</w:t>
      </w:r>
    </w:p>
    <w:p>
      <w:pPr>
        <w:pStyle w:val="HorizontalLine"/>
        <w:bidi w:val="0"/>
        <w:rPr/>
      </w:pPr>
      <w:r>
        <w:rPr/>
      </w:r>
    </w:p>
    <w:p>
      <w:pPr>
        <w:pStyle w:val="Heading2"/>
        <w:bidi w:val="0"/>
        <w:ind w:hanging="0" w:start="0"/>
        <w:rPr/>
      </w:pPr>
      <w:r>
        <w:rPr/>
        <w:t>Executive Summary / Abstract</w:t>
      </w:r>
    </w:p>
    <w:p>
      <w:pPr>
        <w:pStyle w:val="BodyText"/>
        <w:bidi w:val="0"/>
        <w:rPr/>
      </w:pPr>
      <w:r>
        <w:rPr/>
        <w:t>Selecting an optimal commercial location is one of the most critical determinants of retail business survival. High population density does not guarantee sales conversions, low rent often correlates with commercial isolation, and competitor presence can indicate either healthy market validation or dangerous market saturation.</w:t>
      </w:r>
    </w:p>
    <w:p>
      <w:pPr>
        <w:pStyle w:val="BodyText"/>
        <w:bidi w:val="0"/>
        <w:rPr/>
      </w:pPr>
      <w:r>
        <w:rPr/>
        <w:t>This project presents an end-to-end, data-driven decision-support framework that combines:</w:t>
      </w:r>
    </w:p>
    <w:p>
      <w:pPr>
        <w:pStyle w:val="BodyText"/>
        <w:numPr>
          <w:ilvl w:val="0"/>
          <w:numId w:val="2"/>
        </w:numPr>
        <w:tabs>
          <w:tab w:val="clear" w:pos="709"/>
          <w:tab w:val="left" w:pos="709" w:leader="none"/>
        </w:tabs>
        <w:bidi w:val="0"/>
        <w:ind w:hanging="283" w:start="709"/>
        <w:rPr/>
      </w:pPr>
      <w:r>
        <w:rPr>
          <w:b/>
        </w:rPr>
        <w:t>Supervised Regression Modeling:</w:t>
      </w:r>
      <w:r>
        <w:rPr/>
        <w:t xml:space="preserve"> To estimate prospective daily customer transactions and sales revenue using demographic, spatial, and financial features.</w:t>
      </w:r>
    </w:p>
    <w:p>
      <w:pPr>
        <w:pStyle w:val="BodyText"/>
        <w:numPr>
          <w:ilvl w:val="0"/>
          <w:numId w:val="2"/>
        </w:numPr>
        <w:tabs>
          <w:tab w:val="clear" w:pos="709"/>
          <w:tab w:val="left" w:pos="709" w:leader="none"/>
        </w:tabs>
        <w:bidi w:val="0"/>
        <w:ind w:hanging="283" w:start="709"/>
        <w:rPr/>
      </w:pPr>
      <w:r>
        <w:rPr>
          <w:b/>
        </w:rPr>
        <w:t>Unsupervised K-Means Clustering:</w:t>
      </w:r>
      <w:r>
        <w:rPr/>
        <w:t xml:space="preserve"> To partition candidate locations into distinct functional urban archetypes (</w:t>
      </w:r>
      <w:r>
        <w:rPr>
          <w:i/>
        </w:rPr>
        <w:t>Prime Commercial Hub</w:t>
      </w:r>
      <w:r>
        <w:rPr/>
        <w:t xml:space="preserve">, </w:t>
      </w:r>
      <w:r>
        <w:rPr>
          <w:i/>
        </w:rPr>
        <w:t>Affordable / Emerging Market</w:t>
      </w:r>
      <w:r>
        <w:rPr/>
        <w:t xml:space="preserve">, </w:t>
      </w:r>
      <w:r>
        <w:rPr>
          <w:i/>
        </w:rPr>
        <w:t>High-Competition Retail Core</w:t>
      </w:r>
      <w:r>
        <w:rPr/>
        <w:t xml:space="preserve">, and </w:t>
      </w:r>
      <w:r>
        <w:rPr>
          <w:i/>
        </w:rPr>
        <w:t>Balanced Residential Catchment</w:t>
      </w:r>
      <w:r>
        <w:rPr/>
        <w:t>) evaluated via the Elbow Method and Silhouette Analysis.</w:t>
      </w:r>
    </w:p>
    <w:p>
      <w:pPr>
        <w:pStyle w:val="BodyText"/>
        <w:numPr>
          <w:ilvl w:val="0"/>
          <w:numId w:val="2"/>
        </w:numPr>
        <w:tabs>
          <w:tab w:val="clear" w:pos="709"/>
          <w:tab w:val="left" w:pos="709" w:leader="none"/>
        </w:tabs>
        <w:bidi w:val="0"/>
        <w:ind w:hanging="283" w:start="709"/>
        <w:rPr/>
      </w:pPr>
      <w:r>
        <w:rPr>
          <w:b/>
        </w:rPr>
        <w:t>Multi-Criteria Decision Analysis (MCDA):</w:t>
      </w:r>
      <w:r>
        <w:rPr/>
        <w:t xml:space="preserve"> A transparent, stakeholder-weighted suitability scoring engine: $$S = w_D D + w_A A + w_F F + w_P P + w_C C + w_R R$$ balancing demand potential against rental affordability, pedestrian footfall, transit access, and competitive opportunity.</w:t>
      </w:r>
    </w:p>
    <w:p>
      <w:pPr>
        <w:pStyle w:val="BodyText"/>
        <w:numPr>
          <w:ilvl w:val="0"/>
          <w:numId w:val="2"/>
        </w:numPr>
        <w:tabs>
          <w:tab w:val="clear" w:pos="709"/>
          <w:tab w:val="left" w:pos="709" w:leader="none"/>
        </w:tabs>
        <w:bidi w:val="0"/>
        <w:ind w:hanging="283" w:start="709"/>
        <w:rPr/>
      </w:pPr>
      <w:r>
        <w:rPr>
          <w:b/>
        </w:rPr>
        <w:t>Interactive Geospatial Dashboard:</w:t>
      </w:r>
      <w:r>
        <w:rPr/>
        <w:t xml:space="preserve"> Implemented in Streamlit with Folium map rendering, Plotly trade-off radar charts, and CSV report export capabilities.</w:t>
      </w:r>
    </w:p>
    <w:p>
      <w:pPr>
        <w:pStyle w:val="BodyText"/>
        <w:bidi w:val="0"/>
        <w:rPr/>
      </w:pPr>
      <w:r>
        <w:rPr/>
        <w:t>Experimental evaluations over a documented 1,200-sample dataset show that non-linear ensemble regressors (Random Forest, $R^2 \approx 0.74$, $\text{CV } R^2 \approx 0.75$) effectively capture non-linear market synergies, while K-Means clustering ($k=4$, Silhouette Score $\approx 0.204$) creates clear market segmentations to guide entrepreneurial capital allocation.</w:t>
      </w:r>
    </w:p>
    <w:p>
      <w:pPr>
        <w:pStyle w:val="HorizontalLine"/>
        <w:bidi w:val="0"/>
        <w:rPr/>
      </w:pPr>
      <w:r>
        <w:rPr/>
      </w:r>
    </w:p>
    <w:p>
      <w:pPr>
        <w:pStyle w:val="Heading2"/>
        <w:bidi w:val="0"/>
        <w:ind w:hanging="0" w:start="0"/>
        <w:rPr/>
      </w:pPr>
      <w:r>
        <w:rPr/>
        <w:t>1. Problem Statement &amp; Motivation</w:t>
      </w:r>
    </w:p>
    <w:p>
      <w:pPr>
        <w:pStyle w:val="BodyText"/>
        <w:bidi w:val="0"/>
        <w:rPr/>
      </w:pPr>
      <w:r>
        <w:rPr/>
        <w:t>Entrepreneurial ventures face alarming failure rates within their first two years, frequently attributed to poor geographical placement. The challenges inherent in traditional location selection include:</w:t>
      </w:r>
    </w:p>
    <w:p>
      <w:pPr>
        <w:pStyle w:val="BodyText"/>
        <w:numPr>
          <w:ilvl w:val="0"/>
          <w:numId w:val="3"/>
        </w:numPr>
        <w:tabs>
          <w:tab w:val="clear" w:pos="709"/>
          <w:tab w:val="left" w:pos="709" w:leader="none"/>
        </w:tabs>
        <w:bidi w:val="0"/>
        <w:ind w:hanging="283" w:start="709"/>
        <w:rPr/>
      </w:pPr>
      <w:r>
        <w:rPr>
          <w:b/>
        </w:rPr>
        <w:t>Heuristic-Driven Intuition:</w:t>
      </w:r>
      <w:r>
        <w:rPr/>
        <w:t xml:space="preserve"> Decisions often rely on subjective impressions or casual pedestrian observations without quantitative modeling.</w:t>
      </w:r>
    </w:p>
    <w:p>
      <w:pPr>
        <w:pStyle w:val="BodyText"/>
        <w:numPr>
          <w:ilvl w:val="0"/>
          <w:numId w:val="3"/>
        </w:numPr>
        <w:tabs>
          <w:tab w:val="clear" w:pos="709"/>
          <w:tab w:val="left" w:pos="709" w:leader="none"/>
        </w:tabs>
        <w:bidi w:val="0"/>
        <w:ind w:hanging="283" w:start="709"/>
        <w:rPr/>
      </w:pPr>
      <w:r>
        <w:rPr>
          <w:b/>
        </w:rPr>
        <w:t>Dimensional Disconnect:</w:t>
      </w:r>
      <w:r>
        <w:rPr/>
        <w:t xml:space="preserve"> Evaluating rent in isolation from customer purchasing power or footfall conversion rates leads to suboptimal trade-offs.</w:t>
      </w:r>
    </w:p>
    <w:p>
      <w:pPr>
        <w:pStyle w:val="BodyText"/>
        <w:numPr>
          <w:ilvl w:val="0"/>
          <w:numId w:val="3"/>
        </w:numPr>
        <w:tabs>
          <w:tab w:val="clear" w:pos="709"/>
          <w:tab w:val="left" w:pos="709" w:leader="none"/>
        </w:tabs>
        <w:bidi w:val="0"/>
        <w:ind w:hanging="283" w:start="709"/>
        <w:rPr/>
      </w:pPr>
      <w:r>
        <w:rPr>
          <w:b/>
        </w:rPr>
        <w:t>Inability to Model Non-Linear Competition:</w:t>
      </w:r>
      <w:r>
        <w:rPr/>
        <w:t xml:space="preserve"> A total absence of competitors may signify zero existing market demand, whereas excessive density induces price erosion.</w:t>
      </w:r>
    </w:p>
    <w:p>
      <w:pPr>
        <w:pStyle w:val="BodyText"/>
        <w:bidi w:val="0"/>
        <w:rPr/>
      </w:pPr>
      <w:r>
        <w:rPr/>
        <w:t>This system provides an interpretable, transparent, and reproducible decision platform that empowers business owners to evaluate hundreds of candidate properties systematically.</w:t>
      </w:r>
    </w:p>
    <w:p>
      <w:pPr>
        <w:pStyle w:val="HorizontalLine"/>
        <w:bidi w:val="0"/>
        <w:rPr/>
      </w:pPr>
      <w:r>
        <w:rPr/>
      </w:r>
    </w:p>
    <w:p>
      <w:pPr>
        <w:pStyle w:val="Heading2"/>
        <w:bidi w:val="0"/>
        <w:ind w:hanging="0" w:start="0"/>
        <w:rPr/>
      </w:pPr>
      <w:r>
        <w:rPr/>
        <w:t>2. Literature Review &amp; Existing Approaches</w:t>
      </w:r>
    </w:p>
    <w:p>
      <w:pPr>
        <w:pStyle w:val="Heading3"/>
        <w:bidi w:val="0"/>
        <w:ind w:hanging="0" w:start="0"/>
        <w:rPr/>
      </w:pPr>
      <w:r>
        <w:rPr/>
        <w:t>2.1 Retail Gravitational Models</w:t>
      </w:r>
    </w:p>
    <w:p>
      <w:pPr>
        <w:pStyle w:val="BodyText"/>
        <w:bidi w:val="0"/>
        <w:rPr/>
      </w:pPr>
      <w:r>
        <w:rPr/>
        <w:t xml:space="preserve">Historically, retail site selection originated from </w:t>
      </w:r>
      <w:r>
        <w:rPr>
          <w:b/>
        </w:rPr>
        <w:t>Reilly’s Law of Retail Gravitation (1931)</w:t>
      </w:r>
      <w:r>
        <w:rPr/>
        <w:t xml:space="preserve"> and </w:t>
      </w:r>
      <w:r>
        <w:rPr>
          <w:b/>
        </w:rPr>
        <w:t>Huff’s Gravity Model (1964)</w:t>
      </w:r>
      <w:r>
        <w:rPr/>
        <w:t>, which posited that customer shopping attraction is directly proportional to retail floor area and inversely proportional to travel distance or travel time. While foundational, gravity models assume uniform consumer behavior and struggle with modern multi-modal transport and diversified retail formats.</w:t>
      </w:r>
    </w:p>
    <w:p>
      <w:pPr>
        <w:pStyle w:val="Heading3"/>
        <w:bidi w:val="0"/>
        <w:ind w:hanging="0" w:start="0"/>
        <w:rPr/>
      </w:pPr>
      <w:r>
        <w:rPr/>
        <w:t>2.2 Machine Learning &amp; Spatial Data Science</w:t>
      </w:r>
    </w:p>
    <w:p>
      <w:pPr>
        <w:pStyle w:val="BodyText"/>
        <w:bidi w:val="0"/>
        <w:rPr/>
      </w:pPr>
      <w:r>
        <w:rPr/>
        <w:t>Recent literature has transitioned toward predictive modeling using tree-based ensembles (Random Forest, Gradient Boosting) and neural architectures. Studies demonstrate that incorporating point-of-interest (POI) spatial density and accessibility metrics significantly reduces retail sales forecasting error compared to classical ordinary least squares (OLS) regressions.</w:t>
      </w:r>
    </w:p>
    <w:p>
      <w:pPr>
        <w:pStyle w:val="Heading3"/>
        <w:bidi w:val="0"/>
        <w:ind w:hanging="0" w:start="0"/>
        <w:rPr/>
      </w:pPr>
      <w:r>
        <w:rPr/>
        <w:t>2.3 Multi-Criteria Decision Analysis (MCDA)</w:t>
      </w:r>
    </w:p>
    <w:p>
      <w:pPr>
        <w:pStyle w:val="BodyText"/>
        <w:bidi w:val="0"/>
        <w:rPr/>
      </w:pPr>
      <w:r>
        <w:rPr/>
        <w:t>Because predictive revenue alone does not capture business budget limits or managerial risk preferences, MCDA methodologies (such as AHP or Weighted Linear Combination) provide the necessary decision framework to balance conflicting objectives.</w:t>
      </w:r>
    </w:p>
    <w:p>
      <w:pPr>
        <w:pStyle w:val="HorizontalLine"/>
        <w:bidi w:val="0"/>
        <w:rPr/>
      </w:pPr>
      <w:r>
        <w:rPr/>
      </w:r>
    </w:p>
    <w:p>
      <w:pPr>
        <w:pStyle w:val="Heading2"/>
        <w:bidi w:val="0"/>
        <w:ind w:hanging="0" w:start="0"/>
        <w:rPr/>
      </w:pPr>
      <w:r>
        <w:rPr/>
        <w:t>3. System Architecture and Methodology</w:t>
      </w:r>
    </w:p>
    <w:p>
      <w:pPr>
        <w:pStyle w:val="BodyText"/>
        <w:bidi w:val="0"/>
        <w:rPr/>
      </w:pPr>
      <w:r>
        <w:rPr/>
        <w:t>The system is structured as an end-to-end pipeline:</w:t>
      </w:r>
    </w:p>
    <w:p>
      <w:pPr>
        <w:pStyle w:val="PreformattedText"/>
        <w:shd w:fill="E1E1E1" w:val="clear"/>
        <w:bidi w:val="0"/>
        <w:spacing w:before="0" w:after="283"/>
        <w:rPr/>
      </w:pPr>
      <w:r>
        <w:rPr/>
        <w:t xml:space="preserve">[Candidate Location Records] </w:t>
        <w:br/>
        <w:t xml:space="preserve">         │</w:t>
        <w:br/>
        <w:t xml:space="preserve">         ▼</w:t>
        <w:br/>
        <w:t>[Preprocessing &amp; Feature Engineering]</w:t>
        <w:br/>
        <w:t xml:space="preserve">   ├── Coordinate Jitter &amp; Spatial Normalization</w:t>
        <w:br/>
        <w:t xml:space="preserve">   ├── Interaction Ratios (Rent-to-Footfall, Competitor Density)</w:t>
        <w:br/>
        <w:t xml:space="preserve">   └── Categorical &amp; Ordinal Encoders</w:t>
        <w:br/>
        <w:t xml:space="preserve">         │</w:t>
        <w:br/>
        <w:t xml:space="preserve">    ┌────┴───────────────────────────┐</w:t>
        <w:br/>
        <w:t xml:space="preserve">    ▼                                ▼</w:t>
        <w:br/>
        <w:t>[Supervised Regression]     [Unsupervised Clustering]</w:t>
        <w:br/>
        <w:t xml:space="preserve">   Linear Baseline              StandardScaler</w:t>
        <w:br/>
        <w:t xml:space="preserve">   Decision Tree                Elbow Method &amp; Silhouette</w:t>
        <w:br/>
        <w:t xml:space="preserve">   Random Forest Regressor      K-Means (k=4 Archetypes)</w:t>
        <w:br/>
        <w:t xml:space="preserve">    │                                │</w:t>
        <w:br/>
        <w:t xml:space="preserve">    └──────────────┬─────────────────┘</w:t>
        <w:br/>
        <w:t xml:space="preserve">                   ▼</w:t>
        <w:br/>
        <w:t xml:space="preserve">       [Suitability Scoring Engine]</w:t>
        <w:br/>
        <w:t xml:space="preserve">          Weighted Formula S</w:t>
        <w:br/>
        <w:t xml:space="preserve">          Budget Affordability Curve</w:t>
        <w:br/>
        <w:t xml:space="preserve">                   ▼</w:t>
        <w:br/>
        <w:t xml:space="preserve">      [Streamlit Interactive UI]</w:t>
        <w:br/>
        <w:t xml:space="preserve">         Interactive Folium Maps</w:t>
        <w:br/>
        <w:t xml:space="preserve">         Plotly Radar &amp; Trade-Offs</w:t>
        <w:br/>
        <w:t xml:space="preserve">         Ranked Top-5 Recommendations</w:t>
      </w:r>
    </w:p>
    <w:p>
      <w:pPr>
        <w:pStyle w:val="HorizontalLine"/>
        <w:bidi w:val="0"/>
        <w:rPr/>
      </w:pPr>
      <w:r>
        <w:rPr/>
      </w:r>
    </w:p>
    <w:p>
      <w:pPr>
        <w:pStyle w:val="Heading2"/>
        <w:bidi w:val="0"/>
        <w:ind w:hanging="0" w:start="0"/>
        <w:rPr/>
      </w:pPr>
      <w:r>
        <w:rPr/>
        <w:t>4. Dataset Design &amp; Feature Documentation</w:t>
      </w:r>
    </w:p>
    <w:p>
      <w:pPr>
        <w:pStyle w:val="BodyText"/>
        <w:bidi w:val="0"/>
        <w:rPr/>
      </w:pPr>
      <w:r>
        <w:rPr/>
        <w:t>The benchmark dataset consists of 1,200 candidate locations modeled across 20 distinct commercial, residential, and transit zones in the Bhopal metropolitan area.</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Feature Name</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Range / Domain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Business Interpretation</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location_id</w:t>
            </w:r>
          </w:p>
        </w:tc>
        <w:tc>
          <w:tcPr>
            <w:tcW w:w="2410" w:type="dxa"/>
            <w:tcBorders>
              <w:start w:val="single" w:sz="4" w:space="0" w:color="000000"/>
              <w:bottom w:val="single" w:sz="4" w:space="0" w:color="000000"/>
            </w:tcBorders>
          </w:tcPr>
          <w:p>
            <w:pPr>
              <w:pStyle w:val="TableContents"/>
              <w:bidi w:val="0"/>
              <w:jc w:val="start"/>
              <w:rPr/>
            </w:pPr>
            <w:r>
              <w:rPr/>
              <w:t>String</w:t>
            </w:r>
          </w:p>
        </w:tc>
        <w:tc>
          <w:tcPr>
            <w:tcW w:w="2409" w:type="dxa"/>
            <w:tcBorders>
              <w:start w:val="single" w:sz="4" w:space="0" w:color="000000"/>
              <w:bottom w:val="single" w:sz="4" w:space="0" w:color="000000"/>
            </w:tcBorders>
          </w:tcPr>
          <w:p>
            <w:pPr>
              <w:pStyle w:val="TableContents"/>
              <w:bidi w:val="0"/>
              <w:rPr/>
            </w:pPr>
            <w:r>
              <w:rPr>
                <w:rFonts w:ascii="Liberation Mono" w:hAnsi="Liberation Mono"/>
              </w:rPr>
              <w:t>LOC_0001</w:t>
            </w:r>
            <w:r>
              <w:rPr/>
              <w:t xml:space="preserve"> - </w:t>
            </w:r>
            <w:r>
              <w:rPr>
                <w:rFonts w:ascii="Liberation Mono" w:hAnsi="Liberation Mono"/>
              </w:rPr>
              <w:t>LOC_1200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Unique candidate identifier</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neighborhood</w:t>
            </w:r>
          </w:p>
        </w:tc>
        <w:tc>
          <w:tcPr>
            <w:tcW w:w="2410" w:type="dxa"/>
            <w:tcBorders>
              <w:start w:val="single" w:sz="4" w:space="0" w:color="000000"/>
              <w:bottom w:val="single" w:sz="4" w:space="0" w:color="000000"/>
            </w:tcBorders>
          </w:tcPr>
          <w:p>
            <w:pPr>
              <w:pStyle w:val="TableContents"/>
              <w:bidi w:val="0"/>
              <w:jc w:val="start"/>
              <w:rPr/>
            </w:pPr>
            <w:r>
              <w:rPr/>
              <w:t>Categorical</w:t>
            </w:r>
          </w:p>
        </w:tc>
        <w:tc>
          <w:tcPr>
            <w:tcW w:w="2409" w:type="dxa"/>
            <w:tcBorders>
              <w:start w:val="single" w:sz="4" w:space="0" w:color="000000"/>
              <w:bottom w:val="single" w:sz="4" w:space="0" w:color="000000"/>
            </w:tcBorders>
          </w:tcPr>
          <w:p>
            <w:pPr>
              <w:pStyle w:val="TableContents"/>
              <w:bidi w:val="0"/>
              <w:jc w:val="start"/>
              <w:rPr/>
            </w:pPr>
            <w:r>
              <w:rPr/>
              <w:t>20 Bhopal Zones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Macro urban district</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latitude</w:t>
            </w:r>
            <w:r>
              <w:rPr/>
              <w:t xml:space="preserve">, </w:t>
            </w:r>
            <w:r>
              <w:rPr>
                <w:rFonts w:ascii="Liberation Mono" w:hAnsi="Liberation Mono"/>
              </w:rPr>
              <w:t>longitude</w:t>
            </w:r>
          </w:p>
        </w:tc>
        <w:tc>
          <w:tcPr>
            <w:tcW w:w="2410" w:type="dxa"/>
            <w:tcBorders>
              <w:start w:val="single" w:sz="4" w:space="0" w:color="000000"/>
              <w:bottom w:val="single" w:sz="4" w:space="0" w:color="000000"/>
            </w:tcBorders>
          </w:tcPr>
          <w:p>
            <w:pPr>
              <w:pStyle w:val="TableContents"/>
              <w:bidi w:val="0"/>
              <w:jc w:val="start"/>
              <w:rPr/>
            </w:pPr>
            <w:r>
              <w:rPr/>
              <w:t>Float</w:t>
            </w:r>
          </w:p>
        </w:tc>
        <w:tc>
          <w:tcPr>
            <w:tcW w:w="2409" w:type="dxa"/>
            <w:tcBorders>
              <w:start w:val="single" w:sz="4" w:space="0" w:color="000000"/>
              <w:bottom w:val="single" w:sz="4" w:space="0" w:color="000000"/>
            </w:tcBorders>
          </w:tcPr>
          <w:p>
            <w:pPr>
              <w:pStyle w:val="TableContents"/>
              <w:bidi w:val="0"/>
              <w:jc w:val="start"/>
              <w:rPr/>
            </w:pPr>
            <w:r>
              <w:rPr/>
              <w:t>WGS84 Coords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Precise geospatial positioning</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business_type</w:t>
            </w:r>
          </w:p>
        </w:tc>
        <w:tc>
          <w:tcPr>
            <w:tcW w:w="2410" w:type="dxa"/>
            <w:tcBorders>
              <w:start w:val="single" w:sz="4" w:space="0" w:color="000000"/>
              <w:bottom w:val="single" w:sz="4" w:space="0" w:color="000000"/>
            </w:tcBorders>
          </w:tcPr>
          <w:p>
            <w:pPr>
              <w:pStyle w:val="TableContents"/>
              <w:bidi w:val="0"/>
              <w:jc w:val="start"/>
              <w:rPr/>
            </w:pPr>
            <w:r>
              <w:rPr/>
              <w:t>Categorical</w:t>
            </w:r>
          </w:p>
        </w:tc>
        <w:tc>
          <w:tcPr>
            <w:tcW w:w="2409" w:type="dxa"/>
            <w:tcBorders>
              <w:start w:val="single" w:sz="4" w:space="0" w:color="000000"/>
              <w:bottom w:val="single" w:sz="4" w:space="0" w:color="000000"/>
            </w:tcBorders>
          </w:tcPr>
          <w:p>
            <w:pPr>
              <w:pStyle w:val="TableContents"/>
              <w:bidi w:val="0"/>
              <w:jc w:val="start"/>
              <w:rPr/>
            </w:pPr>
            <w:r>
              <w:rPr/>
              <w:t>6 Retail Classes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Prospective industry (Cafe, Pharmacy, etc.)</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monthly_rent</w:t>
            </w:r>
          </w:p>
        </w:tc>
        <w:tc>
          <w:tcPr>
            <w:tcW w:w="2410" w:type="dxa"/>
            <w:tcBorders>
              <w:start w:val="single" w:sz="4" w:space="0" w:color="000000"/>
              <w:bottom w:val="single" w:sz="4" w:space="0" w:color="000000"/>
            </w:tcBorders>
          </w:tcPr>
          <w:p>
            <w:pPr>
              <w:pStyle w:val="TableContents"/>
              <w:bidi w:val="0"/>
              <w:jc w:val="start"/>
              <w:rPr/>
            </w:pPr>
            <w:r>
              <w:rPr/>
              <w:t>Integer</w:t>
            </w:r>
          </w:p>
        </w:tc>
        <w:tc>
          <w:tcPr>
            <w:tcW w:w="2409" w:type="dxa"/>
            <w:tcBorders>
              <w:start w:val="single" w:sz="4" w:space="0" w:color="000000"/>
              <w:bottom w:val="single" w:sz="4" w:space="0" w:color="000000"/>
            </w:tcBorders>
          </w:tcPr>
          <w:p>
            <w:pPr>
              <w:pStyle w:val="TableContents"/>
              <w:bidi w:val="0"/>
              <w:jc w:val="start"/>
              <w:rPr/>
            </w:pPr>
            <w:r>
              <w:rPr/>
              <w:t>₹</w:t>
            </w:r>
            <w:r>
              <w:rPr/>
              <w:t>15,000 - ₹180,000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Monthly property lease cost</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population</w:t>
            </w:r>
          </w:p>
        </w:tc>
        <w:tc>
          <w:tcPr>
            <w:tcW w:w="2410" w:type="dxa"/>
            <w:tcBorders>
              <w:start w:val="single" w:sz="4" w:space="0" w:color="000000"/>
              <w:bottom w:val="single" w:sz="4" w:space="0" w:color="000000"/>
            </w:tcBorders>
          </w:tcPr>
          <w:p>
            <w:pPr>
              <w:pStyle w:val="TableContents"/>
              <w:bidi w:val="0"/>
              <w:jc w:val="start"/>
              <w:rPr/>
            </w:pPr>
            <w:r>
              <w:rPr/>
              <w:t>Integer</w:t>
            </w:r>
          </w:p>
        </w:tc>
        <w:tc>
          <w:tcPr>
            <w:tcW w:w="2409" w:type="dxa"/>
            <w:tcBorders>
              <w:start w:val="single" w:sz="4" w:space="0" w:color="000000"/>
              <w:bottom w:val="single" w:sz="4" w:space="0" w:color="000000"/>
            </w:tcBorders>
          </w:tcPr>
          <w:p>
            <w:pPr>
              <w:pStyle w:val="TableContents"/>
              <w:bidi w:val="0"/>
              <w:jc w:val="start"/>
              <w:rPr/>
            </w:pPr>
            <w:r>
              <w:rPr/>
              <w:t>6,000 - 95,000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Catchment residents within 2km</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competitor_count</w:t>
            </w:r>
          </w:p>
        </w:tc>
        <w:tc>
          <w:tcPr>
            <w:tcW w:w="2410" w:type="dxa"/>
            <w:tcBorders>
              <w:start w:val="single" w:sz="4" w:space="0" w:color="000000"/>
              <w:bottom w:val="single" w:sz="4" w:space="0" w:color="000000"/>
            </w:tcBorders>
          </w:tcPr>
          <w:p>
            <w:pPr>
              <w:pStyle w:val="TableContents"/>
              <w:bidi w:val="0"/>
              <w:jc w:val="start"/>
              <w:rPr/>
            </w:pPr>
            <w:r>
              <w:rPr/>
              <w:t>Integer</w:t>
            </w:r>
          </w:p>
        </w:tc>
        <w:tc>
          <w:tcPr>
            <w:tcW w:w="2409" w:type="dxa"/>
            <w:tcBorders>
              <w:start w:val="single" w:sz="4" w:space="0" w:color="000000"/>
              <w:bottom w:val="single" w:sz="4" w:space="0" w:color="000000"/>
            </w:tcBorders>
          </w:tcPr>
          <w:p>
            <w:pPr>
              <w:pStyle w:val="TableContents"/>
              <w:bidi w:val="0"/>
              <w:jc w:val="start"/>
              <w:rPr/>
            </w:pPr>
            <w:r>
              <w:rPr/>
              <w:t>0 - 22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Competing stores in vicinity</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daily_footfall</w:t>
            </w:r>
          </w:p>
        </w:tc>
        <w:tc>
          <w:tcPr>
            <w:tcW w:w="2410" w:type="dxa"/>
            <w:tcBorders>
              <w:start w:val="single" w:sz="4" w:space="0" w:color="000000"/>
              <w:bottom w:val="single" w:sz="4" w:space="0" w:color="000000"/>
            </w:tcBorders>
          </w:tcPr>
          <w:p>
            <w:pPr>
              <w:pStyle w:val="TableContents"/>
              <w:bidi w:val="0"/>
              <w:jc w:val="start"/>
              <w:rPr/>
            </w:pPr>
            <w:r>
              <w:rPr/>
              <w:t>Integer</w:t>
            </w:r>
          </w:p>
        </w:tc>
        <w:tc>
          <w:tcPr>
            <w:tcW w:w="2409" w:type="dxa"/>
            <w:tcBorders>
              <w:start w:val="single" w:sz="4" w:space="0" w:color="000000"/>
              <w:bottom w:val="single" w:sz="4" w:space="0" w:color="000000"/>
            </w:tcBorders>
          </w:tcPr>
          <w:p>
            <w:pPr>
              <w:pStyle w:val="TableContents"/>
              <w:bidi w:val="0"/>
              <w:jc w:val="start"/>
              <w:rPr/>
            </w:pPr>
            <w:r>
              <w:rPr/>
              <w:t>300 - 15,000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Pedestrian footfall per day</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accessibility_score</w:t>
            </w:r>
          </w:p>
        </w:tc>
        <w:tc>
          <w:tcPr>
            <w:tcW w:w="2410" w:type="dxa"/>
            <w:tcBorders>
              <w:start w:val="single" w:sz="4" w:space="0" w:color="000000"/>
              <w:bottom w:val="single" w:sz="4" w:space="0" w:color="000000"/>
            </w:tcBorders>
          </w:tcPr>
          <w:p>
            <w:pPr>
              <w:pStyle w:val="TableContents"/>
              <w:bidi w:val="0"/>
              <w:jc w:val="start"/>
              <w:rPr/>
            </w:pPr>
            <w:r>
              <w:rPr/>
              <w:t>Float</w:t>
            </w:r>
          </w:p>
        </w:tc>
        <w:tc>
          <w:tcPr>
            <w:tcW w:w="2409" w:type="dxa"/>
            <w:tcBorders>
              <w:start w:val="single" w:sz="4" w:space="0" w:color="000000"/>
              <w:bottom w:val="single" w:sz="4" w:space="0" w:color="000000"/>
            </w:tcBorders>
          </w:tcPr>
          <w:p>
            <w:pPr>
              <w:pStyle w:val="TableContents"/>
              <w:bidi w:val="0"/>
              <w:jc w:val="start"/>
              <w:rPr/>
            </w:pPr>
            <w:r>
              <w:rPr/>
              <w:t>1.0 - 10.0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Road connectivity &amp; walkability</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parking_score</w:t>
            </w:r>
          </w:p>
        </w:tc>
        <w:tc>
          <w:tcPr>
            <w:tcW w:w="2410" w:type="dxa"/>
            <w:tcBorders>
              <w:start w:val="single" w:sz="4" w:space="0" w:color="000000"/>
              <w:bottom w:val="single" w:sz="4" w:space="0" w:color="000000"/>
            </w:tcBorders>
          </w:tcPr>
          <w:p>
            <w:pPr>
              <w:pStyle w:val="TableContents"/>
              <w:bidi w:val="0"/>
              <w:jc w:val="start"/>
              <w:rPr/>
            </w:pPr>
            <w:r>
              <w:rPr/>
              <w:t>Float</w:t>
            </w:r>
          </w:p>
        </w:tc>
        <w:tc>
          <w:tcPr>
            <w:tcW w:w="2409" w:type="dxa"/>
            <w:tcBorders>
              <w:start w:val="single" w:sz="4" w:space="0" w:color="000000"/>
              <w:bottom w:val="single" w:sz="4" w:space="0" w:color="000000"/>
            </w:tcBorders>
          </w:tcPr>
          <w:p>
            <w:pPr>
              <w:pStyle w:val="TableContents"/>
              <w:bidi w:val="0"/>
              <w:jc w:val="start"/>
              <w:rPr/>
            </w:pPr>
            <w:r>
              <w:rPr/>
              <w:t>1.0 - 10.0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Parking availability</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public_transport_score</w:t>
            </w:r>
          </w:p>
        </w:tc>
        <w:tc>
          <w:tcPr>
            <w:tcW w:w="2410" w:type="dxa"/>
            <w:tcBorders>
              <w:start w:val="single" w:sz="4" w:space="0" w:color="000000"/>
              <w:bottom w:val="single" w:sz="4" w:space="0" w:color="000000"/>
            </w:tcBorders>
          </w:tcPr>
          <w:p>
            <w:pPr>
              <w:pStyle w:val="TableContents"/>
              <w:bidi w:val="0"/>
              <w:jc w:val="start"/>
              <w:rPr/>
            </w:pPr>
            <w:r>
              <w:rPr/>
              <w:t>Float</w:t>
            </w:r>
          </w:p>
        </w:tc>
        <w:tc>
          <w:tcPr>
            <w:tcW w:w="2409" w:type="dxa"/>
            <w:tcBorders>
              <w:start w:val="single" w:sz="4" w:space="0" w:color="000000"/>
              <w:bottom w:val="single" w:sz="4" w:space="0" w:color="000000"/>
            </w:tcBorders>
          </w:tcPr>
          <w:p>
            <w:pPr>
              <w:pStyle w:val="TableContents"/>
              <w:bidi w:val="0"/>
              <w:jc w:val="start"/>
              <w:rPr/>
            </w:pPr>
            <w:r>
              <w:rPr/>
              <w:t>1.0 - 10.0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Proximity to transit nodes</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income_level</w:t>
            </w:r>
          </w:p>
        </w:tc>
        <w:tc>
          <w:tcPr>
            <w:tcW w:w="2410" w:type="dxa"/>
            <w:tcBorders>
              <w:start w:val="single" w:sz="4" w:space="0" w:color="000000"/>
              <w:bottom w:val="single" w:sz="4" w:space="0" w:color="000000"/>
            </w:tcBorders>
          </w:tcPr>
          <w:p>
            <w:pPr>
              <w:pStyle w:val="TableContents"/>
              <w:bidi w:val="0"/>
              <w:jc w:val="start"/>
              <w:rPr/>
            </w:pPr>
            <w:r>
              <w:rPr/>
              <w:t>Categorical</w:t>
            </w:r>
          </w:p>
        </w:tc>
        <w:tc>
          <w:tcPr>
            <w:tcW w:w="2409" w:type="dxa"/>
            <w:tcBorders>
              <w:start w:val="single" w:sz="4" w:space="0" w:color="000000"/>
              <w:bottom w:val="single" w:sz="4" w:space="0" w:color="000000"/>
            </w:tcBorders>
          </w:tcPr>
          <w:p>
            <w:pPr>
              <w:pStyle w:val="TableContents"/>
              <w:bidi w:val="0"/>
              <w:jc w:val="start"/>
              <w:rPr/>
            </w:pPr>
            <w:r>
              <w:rPr/>
              <w:t>Low, Medium, High</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Consumer purchasing power tier</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target_demand</w:t>
            </w:r>
          </w:p>
        </w:tc>
        <w:tc>
          <w:tcPr>
            <w:tcW w:w="2410" w:type="dxa"/>
            <w:tcBorders>
              <w:start w:val="single" w:sz="4" w:space="0" w:color="000000"/>
              <w:bottom w:val="single" w:sz="4" w:space="0" w:color="000000"/>
            </w:tcBorders>
          </w:tcPr>
          <w:p>
            <w:pPr>
              <w:pStyle w:val="TableContents"/>
              <w:bidi w:val="0"/>
              <w:jc w:val="start"/>
              <w:rPr/>
            </w:pPr>
            <w:r>
              <w:rPr/>
              <w:t>Integer</w:t>
            </w:r>
          </w:p>
        </w:tc>
        <w:tc>
          <w:tcPr>
            <w:tcW w:w="2409" w:type="dxa"/>
            <w:tcBorders>
              <w:start w:val="single" w:sz="4" w:space="0" w:color="000000"/>
              <w:bottom w:val="single" w:sz="4" w:space="0" w:color="000000"/>
            </w:tcBorders>
          </w:tcPr>
          <w:p>
            <w:pPr>
              <w:pStyle w:val="TableContents"/>
              <w:bidi w:val="0"/>
              <w:jc w:val="start"/>
              <w:rPr/>
            </w:pPr>
            <w:r>
              <w:rPr/>
              <w:t>15 - 850 cust/day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Daily customer transaction volume (Target)</w:t>
            </w:r>
          </w:p>
        </w:tc>
      </w:tr>
    </w:tbl>
    <w:p>
      <w:pPr>
        <w:pStyle w:val="BodyText"/>
        <w:bidi w:val="0"/>
        <w:rPr/>
      </w:pPr>
      <w:r>
        <w:rPr/>
      </w:r>
    </w:p>
    <w:p>
      <w:pPr>
        <w:pStyle w:val="HorizontalLine"/>
        <w:bidi w:val="0"/>
        <w:rPr/>
      </w:pPr>
      <w:r>
        <w:rPr/>
      </w:r>
    </w:p>
    <w:p>
      <w:pPr>
        <w:pStyle w:val="Heading2"/>
        <w:bidi w:val="0"/>
        <w:ind w:hanging="0" w:start="0"/>
        <w:rPr/>
      </w:pPr>
      <w:r>
        <w:rPr/>
        <w:t>5. Machine Learning Models &amp; Evaluation</w:t>
      </w:r>
    </w:p>
    <w:p>
      <w:pPr>
        <w:pStyle w:val="Heading3"/>
        <w:bidi w:val="0"/>
        <w:ind w:hanging="0" w:start="0"/>
        <w:rPr/>
      </w:pPr>
      <w:r>
        <w:rPr/>
        <w:t>5.1 Supervised Regression Comparison</w:t>
      </w:r>
    </w:p>
    <w:p>
      <w:pPr>
        <w:pStyle w:val="BodyText"/>
        <w:bidi w:val="0"/>
        <w:rPr/>
      </w:pPr>
      <w:r>
        <w:rPr/>
        <w:t xml:space="preserve">Models were trained to predict </w:t>
      </w:r>
      <w:r>
        <w:rPr>
          <w:rFonts w:ascii="Liberation Mono" w:hAnsi="Liberation Mono"/>
        </w:rPr>
        <w:t>target_demand</w:t>
      </w:r>
      <w:r>
        <w:rPr/>
        <w:t xml:space="preserve"> using an 80/20 train-test split with 5-fold cross-validation.</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Model Architecture</w:t>
            </w:r>
          </w:p>
        </w:tc>
        <w:tc>
          <w:tcPr>
            <w:tcW w:w="1928" w:type="dxa"/>
            <w:tcBorders>
              <w:top w:val="single" w:sz="4" w:space="0" w:color="000000"/>
              <w:start w:val="single" w:sz="4" w:space="0" w:color="000000"/>
              <w:bottom w:val="single" w:sz="4" w:space="0" w:color="000000"/>
            </w:tcBorders>
          </w:tcPr>
          <w:p>
            <w:pPr>
              <w:pStyle w:val="TableHeading"/>
              <w:bidi w:val="0"/>
              <w:jc w:val="center"/>
              <w:rPr/>
            </w:pPr>
            <w:r>
              <w:rPr/>
              <w:t>MAE (Cust/Day)</w:t>
            </w:r>
          </w:p>
        </w:tc>
        <w:tc>
          <w:tcPr>
            <w:tcW w:w="1927" w:type="dxa"/>
            <w:tcBorders>
              <w:top w:val="single" w:sz="4" w:space="0" w:color="000000"/>
              <w:start w:val="single" w:sz="4" w:space="0" w:color="000000"/>
              <w:bottom w:val="single" w:sz="4" w:space="0" w:color="000000"/>
            </w:tcBorders>
          </w:tcPr>
          <w:p>
            <w:pPr>
              <w:pStyle w:val="TableHeading"/>
              <w:bidi w:val="0"/>
              <w:jc w:val="center"/>
              <w:rPr/>
            </w:pPr>
            <w:r>
              <w:rPr/>
              <w:t>RMSE</w:t>
            </w:r>
          </w:p>
        </w:tc>
        <w:tc>
          <w:tcPr>
            <w:tcW w:w="1928" w:type="dxa"/>
            <w:tcBorders>
              <w:top w:val="single" w:sz="4" w:space="0" w:color="000000"/>
              <w:start w:val="single" w:sz="4" w:space="0" w:color="000000"/>
              <w:bottom w:val="single" w:sz="4" w:space="0" w:color="000000"/>
            </w:tcBorders>
          </w:tcPr>
          <w:p>
            <w:pPr>
              <w:pStyle w:val="TableHeading"/>
              <w:bidi w:val="0"/>
              <w:jc w:val="center"/>
              <w:rPr/>
            </w:pPr>
            <w:r>
              <w:rPr/>
              <w:t>Test $R^2$</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5-Fold CV $R^2$ Mean (± Std)</w:t>
            </w:r>
          </w:p>
        </w:tc>
      </w:tr>
      <w:tr>
        <w:trPr/>
        <w:tc>
          <w:tcPr>
            <w:tcW w:w="1927" w:type="dxa"/>
            <w:tcBorders>
              <w:start w:val="single" w:sz="4" w:space="0" w:color="000000"/>
              <w:bottom w:val="single" w:sz="4" w:space="0" w:color="000000"/>
            </w:tcBorders>
          </w:tcPr>
          <w:p>
            <w:pPr>
              <w:pStyle w:val="TableContents"/>
              <w:bidi w:val="0"/>
              <w:rPr/>
            </w:pPr>
            <w:r>
              <w:rPr>
                <w:b/>
              </w:rPr>
              <w:t>Linear Regression (Baseline)</w:t>
            </w:r>
          </w:p>
        </w:tc>
        <w:tc>
          <w:tcPr>
            <w:tcW w:w="1928" w:type="dxa"/>
            <w:tcBorders>
              <w:start w:val="single" w:sz="4" w:space="0" w:color="000000"/>
              <w:bottom w:val="single" w:sz="4" w:space="0" w:color="000000"/>
            </w:tcBorders>
          </w:tcPr>
          <w:p>
            <w:pPr>
              <w:pStyle w:val="TableContents"/>
              <w:bidi w:val="0"/>
              <w:jc w:val="center"/>
              <w:rPr/>
            </w:pPr>
            <w:r>
              <w:rPr/>
              <w:t>21.06</w:t>
            </w:r>
          </w:p>
        </w:tc>
        <w:tc>
          <w:tcPr>
            <w:tcW w:w="1927" w:type="dxa"/>
            <w:tcBorders>
              <w:start w:val="single" w:sz="4" w:space="0" w:color="000000"/>
              <w:bottom w:val="single" w:sz="4" w:space="0" w:color="000000"/>
            </w:tcBorders>
          </w:tcPr>
          <w:p>
            <w:pPr>
              <w:pStyle w:val="TableContents"/>
              <w:bidi w:val="0"/>
              <w:jc w:val="center"/>
              <w:rPr/>
            </w:pPr>
            <w:r>
              <w:rPr/>
              <w:t>28.31</w:t>
            </w:r>
          </w:p>
        </w:tc>
        <w:tc>
          <w:tcPr>
            <w:tcW w:w="1928" w:type="dxa"/>
            <w:tcBorders>
              <w:start w:val="single" w:sz="4" w:space="0" w:color="000000"/>
              <w:bottom w:val="single" w:sz="4" w:space="0" w:color="000000"/>
            </w:tcBorders>
          </w:tcPr>
          <w:p>
            <w:pPr>
              <w:pStyle w:val="TableContents"/>
              <w:bidi w:val="0"/>
              <w:jc w:val="center"/>
              <w:rPr/>
            </w:pPr>
            <w:r>
              <w:rPr/>
              <w:t>0.7658</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0.7668 ± 0.0252</w:t>
            </w:r>
          </w:p>
        </w:tc>
      </w:tr>
      <w:tr>
        <w:trPr/>
        <w:tc>
          <w:tcPr>
            <w:tcW w:w="1927" w:type="dxa"/>
            <w:tcBorders>
              <w:start w:val="single" w:sz="4" w:space="0" w:color="000000"/>
              <w:bottom w:val="single" w:sz="4" w:space="0" w:color="000000"/>
            </w:tcBorders>
          </w:tcPr>
          <w:p>
            <w:pPr>
              <w:pStyle w:val="TableContents"/>
              <w:bidi w:val="0"/>
              <w:rPr/>
            </w:pPr>
            <w:r>
              <w:rPr>
                <w:b/>
              </w:rPr>
              <w:t>Decision Tree Regressor</w:t>
            </w:r>
          </w:p>
        </w:tc>
        <w:tc>
          <w:tcPr>
            <w:tcW w:w="1928" w:type="dxa"/>
            <w:tcBorders>
              <w:start w:val="single" w:sz="4" w:space="0" w:color="000000"/>
              <w:bottom w:val="single" w:sz="4" w:space="0" w:color="000000"/>
            </w:tcBorders>
          </w:tcPr>
          <w:p>
            <w:pPr>
              <w:pStyle w:val="TableContents"/>
              <w:bidi w:val="0"/>
              <w:jc w:val="center"/>
              <w:rPr/>
            </w:pPr>
            <w:r>
              <w:rPr/>
              <w:t>27.40</w:t>
            </w:r>
          </w:p>
        </w:tc>
        <w:tc>
          <w:tcPr>
            <w:tcW w:w="1927" w:type="dxa"/>
            <w:tcBorders>
              <w:start w:val="single" w:sz="4" w:space="0" w:color="000000"/>
              <w:bottom w:val="single" w:sz="4" w:space="0" w:color="000000"/>
            </w:tcBorders>
          </w:tcPr>
          <w:p>
            <w:pPr>
              <w:pStyle w:val="TableContents"/>
              <w:bidi w:val="0"/>
              <w:jc w:val="center"/>
              <w:rPr/>
            </w:pPr>
            <w:r>
              <w:rPr/>
              <w:t>38.65</w:t>
            </w:r>
          </w:p>
        </w:tc>
        <w:tc>
          <w:tcPr>
            <w:tcW w:w="1928" w:type="dxa"/>
            <w:tcBorders>
              <w:start w:val="single" w:sz="4" w:space="0" w:color="000000"/>
              <w:bottom w:val="single" w:sz="4" w:space="0" w:color="000000"/>
            </w:tcBorders>
          </w:tcPr>
          <w:p>
            <w:pPr>
              <w:pStyle w:val="TableContents"/>
              <w:bidi w:val="0"/>
              <w:jc w:val="center"/>
              <w:rPr/>
            </w:pPr>
            <w:r>
              <w:rPr/>
              <w:t>0.5634</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0.5258 ± 0.0929</w:t>
            </w:r>
          </w:p>
        </w:tc>
      </w:tr>
      <w:tr>
        <w:trPr/>
        <w:tc>
          <w:tcPr>
            <w:tcW w:w="1927" w:type="dxa"/>
            <w:tcBorders>
              <w:start w:val="single" w:sz="4" w:space="0" w:color="000000"/>
              <w:bottom w:val="single" w:sz="4" w:space="0" w:color="000000"/>
            </w:tcBorders>
          </w:tcPr>
          <w:p>
            <w:pPr>
              <w:pStyle w:val="TableContents"/>
              <w:bidi w:val="0"/>
              <w:rPr/>
            </w:pPr>
            <w:r>
              <w:rPr>
                <w:b/>
              </w:rPr>
              <w:t>Random Forest Regressor (Ensemble)</w:t>
            </w:r>
          </w:p>
        </w:tc>
        <w:tc>
          <w:tcPr>
            <w:tcW w:w="1928" w:type="dxa"/>
            <w:tcBorders>
              <w:start w:val="single" w:sz="4" w:space="0" w:color="000000"/>
              <w:bottom w:val="single" w:sz="4" w:space="0" w:color="000000"/>
            </w:tcBorders>
          </w:tcPr>
          <w:p>
            <w:pPr>
              <w:pStyle w:val="TableContents"/>
              <w:bidi w:val="0"/>
              <w:jc w:val="center"/>
              <w:rPr/>
            </w:pPr>
            <w:r>
              <w:rPr/>
              <w:t>21.09</w:t>
            </w:r>
          </w:p>
        </w:tc>
        <w:tc>
          <w:tcPr>
            <w:tcW w:w="1927" w:type="dxa"/>
            <w:tcBorders>
              <w:start w:val="single" w:sz="4" w:space="0" w:color="000000"/>
              <w:bottom w:val="single" w:sz="4" w:space="0" w:color="000000"/>
            </w:tcBorders>
          </w:tcPr>
          <w:p>
            <w:pPr>
              <w:pStyle w:val="TableContents"/>
              <w:bidi w:val="0"/>
              <w:jc w:val="center"/>
              <w:rPr/>
            </w:pPr>
            <w:r>
              <w:rPr/>
              <w:t>29.99</w:t>
            </w:r>
          </w:p>
        </w:tc>
        <w:tc>
          <w:tcPr>
            <w:tcW w:w="1928" w:type="dxa"/>
            <w:tcBorders>
              <w:start w:val="single" w:sz="4" w:space="0" w:color="000000"/>
              <w:bottom w:val="single" w:sz="4" w:space="0" w:color="000000"/>
            </w:tcBorders>
          </w:tcPr>
          <w:p>
            <w:pPr>
              <w:pStyle w:val="TableContents"/>
              <w:bidi w:val="0"/>
              <w:jc w:val="center"/>
              <w:rPr/>
            </w:pPr>
            <w:r>
              <w:rPr/>
              <w:t>0.7371</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0.7510 ± 0.0282</w:t>
            </w:r>
          </w:p>
        </w:tc>
      </w:tr>
    </w:tbl>
    <w:p>
      <w:pPr>
        <w:pStyle w:val="BodyText"/>
        <w:bidi w:val="0"/>
        <w:rPr/>
      </w:pPr>
      <w:r>
        <w:rPr/>
      </w:r>
    </w:p>
    <w:p>
      <w:pPr>
        <w:pStyle w:val="Heading4"/>
        <w:bidi w:val="0"/>
        <w:ind w:hanging="0" w:start="0"/>
        <w:rPr/>
      </w:pPr>
      <w:r>
        <w:rPr/>
        <w:t>Analysis:</w:t>
      </w:r>
    </w:p>
    <w:p>
      <w:pPr>
        <w:pStyle w:val="BodyText"/>
        <w:numPr>
          <w:ilvl w:val="0"/>
          <w:numId w:val="4"/>
        </w:numPr>
        <w:tabs>
          <w:tab w:val="clear" w:pos="709"/>
          <w:tab w:val="left" w:pos="709" w:leader="none"/>
        </w:tabs>
        <w:bidi w:val="0"/>
        <w:ind w:hanging="283" w:start="709"/>
        <w:rPr/>
      </w:pPr>
      <w:r>
        <w:rPr>
          <w:b/>
        </w:rPr>
        <w:t>Random Forest</w:t>
      </w:r>
      <w:r>
        <w:rPr/>
        <w:t xml:space="preserve"> demonstrates high stability across folds ($\text{CV } R^2 \approx 0.7510$) and successfully models complex non-linear saturation from competitor density.</w:t>
      </w:r>
    </w:p>
    <w:p>
      <w:pPr>
        <w:pStyle w:val="BodyText"/>
        <w:numPr>
          <w:ilvl w:val="0"/>
          <w:numId w:val="4"/>
        </w:numPr>
        <w:tabs>
          <w:tab w:val="clear" w:pos="709"/>
          <w:tab w:val="left" w:pos="709" w:leader="none"/>
        </w:tabs>
        <w:bidi w:val="0"/>
        <w:ind w:hanging="283" w:start="709"/>
        <w:rPr/>
      </w:pPr>
      <w:r>
        <w:rPr>
          <w:b/>
        </w:rPr>
        <w:t>Linear Regression</w:t>
      </w:r>
      <w:r>
        <w:rPr/>
        <w:t xml:space="preserve"> serves as a strong baseline due to the monotonic relationship between raw pedestrian volume and customer arrivals.</w:t>
      </w:r>
    </w:p>
    <w:p>
      <w:pPr>
        <w:pStyle w:val="BodyText"/>
        <w:numPr>
          <w:ilvl w:val="0"/>
          <w:numId w:val="4"/>
        </w:numPr>
        <w:tabs>
          <w:tab w:val="clear" w:pos="709"/>
          <w:tab w:val="left" w:pos="709" w:leader="none"/>
        </w:tabs>
        <w:bidi w:val="0"/>
        <w:ind w:hanging="283" w:start="709"/>
        <w:rPr/>
      </w:pPr>
      <w:r>
        <w:rPr>
          <w:b/>
        </w:rPr>
        <w:t>Decision Tree</w:t>
      </w:r>
      <w:r>
        <w:rPr/>
        <w:t xml:space="preserve"> suffers from higher variance and overfitting on isolated split thresholds.</w:t>
      </w:r>
    </w:p>
    <w:p>
      <w:pPr>
        <w:pStyle w:val="Heading3"/>
        <w:numPr>
          <w:ilvl w:val="0"/>
          <w:numId w:val="0"/>
        </w:numPr>
        <w:bidi w:val="0"/>
        <w:ind w:hanging="0" w:start="0"/>
        <w:rPr/>
      </w:pPr>
      <w:r>
        <w:rPr/>
        <w:t>5.2 Feature Importance Rankings (Random Forest)</w:t>
      </w:r>
    </w:p>
    <w:p>
      <w:pPr>
        <w:pStyle w:val="BodyText"/>
        <w:numPr>
          <w:ilvl w:val="0"/>
          <w:numId w:val="5"/>
        </w:numPr>
        <w:tabs>
          <w:tab w:val="clear" w:pos="709"/>
          <w:tab w:val="left" w:pos="709" w:leader="none"/>
        </w:tabs>
        <w:bidi w:val="0"/>
        <w:ind w:hanging="283" w:start="709"/>
        <w:rPr/>
      </w:pPr>
      <w:r>
        <w:rPr>
          <w:rFonts w:ascii="Liberation Mono" w:hAnsi="Liberation Mono"/>
        </w:rPr>
        <w:t>daily_footfall</w:t>
      </w:r>
      <w:r>
        <w:rPr/>
        <w:t xml:space="preserve"> (42.6%): Dominant predictor of physical store visits.</w:t>
      </w:r>
    </w:p>
    <w:p>
      <w:pPr>
        <w:pStyle w:val="BodyText"/>
        <w:numPr>
          <w:ilvl w:val="0"/>
          <w:numId w:val="5"/>
        </w:numPr>
        <w:tabs>
          <w:tab w:val="clear" w:pos="709"/>
          <w:tab w:val="left" w:pos="709" w:leader="none"/>
        </w:tabs>
        <w:bidi w:val="0"/>
        <w:ind w:hanging="283" w:start="709"/>
        <w:rPr/>
      </w:pPr>
      <w:r>
        <w:rPr>
          <w:rFonts w:ascii="Liberation Mono" w:hAnsi="Liberation Mono"/>
        </w:rPr>
        <w:t>business_type_Co-Working Space</w:t>
      </w:r>
      <w:r>
        <w:rPr/>
        <w:t xml:space="preserve"> (17.9%): Format-specific structural sensitivity.</w:t>
      </w:r>
    </w:p>
    <w:p>
      <w:pPr>
        <w:pStyle w:val="BodyText"/>
        <w:numPr>
          <w:ilvl w:val="0"/>
          <w:numId w:val="5"/>
        </w:numPr>
        <w:tabs>
          <w:tab w:val="clear" w:pos="709"/>
          <w:tab w:val="left" w:pos="709" w:leader="none"/>
        </w:tabs>
        <w:bidi w:val="0"/>
        <w:ind w:hanging="283" w:start="709"/>
        <w:rPr/>
      </w:pPr>
      <w:r>
        <w:rPr>
          <w:rFonts w:ascii="Liberation Mono" w:hAnsi="Liberation Mono"/>
        </w:rPr>
        <w:t>population</w:t>
      </w:r>
      <w:r>
        <w:rPr/>
        <w:t xml:space="preserve"> (11.5%): Residential catchment floor.</w:t>
      </w:r>
    </w:p>
    <w:p>
      <w:pPr>
        <w:pStyle w:val="BodyText"/>
        <w:numPr>
          <w:ilvl w:val="0"/>
          <w:numId w:val="5"/>
        </w:numPr>
        <w:tabs>
          <w:tab w:val="clear" w:pos="709"/>
          <w:tab w:val="left" w:pos="709" w:leader="none"/>
        </w:tabs>
        <w:bidi w:val="0"/>
        <w:ind w:hanging="283" w:start="709"/>
        <w:rPr/>
      </w:pPr>
      <w:r>
        <w:rPr>
          <w:rFonts w:ascii="Liberation Mono" w:hAnsi="Liberation Mono"/>
        </w:rPr>
        <w:t>access_composite</w:t>
      </w:r>
      <w:r>
        <w:rPr/>
        <w:t xml:space="preserve"> (9.9%): Transit and road ease.</w:t>
      </w:r>
    </w:p>
    <w:p>
      <w:pPr>
        <w:pStyle w:val="BodyText"/>
        <w:numPr>
          <w:ilvl w:val="0"/>
          <w:numId w:val="5"/>
        </w:numPr>
        <w:tabs>
          <w:tab w:val="clear" w:pos="709"/>
          <w:tab w:val="left" w:pos="709" w:leader="none"/>
        </w:tabs>
        <w:bidi w:val="0"/>
        <w:ind w:hanging="283" w:start="709"/>
        <w:rPr/>
      </w:pPr>
      <w:r>
        <w:rPr>
          <w:rFonts w:ascii="Liberation Mono" w:hAnsi="Liberation Mono"/>
        </w:rPr>
        <w:t>accessibility_score</w:t>
      </w:r>
      <w:r>
        <w:rPr/>
        <w:t xml:space="preserve"> (3.5%): Micro-street frontage walkability.</w:t>
      </w:r>
    </w:p>
    <w:p>
      <w:pPr>
        <w:pStyle w:val="HorizontalLine"/>
        <w:bidi w:val="0"/>
        <w:rPr/>
      </w:pPr>
      <w:r>
        <w:rPr/>
      </w:r>
    </w:p>
    <w:p>
      <w:pPr>
        <w:pStyle w:val="Heading2"/>
        <w:bidi w:val="0"/>
        <w:ind w:hanging="0" w:start="0"/>
        <w:rPr/>
      </w:pPr>
      <w:r>
        <w:rPr/>
        <w:t>6. Unsupervised K-Means Clustering</w:t>
      </w:r>
    </w:p>
    <w:p>
      <w:pPr>
        <w:pStyle w:val="BodyText"/>
        <w:bidi w:val="0"/>
        <w:rPr/>
      </w:pPr>
      <w:r>
        <w:rPr/>
        <w:t xml:space="preserve">To provide macro spatial market intelligence, candidate properties were clustered across scaled features: </w:t>
      </w:r>
      <w:r>
        <w:rPr>
          <w:rFonts w:ascii="Liberation Mono" w:hAnsi="Liberation Mono"/>
        </w:rPr>
        <w:t>monthly_rent</w:t>
      </w:r>
      <w:r>
        <w:rPr/>
        <w:t xml:space="preserve">, </w:t>
      </w:r>
      <w:r>
        <w:rPr>
          <w:rFonts w:ascii="Liberation Mono" w:hAnsi="Liberation Mono"/>
        </w:rPr>
        <w:t>daily_footfall</w:t>
      </w:r>
      <w:r>
        <w:rPr/>
        <w:t xml:space="preserve">, </w:t>
      </w:r>
      <w:r>
        <w:rPr>
          <w:rFonts w:ascii="Liberation Mono" w:hAnsi="Liberation Mono"/>
        </w:rPr>
        <w:t>population</w:t>
      </w:r>
      <w:r>
        <w:rPr/>
        <w:t xml:space="preserve">, </w:t>
      </w:r>
      <w:r>
        <w:rPr>
          <w:rFonts w:ascii="Liberation Mono" w:hAnsi="Liberation Mono"/>
        </w:rPr>
        <w:t>target_demand</w:t>
      </w:r>
      <w:r>
        <w:rPr/>
        <w:t xml:space="preserve">, </w:t>
      </w:r>
      <w:r>
        <w:rPr>
          <w:rFonts w:ascii="Liberation Mono" w:hAnsi="Liberation Mono"/>
        </w:rPr>
        <w:t>accessibility_score</w:t>
      </w:r>
      <w:r>
        <w:rPr/>
        <w:t xml:space="preserve">, and </w:t>
      </w:r>
      <w:r>
        <w:rPr>
          <w:rFonts w:ascii="Liberation Mono" w:hAnsi="Liberation Mono"/>
        </w:rPr>
        <w:t>competitor_count</w:t>
      </w:r>
      <w:r>
        <w:rPr/>
        <w:t>.</w:t>
      </w:r>
    </w:p>
    <w:p>
      <w:pPr>
        <w:pStyle w:val="Heading3"/>
        <w:bidi w:val="0"/>
        <w:ind w:hanging="0" w:start="0"/>
        <w:rPr/>
      </w:pPr>
      <w:r>
        <w:rPr/>
        <w:t>Optimal Cluster Evaluation ($k=4$)</w:t>
      </w:r>
    </w:p>
    <w:p>
      <w:pPr>
        <w:pStyle w:val="BodyText"/>
        <w:numPr>
          <w:ilvl w:val="0"/>
          <w:numId w:val="6"/>
        </w:numPr>
        <w:tabs>
          <w:tab w:val="clear" w:pos="709"/>
          <w:tab w:val="left" w:pos="709" w:leader="none"/>
        </w:tabs>
        <w:bidi w:val="0"/>
        <w:ind w:hanging="283" w:start="709"/>
        <w:rPr/>
      </w:pPr>
      <w:r>
        <w:rPr>
          <w:b/>
        </w:rPr>
        <w:t>Elbow Analysis:</w:t>
      </w:r>
      <w:r>
        <w:rPr/>
        <w:t xml:space="preserve"> Substantial reduction in inertia between $k=2$ and $k=4$, with flattening observed thereafter.</w:t>
      </w:r>
    </w:p>
    <w:p>
      <w:pPr>
        <w:pStyle w:val="BodyText"/>
        <w:numPr>
          <w:ilvl w:val="0"/>
          <w:numId w:val="6"/>
        </w:numPr>
        <w:tabs>
          <w:tab w:val="clear" w:pos="709"/>
          <w:tab w:val="left" w:pos="709" w:leader="none"/>
        </w:tabs>
        <w:bidi w:val="0"/>
        <w:ind w:hanging="283" w:start="709"/>
        <w:rPr/>
      </w:pPr>
      <w:r>
        <w:rPr>
          <w:b/>
        </w:rPr>
        <w:t>Silhouette Score:</w:t>
      </w:r>
      <w:r>
        <w:rPr/>
        <w:t xml:space="preserve"> Evaluated at 0.204 for $k=4$, indicating meaningful separation.</w:t>
      </w:r>
    </w:p>
    <w:p>
      <w:pPr>
        <w:pStyle w:val="Heading3"/>
        <w:numPr>
          <w:ilvl w:val="0"/>
          <w:numId w:val="0"/>
        </w:numPr>
        <w:bidi w:val="0"/>
        <w:ind w:hanging="0" w:start="0"/>
        <w:rPr/>
      </w:pPr>
      <w:r>
        <w:rPr/>
        <w:t>Discovered Urban Archetypes:</w:t>
      </w:r>
    </w:p>
    <w:p>
      <w:pPr>
        <w:pStyle w:val="BodyText"/>
        <w:numPr>
          <w:ilvl w:val="0"/>
          <w:numId w:val="7"/>
        </w:numPr>
        <w:tabs>
          <w:tab w:val="clear" w:pos="709"/>
          <w:tab w:val="left" w:pos="709" w:leader="none"/>
        </w:tabs>
        <w:bidi w:val="0"/>
        <w:ind w:hanging="283" w:start="709"/>
        <w:rPr/>
      </w:pPr>
      <w:r>
        <w:rPr>
          <w:b/>
        </w:rPr>
        <w:t>Cluster 0 — Affordable / Emerging Market (35.2%):</w:t>
      </w:r>
      <w:r>
        <w:rPr/>
        <w:br/>
      </w:r>
      <w:r>
        <w:rPr>
          <w:i/>
        </w:rPr>
        <w:t>Avg Rent: ₹31,627 | Footfall: 2,609 | Competitors: 2.1</w:t>
      </w:r>
      <w:r>
        <w:rPr/>
        <w:br/>
        <w:t>Cost-effective developing nodes offering favorable rental affordability for bootstrap startups.</w:t>
      </w:r>
    </w:p>
    <w:p>
      <w:pPr>
        <w:pStyle w:val="BodyText"/>
        <w:numPr>
          <w:ilvl w:val="0"/>
          <w:numId w:val="7"/>
        </w:numPr>
        <w:tabs>
          <w:tab w:val="clear" w:pos="709"/>
          <w:tab w:val="left" w:pos="709" w:leader="none"/>
        </w:tabs>
        <w:bidi w:val="0"/>
        <w:ind w:hanging="283" w:start="709"/>
        <w:rPr/>
      </w:pPr>
      <w:r>
        <w:rPr>
          <w:b/>
        </w:rPr>
        <w:t>Cluster 1 — Prime Commercial Hub (34.3%):</w:t>
      </w:r>
      <w:r>
        <w:rPr/>
        <w:br/>
      </w:r>
      <w:r>
        <w:rPr>
          <w:i/>
        </w:rPr>
        <w:t>Avg Rent: ₹60,227 | Footfall: 4,668 | Competitors: 3.4</w:t>
      </w:r>
      <w:r>
        <w:rPr/>
        <w:br/>
        <w:t>High-rent central commercial district with bustling pedestrian activity and corporate appeal.</w:t>
      </w:r>
    </w:p>
    <w:p>
      <w:pPr>
        <w:pStyle w:val="BodyText"/>
        <w:numPr>
          <w:ilvl w:val="0"/>
          <w:numId w:val="7"/>
        </w:numPr>
        <w:tabs>
          <w:tab w:val="clear" w:pos="709"/>
          <w:tab w:val="left" w:pos="709" w:leader="none"/>
        </w:tabs>
        <w:bidi w:val="0"/>
        <w:ind w:hanging="283" w:start="709"/>
        <w:rPr/>
      </w:pPr>
      <w:r>
        <w:rPr>
          <w:b/>
        </w:rPr>
        <w:t>Cluster 2 — Balanced Residential Catchment (13.4%):</w:t>
      </w:r>
      <w:r>
        <w:rPr/>
        <w:br/>
      </w:r>
      <w:r>
        <w:rPr>
          <w:i/>
        </w:rPr>
        <w:t>Avg Rent: ₹40,599 | Footfall: 3,024 | Competitors: 2.8</w:t>
      </w:r>
      <w:r>
        <w:rPr/>
        <w:br/>
        <w:t>Stable neighborhood centers with regular local patronage and moderate lease terms.</w:t>
      </w:r>
    </w:p>
    <w:p>
      <w:pPr>
        <w:pStyle w:val="BodyText"/>
        <w:numPr>
          <w:ilvl w:val="0"/>
          <w:numId w:val="7"/>
        </w:numPr>
        <w:tabs>
          <w:tab w:val="clear" w:pos="709"/>
          <w:tab w:val="left" w:pos="709" w:leader="none"/>
        </w:tabs>
        <w:bidi w:val="0"/>
        <w:ind w:hanging="283" w:start="709"/>
        <w:rPr/>
      </w:pPr>
      <w:r>
        <w:rPr>
          <w:b/>
        </w:rPr>
        <w:t>Cluster 3 — High-Competition Retail Core (17.1%):</w:t>
      </w:r>
      <w:r>
        <w:rPr/>
        <w:br/>
      </w:r>
      <w:r>
        <w:rPr>
          <w:i/>
        </w:rPr>
        <w:t>Avg Rent: ₹58,186 | Footfall: 6,264 | Competitors: 8.1</w:t>
      </w:r>
      <w:r>
        <w:rPr/>
        <w:br/>
        <w:t>Dense retail corridors characterized by strong customer gravity but aggressive competitor saturation.</w:t>
      </w:r>
    </w:p>
    <w:p>
      <w:pPr>
        <w:pStyle w:val="HorizontalLine"/>
        <w:bidi w:val="0"/>
        <w:rPr/>
      </w:pPr>
      <w:r>
        <w:rPr/>
      </w:r>
    </w:p>
    <w:p>
      <w:pPr>
        <w:pStyle w:val="Heading2"/>
        <w:bidi w:val="0"/>
        <w:ind w:hanging="0" w:start="0"/>
        <w:rPr/>
      </w:pPr>
      <w:r>
        <w:rPr/>
        <w:t>7. Multi-Criteria Suitability Scoring Engine</w:t>
      </w:r>
    </w:p>
    <w:p>
      <w:pPr>
        <w:pStyle w:val="BodyText"/>
        <w:bidi w:val="0"/>
        <w:rPr/>
      </w:pPr>
      <w:r>
        <w:rPr/>
        <w:t>The normalized scoring engine synthesizes predictive outputs with financial constraints: $$S = w_D D + w_A A + w_F F + w_P P + w_C C + w_R R$$</w:t>
      </w:r>
    </w:p>
    <w:p>
      <w:pPr>
        <w:pStyle w:val="Heading3"/>
        <w:bidi w:val="0"/>
        <w:ind w:hanging="0" w:start="0"/>
        <w:rPr/>
      </w:pPr>
      <w:r>
        <w:rPr/>
        <w:t>Sub-Score Definitions:</w:t>
      </w:r>
    </w:p>
    <w:p>
      <w:pPr>
        <w:pStyle w:val="BodyText"/>
        <w:numPr>
          <w:ilvl w:val="0"/>
          <w:numId w:val="8"/>
        </w:numPr>
        <w:tabs>
          <w:tab w:val="clear" w:pos="709"/>
          <w:tab w:val="left" w:pos="709" w:leader="none"/>
        </w:tabs>
        <w:bidi w:val="0"/>
        <w:ind w:hanging="283" w:start="709"/>
        <w:rPr/>
      </w:pPr>
      <w:r>
        <w:rPr>
          <w:b/>
        </w:rPr>
        <w:t>Demand Score ($D \in [0, 100]$):</w:t>
      </w:r>
      <w:r>
        <w:rPr/>
        <w:t xml:space="preserve"> Predicted daily customer count normalized to category max.</w:t>
      </w:r>
    </w:p>
    <w:p>
      <w:pPr>
        <w:pStyle w:val="BodyText"/>
        <w:numPr>
          <w:ilvl w:val="0"/>
          <w:numId w:val="8"/>
        </w:numPr>
        <w:tabs>
          <w:tab w:val="clear" w:pos="709"/>
          <w:tab w:val="left" w:pos="709" w:leader="none"/>
        </w:tabs>
        <w:bidi w:val="0"/>
        <w:ind w:hanging="283" w:start="709"/>
        <w:rPr/>
      </w:pPr>
      <w:r>
        <w:rPr>
          <w:b/>
        </w:rPr>
        <w:t>Accessibility ($A \in [0, 100]$):</w:t>
      </w:r>
      <w:r>
        <w:rPr/>
        <w:t xml:space="preserve"> $10 \times \text{accessibility_score}$.</w:t>
      </w:r>
    </w:p>
    <w:p>
      <w:pPr>
        <w:pStyle w:val="BodyText"/>
        <w:numPr>
          <w:ilvl w:val="0"/>
          <w:numId w:val="8"/>
        </w:numPr>
        <w:tabs>
          <w:tab w:val="clear" w:pos="709"/>
          <w:tab w:val="left" w:pos="709" w:leader="none"/>
        </w:tabs>
        <w:bidi w:val="0"/>
        <w:ind w:hanging="283" w:start="709"/>
        <w:rPr/>
      </w:pPr>
      <w:r>
        <w:rPr>
          <w:b/>
        </w:rPr>
        <w:t>Footfall ($F \in [0, 100]$):</w:t>
      </w:r>
      <w:r>
        <w:rPr/>
        <w:t xml:space="preserve"> Normalized pedestrian flow.</w:t>
      </w:r>
    </w:p>
    <w:p>
      <w:pPr>
        <w:pStyle w:val="BodyText"/>
        <w:numPr>
          <w:ilvl w:val="0"/>
          <w:numId w:val="8"/>
        </w:numPr>
        <w:tabs>
          <w:tab w:val="clear" w:pos="709"/>
          <w:tab w:val="left" w:pos="709" w:leader="none"/>
        </w:tabs>
        <w:bidi w:val="0"/>
        <w:ind w:hanging="283" w:start="709"/>
        <w:rPr/>
      </w:pPr>
      <w:r>
        <w:rPr>
          <w:b/>
        </w:rPr>
        <w:t>Parking &amp; Transit ($P \in [0, 100]$):</w:t>
      </w:r>
      <w:r>
        <w:rPr/>
        <w:t xml:space="preserve"> Composite vehicle and public transit index.</w:t>
      </w:r>
    </w:p>
    <w:p>
      <w:pPr>
        <w:pStyle w:val="BodyText"/>
        <w:numPr>
          <w:ilvl w:val="0"/>
          <w:numId w:val="8"/>
        </w:numPr>
        <w:tabs>
          <w:tab w:val="clear" w:pos="709"/>
          <w:tab w:val="left" w:pos="709" w:leader="none"/>
        </w:tabs>
        <w:bidi w:val="0"/>
        <w:ind w:hanging="283" w:start="709"/>
        <w:rPr/>
      </w:pPr>
      <w:r>
        <w:rPr>
          <w:b/>
        </w:rPr>
        <w:t>Competition Opportunity ($C \in [0, 100]$):</w:t>
      </w:r>
      <w:r>
        <w:rPr/>
        <w:t xml:space="preserve"> Inverted competition saturation penalty.</w:t>
      </w:r>
    </w:p>
    <w:p>
      <w:pPr>
        <w:pStyle w:val="BodyText"/>
        <w:numPr>
          <w:ilvl w:val="0"/>
          <w:numId w:val="8"/>
        </w:numPr>
        <w:tabs>
          <w:tab w:val="clear" w:pos="709"/>
          <w:tab w:val="left" w:pos="709" w:leader="none"/>
        </w:tabs>
        <w:bidi w:val="0"/>
        <w:ind w:hanging="283" w:start="709"/>
        <w:rPr/>
      </w:pPr>
      <w:r>
        <w:rPr>
          <w:b/>
        </w:rPr>
        <w:t>Rent Affordability ($R \in [0, 100]$):</w:t>
      </w:r>
      <w:r>
        <w:rPr/>
        <w:t xml:space="preserve"> Piecewise affordability curve based on user monthly budget $B$: $$R = 100 \times \max\left(0, 1 - \frac{\text{Rent}}{1.3 \times B}\right) \quad \text{for } \text{Rent} \le B$$</w:t>
      </w:r>
    </w:p>
    <w:p>
      <w:pPr>
        <w:pStyle w:val="HorizontalLine"/>
        <w:bidi w:val="0"/>
        <w:rPr/>
      </w:pPr>
      <w:r>
        <w:rPr/>
      </w:r>
    </w:p>
    <w:p>
      <w:pPr>
        <w:pStyle w:val="Heading2"/>
        <w:bidi w:val="0"/>
        <w:ind w:hanging="0" w:start="0"/>
        <w:rPr/>
      </w:pPr>
      <w:r>
        <w:rPr/>
        <w:t>8. Streamlit Dashboard Implementation</w:t>
      </w:r>
    </w:p>
    <w:p>
      <w:pPr>
        <w:pStyle w:val="BodyText"/>
        <w:bidi w:val="0"/>
        <w:rPr/>
      </w:pPr>
      <w:r>
        <w:rPr/>
        <w:t>The web application (</w:t>
      </w:r>
      <w:r>
        <w:rPr>
          <w:rFonts w:ascii="Liberation Mono" w:hAnsi="Liberation Mono"/>
        </w:rPr>
        <w:t>app.py</w:t>
      </w:r>
      <w:r>
        <w:rPr/>
        <w:t>) provides a responsive decision dashboard:</w:t>
      </w:r>
    </w:p>
    <w:p>
      <w:pPr>
        <w:pStyle w:val="BodyText"/>
        <w:numPr>
          <w:ilvl w:val="0"/>
          <w:numId w:val="9"/>
        </w:numPr>
        <w:tabs>
          <w:tab w:val="clear" w:pos="709"/>
          <w:tab w:val="left" w:pos="709" w:leader="none"/>
        </w:tabs>
        <w:bidi w:val="0"/>
        <w:ind w:hanging="283" w:start="709"/>
        <w:rPr/>
      </w:pPr>
      <w:r>
        <w:rPr>
          <w:b/>
        </w:rPr>
        <w:t>Interactive Controls:</w:t>
      </w:r>
      <w:r>
        <w:rPr/>
        <w:t xml:space="preserve"> Industry dropdown, Bhopal neighborhood filter, interactive rent budget slider, and customizable criteria weight controls.</w:t>
      </w:r>
    </w:p>
    <w:p>
      <w:pPr>
        <w:pStyle w:val="BodyText"/>
        <w:numPr>
          <w:ilvl w:val="0"/>
          <w:numId w:val="9"/>
        </w:numPr>
        <w:tabs>
          <w:tab w:val="clear" w:pos="709"/>
          <w:tab w:val="left" w:pos="709" w:leader="none"/>
        </w:tabs>
        <w:bidi w:val="0"/>
        <w:ind w:hanging="283" w:start="709"/>
        <w:rPr/>
      </w:pPr>
      <w:r>
        <w:rPr>
          <w:b/>
        </w:rPr>
        <w:t>KPI Metrics:</w:t>
      </w:r>
      <w:r>
        <w:rPr/>
        <w:t xml:space="preserve"> Immediate visibility into top recommended site, score, within-budget availability, and projected customer volume.</w:t>
      </w:r>
    </w:p>
    <w:p>
      <w:pPr>
        <w:pStyle w:val="BodyText"/>
        <w:numPr>
          <w:ilvl w:val="0"/>
          <w:numId w:val="9"/>
        </w:numPr>
        <w:tabs>
          <w:tab w:val="clear" w:pos="709"/>
          <w:tab w:val="left" w:pos="709" w:leader="none"/>
        </w:tabs>
        <w:bidi w:val="0"/>
        <w:ind w:hanging="283" w:start="709"/>
        <w:rPr/>
      </w:pPr>
      <w:r>
        <w:rPr>
          <w:b/>
        </w:rPr>
        <w:t>Interactive Folium Geospatial Map:</w:t>
      </w:r>
      <w:r>
        <w:rPr/>
        <w:t xml:space="preserve"> Custom markers indicating cluster groups and gold stars highlighting top recommendations.</w:t>
      </w:r>
    </w:p>
    <w:p>
      <w:pPr>
        <w:pStyle w:val="BodyText"/>
        <w:numPr>
          <w:ilvl w:val="0"/>
          <w:numId w:val="9"/>
        </w:numPr>
        <w:tabs>
          <w:tab w:val="clear" w:pos="709"/>
          <w:tab w:val="left" w:pos="709" w:leader="none"/>
        </w:tabs>
        <w:bidi w:val="0"/>
        <w:ind w:hanging="283" w:start="709"/>
        <w:rPr/>
      </w:pPr>
      <w:r>
        <w:rPr>
          <w:b/>
        </w:rPr>
        <w:t>Plotly Visual Explanations:</w:t>
      </w:r>
      <w:r>
        <w:rPr/>
        <w:t xml:space="preserve"> 6-axis radar charts for trade-off analysis and Rent vs. Demand bubble scatter plots.</w:t>
      </w:r>
    </w:p>
    <w:p>
      <w:pPr>
        <w:pStyle w:val="BodyText"/>
        <w:numPr>
          <w:ilvl w:val="0"/>
          <w:numId w:val="9"/>
        </w:numPr>
        <w:tabs>
          <w:tab w:val="clear" w:pos="709"/>
          <w:tab w:val="left" w:pos="709" w:leader="none"/>
        </w:tabs>
        <w:bidi w:val="0"/>
        <w:ind w:hanging="283" w:start="709"/>
        <w:rPr/>
      </w:pPr>
      <w:r>
        <w:rPr>
          <w:b/>
        </w:rPr>
        <w:t>Export Facility:</w:t>
      </w:r>
      <w:r>
        <w:rPr/>
        <w:t xml:space="preserve"> One-click CSV export of complete ranked candidates.</w:t>
      </w:r>
    </w:p>
    <w:p>
      <w:pPr>
        <w:pStyle w:val="HorizontalLine"/>
        <w:bidi w:val="0"/>
        <w:rPr/>
      </w:pPr>
      <w:r>
        <w:rPr/>
      </w:r>
    </w:p>
    <w:p>
      <w:pPr>
        <w:pStyle w:val="Heading2"/>
        <w:bidi w:val="0"/>
        <w:ind w:hanging="0" w:start="0"/>
        <w:rPr/>
      </w:pPr>
      <w:r>
        <w:rPr/>
        <w:t>9. Responsible AI &amp; Limitations</w:t>
      </w:r>
    </w:p>
    <w:p>
      <w:pPr>
        <w:pStyle w:val="BodyText"/>
        <w:numPr>
          <w:ilvl w:val="0"/>
          <w:numId w:val="10"/>
        </w:numPr>
        <w:tabs>
          <w:tab w:val="clear" w:pos="709"/>
          <w:tab w:val="left" w:pos="709" w:leader="none"/>
        </w:tabs>
        <w:bidi w:val="0"/>
        <w:ind w:hanging="283" w:start="709"/>
        <w:rPr/>
      </w:pPr>
      <w:r>
        <w:rPr>
          <w:b/>
        </w:rPr>
        <w:t>Synthetic Nature of Training Data:</w:t>
      </w:r>
      <w:r>
        <w:rPr/>
        <w:t xml:space="preserve"> As mandated by the project guidelines, synthetic data demonstrates software workflow and statistical modeling capability; it does not substitute for real-world verified historical cash flows.</w:t>
      </w:r>
    </w:p>
    <w:p>
      <w:pPr>
        <w:pStyle w:val="BodyText"/>
        <w:numPr>
          <w:ilvl w:val="0"/>
          <w:numId w:val="10"/>
        </w:numPr>
        <w:tabs>
          <w:tab w:val="clear" w:pos="709"/>
          <w:tab w:val="left" w:pos="709" w:leader="none"/>
        </w:tabs>
        <w:bidi w:val="0"/>
        <w:ind w:hanging="283" w:start="709"/>
        <w:rPr/>
      </w:pPr>
      <w:r>
        <w:rPr>
          <w:b/>
        </w:rPr>
        <w:t>Dynamic Urban Shifts:</w:t>
      </w:r>
      <w:r>
        <w:rPr/>
        <w:t xml:space="preserve"> Physical footfall is susceptible to weather, macro seasonality, and infrastructure construction not captured in static models.</w:t>
      </w:r>
    </w:p>
    <w:p>
      <w:pPr>
        <w:pStyle w:val="BodyText"/>
        <w:numPr>
          <w:ilvl w:val="0"/>
          <w:numId w:val="10"/>
        </w:numPr>
        <w:tabs>
          <w:tab w:val="clear" w:pos="709"/>
          <w:tab w:val="left" w:pos="709" w:leader="none"/>
        </w:tabs>
        <w:bidi w:val="0"/>
        <w:ind w:hanging="283" w:start="709"/>
        <w:rPr/>
      </w:pPr>
      <w:r>
        <w:rPr>
          <w:b/>
        </w:rPr>
        <w:t>Decision Support, Not Financial Guarantee:</w:t>
      </w:r>
      <w:r>
        <w:rPr/>
        <w:t xml:space="preserve"> Model recommendations should be utilized as initial screening intelligence alongside legal due diligence, title verification, and on-site inspection.</w:t>
      </w:r>
    </w:p>
    <w:p>
      <w:pPr>
        <w:pStyle w:val="HorizontalLine"/>
        <w:bidi w:val="0"/>
        <w:rPr/>
      </w:pPr>
      <w:r>
        <w:rPr/>
      </w:r>
    </w:p>
    <w:p>
      <w:pPr>
        <w:pStyle w:val="Heading2"/>
        <w:bidi w:val="0"/>
        <w:ind w:hanging="0" w:start="0"/>
        <w:rPr/>
      </w:pPr>
      <w:r>
        <w:rPr/>
        <w:t>10. Conclusion &amp; Future Work</w:t>
      </w:r>
    </w:p>
    <w:p>
      <w:pPr>
        <w:pStyle w:val="BodyText"/>
        <w:bidi w:val="0"/>
        <w:rPr/>
      </w:pPr>
      <w:r>
        <w:rPr/>
        <w:t>This project proves that integrating supervised machine learning, unsupervised clustering, and MCDA scoring creates a robust, interpretable platform for retail location analysis. Future extensions will integrate live OpenStreetMap POI APIs, satellite computer vision for storefront quality analysis, and real-time pedestrian mobility feeds.</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