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40E648" w14:textId="77777777" w:rsidR="00902B86" w:rsidRDefault="00000000">
      <w:pPr>
        <w:pStyle w:val="Title"/>
      </w:pPr>
      <w:r>
        <w:t>Data Privacy in Wearable Health Devices: Evolution of Security Architectures for Real-Time Monitoring</w:t>
      </w:r>
    </w:p>
    <w:p w14:paraId="49CF42B4" w14:textId="77777777" w:rsidR="00902B86" w:rsidRDefault="00000000">
      <w:pPr>
        <w:spacing w:after="120"/>
        <w:jc w:val="center"/>
      </w:pPr>
      <w:r>
        <w:t>Kanishka Verma</w:t>
      </w:r>
    </w:p>
    <w:p w14:paraId="2F3ED878" w14:textId="77777777" w:rsidR="00902B86" w:rsidRDefault="00000000">
      <w:pPr>
        <w:spacing w:after="120"/>
        <w:jc w:val="center"/>
      </w:pPr>
      <w:r>
        <w:t>Computer Architecture and Systems D794</w:t>
      </w:r>
    </w:p>
    <w:p w14:paraId="19034EB6" w14:textId="77777777" w:rsidR="00902B86" w:rsidRDefault="00000000">
      <w:pPr>
        <w:spacing w:after="240"/>
        <w:jc w:val="center"/>
      </w:pPr>
      <w:r>
        <w:t>RPN1 Evolution Evaluation Research Paper</w:t>
      </w:r>
    </w:p>
    <w:p w14:paraId="2EEF4ACD" w14:textId="77777777" w:rsidR="00902B86" w:rsidRDefault="00000000">
      <w:pPr>
        <w:pStyle w:val="Heading1"/>
      </w:pPr>
      <w:r>
        <w:t>Abstract</w:t>
      </w:r>
    </w:p>
    <w:p w14:paraId="2D15542B" w14:textId="77777777" w:rsidR="00902B86" w:rsidRDefault="00000000">
      <w:pPr>
        <w:spacing w:after="240"/>
      </w:pPr>
      <w:r>
        <w:t>This paper examines privacy and security in wearable health devices (fitness bands, smart rings, ECG patches, and related sensors). It traces how security architectures have evolved to strike a balance between timely clinical insights and patient privacy. Drawing on recent peer-reviewed work (2023–2025), it argues that privacy has moved from an afterthought to an architectural property, one that requires coherent protections from the radio link through device enclaves to cloud analytics. The paper provides a formal threat model, a taxonomy that maps defenses to guarantees and costs, a deployment checklist, and a brief experimental plan to support reproducibility. It concludes with ethical considerations and future directions, including federated-by-default paradigms and post-quantum readiness.</w:t>
      </w:r>
    </w:p>
    <w:p w14:paraId="264ACA38" w14:textId="77777777" w:rsidR="00902B86" w:rsidRDefault="00000000">
      <w:pPr>
        <w:pStyle w:val="Heading1"/>
      </w:pPr>
      <w:r>
        <w:t>A. Topic Selection</w:t>
      </w:r>
    </w:p>
    <w:p w14:paraId="1E3C7C98" w14:textId="77777777" w:rsidR="00902B86" w:rsidRDefault="00000000">
      <w:pPr>
        <w:spacing w:after="240"/>
      </w:pPr>
      <w:r>
        <w:t xml:space="preserve">This paper studies the security and data privacy architecture of wearable health devices (an IoMT subdomain) with an emphasis on real-time monitoring pipelines (sensor → radio/BLE → phone/gateway → enclave → cloud). This topic aligns perfectly with our current studies in computer architecture and systems, directly addressing cybersecurity and privacy issues, </w:t>
      </w:r>
      <w:proofErr w:type="gramStart"/>
      <w:r>
        <w:t>and also</w:t>
      </w:r>
      <w:proofErr w:type="gramEnd"/>
      <w:r>
        <w:t xml:space="preserve"> connects to healthcare technology, one of the areas highlighted in the assignment guidelines.</w:t>
      </w:r>
    </w:p>
    <w:p w14:paraId="11849A2E" w14:textId="77777777" w:rsidR="00902B86" w:rsidRDefault="00000000">
      <w:pPr>
        <w:pStyle w:val="Heading1"/>
      </w:pPr>
      <w:r>
        <w:t>Threat Model and Assumptions</w:t>
      </w:r>
    </w:p>
    <w:p w14:paraId="271B8AB7" w14:textId="77777777" w:rsidR="00902B86" w:rsidRDefault="00000000">
      <w:pPr>
        <w:spacing w:after="120"/>
      </w:pPr>
      <w:r>
        <w:t>To consistently evaluate defenses, we adopt the following concise threat model. Attacker types:</w:t>
      </w:r>
    </w:p>
    <w:p w14:paraId="66A54434" w14:textId="77777777" w:rsidR="00902B86" w:rsidRDefault="00000000">
      <w:pPr>
        <w:pStyle w:val="ListParagraph"/>
        <w:numPr>
          <w:ilvl w:val="0"/>
          <w:numId w:val="2"/>
        </w:numPr>
      </w:pPr>
      <w:r>
        <w:t>Passive eavesdropper: can sniff radio traffic (BLE advertising/scans) but cannot modify devices.</w:t>
      </w:r>
    </w:p>
    <w:p w14:paraId="6D3661CB" w14:textId="77777777" w:rsidR="00902B86" w:rsidRDefault="00000000">
      <w:pPr>
        <w:pStyle w:val="ListParagraph"/>
        <w:numPr>
          <w:ilvl w:val="0"/>
          <w:numId w:val="2"/>
        </w:numPr>
      </w:pPr>
      <w:r>
        <w:t>Active network attacker (MITM): can perform pairing downgrades, replay, and injection when links are vulnerable.</w:t>
      </w:r>
    </w:p>
    <w:p w14:paraId="5A529FF5" w14:textId="77777777" w:rsidR="00902B86" w:rsidRDefault="00000000">
      <w:pPr>
        <w:pStyle w:val="ListParagraph"/>
        <w:numPr>
          <w:ilvl w:val="0"/>
          <w:numId w:val="2"/>
        </w:numPr>
      </w:pPr>
      <w:r>
        <w:t>Compromised device owner or rootkit: complete local control of a wearable or companion phone.</w:t>
      </w:r>
    </w:p>
    <w:p w14:paraId="2ECF538B" w14:textId="77777777" w:rsidR="00902B86" w:rsidRDefault="00000000">
      <w:pPr>
        <w:pStyle w:val="ListParagraph"/>
        <w:numPr>
          <w:ilvl w:val="0"/>
          <w:numId w:val="2"/>
        </w:numPr>
      </w:pPr>
      <w:r>
        <w:t>Malicious participant in federated learning (model poisoning): participates in distributed training to bias the global model.</w:t>
      </w:r>
    </w:p>
    <w:p w14:paraId="62C4D7A8" w14:textId="77777777" w:rsidR="00902B86" w:rsidRDefault="00000000">
      <w:pPr>
        <w:pStyle w:val="ListParagraph"/>
        <w:numPr>
          <w:ilvl w:val="0"/>
          <w:numId w:val="2"/>
        </w:numPr>
      </w:pPr>
      <w:r>
        <w:t>Manufacturer insider/supply-chain attacker: can alter firmware before shipping.</w:t>
      </w:r>
    </w:p>
    <w:p w14:paraId="349231E8" w14:textId="77777777" w:rsidR="00902B86" w:rsidRDefault="00000000">
      <w:pPr>
        <w:spacing w:before="120" w:after="240"/>
      </w:pPr>
      <w:r>
        <w:t>I am working under a few key assumptions here: the devices in this system have varying levels of computing power, ranging from basic microcontrollers with limited resources to full application processors. Some devices or gateways may have Trusted Execution Environments (TEE) built in, while others do not. As for the cloud servers, I am treating them as honest-but-curious, meaning they will follow protocols correctly. However, they might try to snoop on data unless we implement attestation or secure aggregation to keep things locked down.</w:t>
      </w:r>
    </w:p>
    <w:p w14:paraId="67915E01" w14:textId="77777777" w:rsidR="00902B86" w:rsidRDefault="00000000">
      <w:pPr>
        <w:pStyle w:val="Heading1"/>
      </w:pPr>
      <w:r>
        <w:lastRenderedPageBreak/>
        <w:t>B. Security Considerations: Advantages and Challenges</w:t>
      </w:r>
    </w:p>
    <w:p w14:paraId="4ED04C91" w14:textId="77777777" w:rsidR="00902B86" w:rsidRDefault="00000000">
      <w:pPr>
        <w:spacing w:after="240"/>
      </w:pPr>
      <w:r>
        <w:t xml:space="preserve">Architectural choices confer different security advantages. On-device feature extraction and preprocessing reduce the exposure of raw </w:t>
      </w:r>
      <w:proofErr w:type="spellStart"/>
      <w:r>
        <w:t>biosignals</w:t>
      </w:r>
      <w:proofErr w:type="spellEnd"/>
      <w:r>
        <w:t>, thereby limiting the data surface that is transmitted to the phone or cloud. Hardware roots-of-trust and Trusted Execution Environments (TEEs) isolate keys and sensitive inference code, protecting secrets against local compromise and providing a basis for remote attestation. Federated learning and secure aggregation enable us to improve models across a whole population without ever pooling the raw data, thereby reducing the risk of a mass leak. That promise is not just theoretical; recent healthcare reviews and real-world deployments of trusted hardware support it.</w:t>
      </w:r>
    </w:p>
    <w:p w14:paraId="28162859" w14:textId="77777777" w:rsidR="00902B86" w:rsidRDefault="00000000">
      <w:pPr>
        <w:pStyle w:val="Heading1"/>
      </w:pPr>
      <w:r>
        <w:t>C. Known Vulnerabilities and Future Security Issues</w:t>
      </w:r>
    </w:p>
    <w:p w14:paraId="7516B7B8" w14:textId="77777777" w:rsidR="00902B86" w:rsidRDefault="00000000">
      <w:pPr>
        <w:spacing w:after="240"/>
      </w:pPr>
      <w:r>
        <w:t xml:space="preserve">Even with advances in architecture, system-level flaws remain. Audits of consumer health devices repeatedly find BLE (Bluetooth Low Energy) problems, including unencrypted advertising traffic, predictable pairing steps, and exposed control endpoints that enable </w:t>
      </w:r>
      <w:proofErr w:type="spellStart"/>
      <w:r>
        <w:t>linkability</w:t>
      </w:r>
      <w:proofErr w:type="spellEnd"/>
      <w:r>
        <w:t>, replay, and battery-drain attacks. Formal protocol studies also demonstrate that gaps in BLE identifier rotation enable long-term tracking, even when payloads are encrypted. In federated learning, the shared model stays vulnerable to model inversion and poisoning if client integrity or update validation is weak. Recent experimental and formal work reports the same issues (Cook et al., 2024; Wu et al., 2024; Abbas et al., 2024).</w:t>
      </w:r>
    </w:p>
    <w:p w14:paraId="03930270" w14:textId="77777777" w:rsidR="00902B86" w:rsidRDefault="00000000">
      <w:pPr>
        <w:pStyle w:val="Heading1"/>
      </w:pPr>
      <w:r>
        <w:t>D. Computing Systems: Advantages and Challenges</w:t>
      </w:r>
    </w:p>
    <w:p w14:paraId="39D12814" w14:textId="77777777" w:rsidR="00902B86" w:rsidRDefault="00000000">
      <w:pPr>
        <w:spacing w:after="240"/>
      </w:pPr>
      <w:r>
        <w:t>Modern systems often split the workload: simple devices handle data at the source, and a phone or gateway secures it before sending it to the cloud for heavy-duty analysis. This edge-processing approach is faster, more efficient, and better for privacy because it requires less raw data to travel across the network.</w:t>
      </w:r>
    </w:p>
    <w:p w14:paraId="27FB533F" w14:textId="77777777" w:rsidR="00902B86" w:rsidRDefault="00000000">
      <w:pPr>
        <w:spacing w:after="240"/>
      </w:pPr>
      <w:r>
        <w:t>The challenge, however, lies in handling large numbers of of heterogeneous devices, making sure each one boots and updates safely, while also spreading encryption keys across huge networks. These issues arise in recent medical studies, such as those from Rancea's team (2024) or Paju's group (2023), where researchers must balance on-site data handling with demands for unified control and personal privacy.</w:t>
      </w:r>
      <w:proofErr w:type="spellStart"/>
      <w:r/>
      <w:proofErr w:type="spellEnd"/>
      <w:r/>
    </w:p>
    <w:p w14:paraId="6FB55267" w14:textId="77777777" w:rsidR="00902B86" w:rsidRDefault="00000000">
      <w:pPr>
        <w:pStyle w:val="Heading1"/>
      </w:pPr>
      <w:r>
        <w:t>E. Sustainability and Reliability</w:t>
      </w:r>
    </w:p>
    <w:p w14:paraId="1A27344E" w14:textId="77777777" w:rsidR="00902B86" w:rsidRDefault="00000000">
      <w:pPr>
        <w:spacing w:after="240"/>
      </w:pPr>
      <w:r>
        <w:t>Energy consumption and reliability are central to wearable design. Constant telemetry, excessive network communication, and frequent notifications increase energy use and create privacy risks through unnecessary transmissions. Energy-aware cryptography and adaptive sampling (on-device inference and batching encrypted uploads) reduce both power consumption and data exposure. When it comes to dependability, safe step-by-step upgrades, such as those that are signed and resist rollbacks or use delta changes, keep devices running without risking safety. Meanwhile, watchdog systems, along with dual partition setups, also help. Lately, real-world studies have measured the power consumption of common fitness apps, advocating instead for eco-friendly models built around user privacy from the outset (Almasri et al., 2024).</w:t>
      </w:r>
    </w:p>
    <w:p w14:paraId="6D0E439D" w14:textId="77777777" w:rsidR="00902B86" w:rsidRDefault="00000000">
      <w:pPr>
        <w:pStyle w:val="Heading1"/>
      </w:pPr>
      <w:r>
        <w:t>F. Technological and Theoretical Advancements</w:t>
      </w:r>
    </w:p>
    <w:p w14:paraId="5744CF7A" w14:textId="77777777" w:rsidR="00902B86" w:rsidRDefault="00000000">
      <w:pPr>
        <w:spacing w:after="240"/>
      </w:pPr>
      <w:r>
        <w:lastRenderedPageBreak/>
        <w:t xml:space="preserve">Three intertwined advances shape current designs. First, federated learning tailored for health increasingly combines secure aggregation with differential privacy to limit server visibility into client updates. Second, </w:t>
      </w:r>
      <w:proofErr w:type="spellStart"/>
      <w:r>
        <w:t>SoK</w:t>
      </w:r>
      <w:proofErr w:type="spellEnd"/>
      <w:r>
        <w:t xml:space="preserve">-style reviews on TEEs clarify embedded enclave patterns, attestation, and key isolation, which are critical for trustworthy edge inference. Third, nascent post-quantum and attestation-ready architectures (and lightweight dual-attestation for </w:t>
      </w:r>
      <w:proofErr w:type="spellStart"/>
      <w:r>
        <w:t>TinyML</w:t>
      </w:r>
      <w:proofErr w:type="spellEnd"/>
      <w:r>
        <w:t xml:space="preserve">) address long device lifetimes and model integrity. While promising, these approaches involve </w:t>
      </w:r>
      <w:proofErr w:type="spellStart"/>
      <w:r>
        <w:t>tradeoffs</w:t>
      </w:r>
      <w:proofErr w:type="spellEnd"/>
      <w:r>
        <w:t xml:space="preserve"> in utility, compute, and energy; designers must balance epsilon budgets, attestation overhead, and model accuracy (Abbas et al., 2024; Paju et al., 2023; Baciu et al., 2025).</w:t>
      </w:r>
    </w:p>
    <w:p w14:paraId="05D85550" w14:textId="77777777" w:rsidR="00902B86" w:rsidRDefault="00000000">
      <w:pPr>
        <w:pStyle w:val="Heading1"/>
      </w:pPr>
      <w:r>
        <w:t>G. Evolution: Key Milestones and Shifts</w:t>
      </w:r>
    </w:p>
    <w:p w14:paraId="574D974E" w14:textId="77777777" w:rsidR="00902B86" w:rsidRDefault="00000000">
      <w:pPr>
        <w:spacing w:after="120"/>
      </w:pPr>
      <w:r>
        <w:t>The trajectory of wearable privacy architectures can be read as successive milestones:</w:t>
      </w:r>
    </w:p>
    <w:p w14:paraId="56B282D8" w14:textId="77777777" w:rsidR="00902B86" w:rsidRDefault="00000000">
      <w:r>
        <w:rPr>
          <w:b/>
          <w:bCs/>
        </w:rPr>
        <w:t>Cloud-centric era:</w:t>
      </w:r>
      <w:r>
        <w:t xml:space="preserve"> raw sensor telemetry centralized for processing; basic TLS and app permissions, but limited link-layer privacy.</w:t>
      </w:r>
    </w:p>
    <w:p w14:paraId="19528DCF" w14:textId="77777777" w:rsidR="00902B86" w:rsidRDefault="00000000">
      <w:r>
        <w:rPr>
          <w:b/>
          <w:bCs/>
        </w:rPr>
        <w:t>Link-layer hardening:</w:t>
      </w:r>
      <w:r>
        <w:t xml:space="preserve"> adoption of BLE Secure Connections and improved pairing models (partial mitigation of eavesdropping and pairing attacks).</w:t>
      </w:r>
    </w:p>
    <w:p w14:paraId="0F1702E9" w14:textId="77777777" w:rsidR="00902B86" w:rsidRDefault="00000000">
      <w:r>
        <w:rPr>
          <w:b/>
          <w:bCs/>
        </w:rPr>
        <w:t>Edge analytics and TEEs:</w:t>
      </w:r>
      <w:r>
        <w:t xml:space="preserve"> on-device preprocessing and enclave-based key isolation enable confidential edge AI and device attestation.</w:t>
      </w:r>
    </w:p>
    <w:p w14:paraId="00D76DC7" w14:textId="77777777" w:rsidR="00902B86" w:rsidRDefault="00000000">
      <w:r>
        <w:rPr>
          <w:b/>
          <w:bCs/>
        </w:rPr>
        <w:t>Privacy-preserving cross-site learning:</w:t>
      </w:r>
      <w:r>
        <w:t xml:space="preserve"> Federated learning with secure aggregation and differential privacy reduces central exposure of raw data.</w:t>
      </w:r>
    </w:p>
    <w:p w14:paraId="639B298E" w14:textId="77777777" w:rsidR="00902B86" w:rsidRDefault="00000000">
      <w:pPr>
        <w:spacing w:after="120"/>
      </w:pPr>
      <w:r>
        <w:rPr>
          <w:b/>
          <w:bCs/>
        </w:rPr>
        <w:t>Post-quantum and auditable consent:</w:t>
      </w:r>
      <w:r>
        <w:t xml:space="preserve"> emerging work on PQC migration and blockchain-inspired consent/audit frameworks for long-lived devices.</w:t>
      </w:r>
    </w:p>
    <w:p w14:paraId="52962A9E" w14:textId="77777777" w:rsidR="00902B86" w:rsidRDefault="00000000">
      <w:pPr>
        <w:spacing w:after="240"/>
      </w:pPr>
      <w:r>
        <w:t xml:space="preserve">Recent surveys and formal BLE analyses have consolidated these shifts, marking privacy as an architectural requirement (Wu et al., 2024; </w:t>
      </w:r>
      <w:proofErr w:type="spellStart"/>
      <w:r>
        <w:t>Rancea</w:t>
      </w:r>
      <w:proofErr w:type="spellEnd"/>
      <w:r>
        <w:t xml:space="preserve"> et al., 2024; Zhang et al., 2025).</w:t>
      </w:r>
    </w:p>
    <w:p w14:paraId="65EDC244" w14:textId="77777777" w:rsidR="00902B86" w:rsidRDefault="00000000">
      <w:pPr>
        <w:spacing w:before="120" w:after="120"/>
      </w:pPr>
      <w:r>
        <w:rPr>
          <w:b/>
          <w:bCs/>
        </w:rPr>
        <w:t>Timeline (selected milestones)</w:t>
      </w:r>
    </w:p>
    <w:p w14:paraId="6D42A6DB" w14:textId="77777777" w:rsidR="00902B86" w:rsidRDefault="00000000">
      <w:r>
        <w:rPr>
          <w:b/>
          <w:bCs/>
        </w:rPr>
        <w:t xml:space="preserve">Approx. Year: </w:t>
      </w:r>
      <w:r>
        <w:t>~2010–2016</w:t>
      </w:r>
    </w:p>
    <w:p w14:paraId="31081EF0" w14:textId="77777777" w:rsidR="00902B86" w:rsidRDefault="00000000">
      <w:pPr>
        <w:spacing w:after="120"/>
      </w:pPr>
      <w:r>
        <w:rPr>
          <w:b/>
          <w:bCs/>
        </w:rPr>
        <w:t xml:space="preserve">Milestone: </w:t>
      </w:r>
      <w:r>
        <w:t>Cloud-centric telemetry and basic TLS/app models</w:t>
      </w:r>
    </w:p>
    <w:p w14:paraId="1F97AEF0" w14:textId="77777777" w:rsidR="00902B86" w:rsidRDefault="00000000">
      <w:r>
        <w:rPr>
          <w:b/>
          <w:bCs/>
        </w:rPr>
        <w:t xml:space="preserve">Approx. Year: </w:t>
      </w:r>
      <w:r>
        <w:t>~2016–2020</w:t>
      </w:r>
    </w:p>
    <w:p w14:paraId="191EE72F" w14:textId="77777777" w:rsidR="00902B86" w:rsidRDefault="00000000">
      <w:pPr>
        <w:spacing w:after="120"/>
      </w:pPr>
      <w:r>
        <w:rPr>
          <w:b/>
          <w:bCs/>
        </w:rPr>
        <w:t xml:space="preserve">Milestone: </w:t>
      </w:r>
      <w:r>
        <w:t>BLE Secure Connections and improved pairing</w:t>
      </w:r>
    </w:p>
    <w:p w14:paraId="5197C02D" w14:textId="77777777" w:rsidR="00902B86" w:rsidRDefault="00000000">
      <w:r>
        <w:rPr>
          <w:b/>
          <w:bCs/>
        </w:rPr>
        <w:t xml:space="preserve">Approx. Year: </w:t>
      </w:r>
      <w:r>
        <w:t>~2020–2022</w:t>
      </w:r>
    </w:p>
    <w:p w14:paraId="45B470D7" w14:textId="77777777" w:rsidR="00902B86" w:rsidRDefault="00000000">
      <w:pPr>
        <w:spacing w:after="120"/>
      </w:pPr>
      <w:r>
        <w:rPr>
          <w:b/>
          <w:bCs/>
        </w:rPr>
        <w:t xml:space="preserve">Milestone: </w:t>
      </w:r>
      <w:r>
        <w:t xml:space="preserve">Edge analytics and </w:t>
      </w:r>
      <w:proofErr w:type="spellStart"/>
      <w:r>
        <w:t>TinyML</w:t>
      </w:r>
      <w:proofErr w:type="spellEnd"/>
      <w:r>
        <w:t xml:space="preserve"> emerge</w:t>
      </w:r>
    </w:p>
    <w:p w14:paraId="3659B090" w14:textId="77777777" w:rsidR="00902B86" w:rsidRDefault="00000000">
      <w:r>
        <w:rPr>
          <w:b/>
          <w:bCs/>
        </w:rPr>
        <w:t xml:space="preserve">Approx. Year: </w:t>
      </w:r>
      <w:r>
        <w:t>2022–2024</w:t>
      </w:r>
    </w:p>
    <w:p w14:paraId="29D75097" w14:textId="77777777" w:rsidR="00902B86" w:rsidRDefault="00000000">
      <w:r>
        <w:rPr>
          <w:b/>
          <w:bCs/>
        </w:rPr>
        <w:t xml:space="preserve">Milestone: </w:t>
      </w:r>
      <w:r>
        <w:t>Federated learning + DP + secure aggregation gains traction</w:t>
      </w:r>
    </w:p>
    <w:p w14:paraId="443B873F" w14:textId="77777777" w:rsidR="00902B86" w:rsidRDefault="00000000">
      <w:pPr>
        <w:spacing w:after="120"/>
      </w:pPr>
      <w:r>
        <w:rPr>
          <w:b/>
          <w:bCs/>
        </w:rPr>
        <w:t xml:space="preserve">Representative citation: </w:t>
      </w:r>
      <w:r>
        <w:t>Abbas et al., 2024</w:t>
      </w:r>
    </w:p>
    <w:p w14:paraId="3AC06649" w14:textId="77777777" w:rsidR="00902B86" w:rsidRDefault="00000000">
      <w:r>
        <w:rPr>
          <w:b/>
          <w:bCs/>
        </w:rPr>
        <w:t xml:space="preserve">Approx. Year: </w:t>
      </w:r>
      <w:r>
        <w:t>2023–2025</w:t>
      </w:r>
    </w:p>
    <w:p w14:paraId="0220D5AA" w14:textId="77777777" w:rsidR="00902B86" w:rsidRDefault="00000000">
      <w:r>
        <w:rPr>
          <w:b/>
          <w:bCs/>
        </w:rPr>
        <w:t xml:space="preserve">Milestone: </w:t>
      </w:r>
      <w:r>
        <w:t xml:space="preserve">TEE </w:t>
      </w:r>
      <w:proofErr w:type="spellStart"/>
      <w:r>
        <w:t>SoK</w:t>
      </w:r>
      <w:proofErr w:type="spellEnd"/>
      <w:r>
        <w:t>, formal BLE traceability analyses, PQC experiments</w:t>
      </w:r>
    </w:p>
    <w:p w14:paraId="40B197C0" w14:textId="77777777" w:rsidR="00902B86" w:rsidRDefault="00000000">
      <w:pPr>
        <w:spacing w:after="240"/>
      </w:pPr>
      <w:r>
        <w:rPr>
          <w:b/>
          <w:bCs/>
        </w:rPr>
        <w:t xml:space="preserve">Representative citation: </w:t>
      </w:r>
      <w:r>
        <w:t>Paju et al., 2023; Wu et al., 2024; Baciu et al., 2025</w:t>
      </w:r>
    </w:p>
    <w:p w14:paraId="7817750B" w14:textId="77777777" w:rsidR="00902B86" w:rsidRDefault="00000000">
      <w:pPr>
        <w:pStyle w:val="Heading1"/>
      </w:pPr>
      <w:r>
        <w:t>H. Future Considerations and Continual Evolution</w:t>
      </w:r>
    </w:p>
    <w:p w14:paraId="36F2251A" w14:textId="77777777" w:rsidR="00902B86" w:rsidRDefault="00000000">
      <w:pPr>
        <w:spacing w:after="240"/>
      </w:pPr>
      <w:r>
        <w:t>Three key architectural shifts will shape future systems. First, federated-by-default training architectures with configurable privacy budgets and periodic secure aggregation will become standard practice for neural-signal and physiological models. Second, hybrid cryptographic schemes that combine classical and post-quantum algorithms, with carefully designed migration paths and backward compatibility mechanisms, will be essential for devices with decade-long lifecycles. Third, attestation frameworks will extend beyond identity verification to encompass firmware state, model version validation, and runtime integrity checks before accepting telemetry or permitting updates. These directions are supported by emerging architectures that explore post-quantum cryptography, consent management, and audit trails in medical device ecosystems (Ravisankar &amp; Maheswar, 2025; Sabrina et al., 2024).</w:t>
      </w:r>
      <w:r/>
    </w:p>
    <w:p w14:paraId="028624E6" w14:textId="77777777" w:rsidR="00902B86" w:rsidRDefault="00000000">
      <w:pPr>
        <w:pStyle w:val="Heading1"/>
      </w:pPr>
      <w:r>
        <w:t>I. Ethical Considerations</w:t>
      </w:r>
    </w:p>
    <w:p w14:paraId="6F4245D9" w14:textId="518D3559" w:rsidR="00902B86" w:rsidRDefault="00000000">
      <w:pPr>
        <w:spacing w:after="240"/>
      </w:pPr>
      <w:r>
        <w:t xml:space="preserve">Robust encryption alone is insufficient to address ethical concerns. Because wearables change how care is delivered, sometimes encroaching on personal freedom, they may enable monitoring of dangers while widening gaps when underserved groups lack access to technology or safeguards. Real-world ethics require fine-tuned permissions that people can revoke at any time, clear boundaries on how data is used, control </w:t>
      </w:r>
      <w:proofErr w:type="gramStart"/>
      <w:r>
        <w:t>over staying</w:t>
      </w:r>
      <w:proofErr w:type="gramEnd"/>
      <w:r>
        <w:t xml:space="preserve"> with users, and open records that allow challenges to assumptions and sharing of choices. </w:t>
      </w:r>
      <w:r w:rsidR="004C67DC">
        <w:t>Recent</w:t>
      </w:r>
      <w:r>
        <w:t xml:space="preserve">ly, </w:t>
      </w:r>
      <w:r w:rsidR="004C67DC">
        <w:t>extensive</w:t>
      </w:r>
      <w:r>
        <w:t xml:space="preserve"> research s</w:t>
      </w:r>
      <w:r w:rsidR="004C67DC">
        <w:t>tudie</w:t>
      </w:r>
      <w:r>
        <w:t xml:space="preserve">s have highlighted </w:t>
      </w:r>
      <w:r w:rsidR="004C67DC">
        <w:t>these</w:t>
      </w:r>
      <w:r>
        <w:t xml:space="preserve"> societal downsides, urging the development of oversight systems </w:t>
      </w:r>
      <w:r w:rsidR="004C67DC">
        <w:t>centered on</w:t>
      </w:r>
      <w:r>
        <w:t xml:space="preserve"> fairness and respect for </w:t>
      </w:r>
      <w:r w:rsidR="004C67DC">
        <w:t>individual</w:t>
      </w:r>
      <w:r>
        <w:t>s (</w:t>
      </w:r>
      <w:proofErr w:type="spellStart"/>
      <w:r>
        <w:t>Capulli</w:t>
      </w:r>
      <w:proofErr w:type="spellEnd"/>
      <w:r>
        <w:t xml:space="preserve"> et al., 2025; Sun et al., 2024; Sui et al., 2023).</w:t>
      </w:r>
    </w:p>
    <w:p w14:paraId="5C7E7BCF" w14:textId="77777777" w:rsidR="00902B86" w:rsidRDefault="00000000">
      <w:pPr>
        <w:pStyle w:val="Heading1"/>
      </w:pPr>
      <w:r>
        <w:t>J. Reproducibility, Deployment Checklist, and Recommendations</w:t>
      </w:r>
    </w:p>
    <w:p w14:paraId="7B60AD35" w14:textId="77777777" w:rsidR="00902B86" w:rsidRDefault="00000000">
      <w:pPr>
        <w:spacing w:after="120"/>
      </w:pPr>
      <w:r>
        <w:t>To support evaluation and operationalization, researchers and implementers should follow a short checklist:</w:t>
      </w:r>
    </w:p>
    <w:p w14:paraId="46E1B181" w14:textId="3DB84430" w:rsidR="00902B86" w:rsidRDefault="00000000">
      <w:pPr>
        <w:pStyle w:val="ListParagraph"/>
        <w:numPr>
          <w:ilvl w:val="0"/>
          <w:numId w:val="2"/>
        </w:numPr>
      </w:pPr>
      <w:r>
        <w:t xml:space="preserve">Document and publish datasets (or synthetic equivalents) and training scripts to </w:t>
      </w:r>
      <w:r w:rsidR="004C67DC">
        <w:t>facilitate the</w:t>
      </w:r>
      <w:r>
        <w:t xml:space="preserve"> reproduction</w:t>
      </w:r>
      <w:r w:rsidR="004C67DC">
        <w:t xml:space="preserve"> of FL</w:t>
      </w:r>
      <w:r>
        <w:t>.</w:t>
      </w:r>
    </w:p>
    <w:p w14:paraId="5B63873D" w14:textId="77777777" w:rsidR="00902B86" w:rsidRDefault="00000000">
      <w:pPr>
        <w:pStyle w:val="ListParagraph"/>
        <w:numPr>
          <w:ilvl w:val="0"/>
          <w:numId w:val="2"/>
        </w:numPr>
      </w:pPr>
      <w:r>
        <w:t>Implement secure boot, signed updates, rollback protection, and key rotation for lifecycle security.</w:t>
      </w:r>
    </w:p>
    <w:p w14:paraId="14482626" w14:textId="7C360967" w:rsidR="00902B86" w:rsidRDefault="00000000">
      <w:pPr>
        <w:pStyle w:val="ListParagraph"/>
        <w:numPr>
          <w:ilvl w:val="0"/>
          <w:numId w:val="2"/>
        </w:numPr>
      </w:pPr>
      <w:r>
        <w:t>Use remote attestation before accepting model updates</w:t>
      </w:r>
      <w:r w:rsidR="004C67DC">
        <w:t xml:space="preserve"> and</w:t>
      </w:r>
      <w:r>
        <w:t xml:space="preserve"> record attestation events for audit</w:t>
      </w:r>
      <w:r w:rsidR="004C67DC">
        <w:t xml:space="preserve"> purposes</w:t>
      </w:r>
      <w:r>
        <w:t>.</w:t>
      </w:r>
    </w:p>
    <w:p w14:paraId="2EEC445E" w14:textId="4D335E75" w:rsidR="00902B86" w:rsidRDefault="00000000">
      <w:pPr>
        <w:pStyle w:val="ListParagraph"/>
        <w:numPr>
          <w:ilvl w:val="0"/>
          <w:numId w:val="2"/>
        </w:numPr>
      </w:pPr>
      <w:r>
        <w:t>Prefer on-device preprocessing and batch-encrypted uploads to minimize exposure</w:t>
      </w:r>
      <w:r w:rsidR="004C67DC">
        <w:t xml:space="preserve"> to raw data</w:t>
      </w:r>
      <w:r>
        <w:t>.</w:t>
      </w:r>
    </w:p>
    <w:p w14:paraId="39078558" w14:textId="04A6E72D" w:rsidR="00902B86" w:rsidRDefault="00000000">
      <w:pPr>
        <w:pStyle w:val="ListParagraph"/>
        <w:numPr>
          <w:ilvl w:val="0"/>
          <w:numId w:val="2"/>
        </w:numPr>
        <w:spacing w:after="120"/>
      </w:pPr>
      <w:r>
        <w:t xml:space="preserve">Adopt energy-aware cryptography and adaptive sampling to </w:t>
      </w:r>
      <w:r w:rsidR="004C67DC">
        <w:t xml:space="preserve">strike a </w:t>
      </w:r>
      <w:r>
        <w:t xml:space="preserve">balance </w:t>
      </w:r>
      <w:r w:rsidR="004C67DC">
        <w:t xml:space="preserve">between </w:t>
      </w:r>
      <w:r>
        <w:t>privacy and sustainability.</w:t>
      </w:r>
    </w:p>
    <w:p w14:paraId="70934779" w14:textId="77777777" w:rsidR="00902B86" w:rsidRDefault="00000000">
      <w:pPr>
        <w:spacing w:after="120"/>
      </w:pPr>
      <w:r>
        <w:t>Suggested small experiments to include in future or extended work:</w:t>
      </w:r>
    </w:p>
    <w:p w14:paraId="5D29EA3C" w14:textId="77777777" w:rsidR="00902B86" w:rsidRDefault="00000000">
      <w:pPr>
        <w:spacing w:after="120"/>
      </w:pPr>
      <w:r>
        <w:t xml:space="preserve">BLE </w:t>
      </w:r>
      <w:proofErr w:type="spellStart"/>
      <w:r>
        <w:t>linkability</w:t>
      </w:r>
      <w:proofErr w:type="spellEnd"/>
      <w:r>
        <w:t xml:space="preserve"> measurement across several consumer devices to quantify traceability risk.</w:t>
      </w:r>
    </w:p>
    <w:p w14:paraId="2C0BF49D" w14:textId="77777777" w:rsidR="00902B86" w:rsidRDefault="00000000">
      <w:pPr>
        <w:spacing w:after="120"/>
      </w:pPr>
      <w:r>
        <w:t>TEE microbenchmarks on representative MCUs to measure attestation, memory, latency, and energy overheads for on-device inference.</w:t>
      </w:r>
    </w:p>
    <w:p w14:paraId="61B3E554" w14:textId="77777777" w:rsidR="00902B86" w:rsidRDefault="00000000">
      <w:pPr>
        <w:spacing w:after="240"/>
      </w:pPr>
      <w:r>
        <w:t xml:space="preserve">A simulated federated learning pilot on </w:t>
      </w:r>
      <w:proofErr w:type="spellStart"/>
      <w:r>
        <w:t>biosignal</w:t>
      </w:r>
      <w:proofErr w:type="spellEnd"/>
      <w:r>
        <w:t xml:space="preserve"> splits to measure utility vs. DP epsilon and robust aggregation efficacy under poisoning attacks.</w:t>
      </w:r>
    </w:p>
    <w:p w14:paraId="4D71AD7E" w14:textId="77777777" w:rsidR="00902B86" w:rsidRDefault="00000000">
      <w:pPr>
        <w:pStyle w:val="Heading1"/>
      </w:pPr>
      <w:r>
        <w:t>References (APA 7th)</w:t>
      </w:r>
    </w:p>
    <w:p w14:paraId="1D199CC8" w14:textId="77777777" w:rsidR="00902B86" w:rsidRDefault="00000000">
      <w:pPr>
        <w:spacing w:after="120"/>
      </w:pPr>
      <w:r>
        <w:t xml:space="preserve">Abbas, S. R., Abbas, Z., Zahir, A., &amp; Lee, S. W. (2024). Federated learning in smart healthcare: A comprehensive review on privacy, security, and predictive analytics </w:t>
      </w:r>
      <w:r>
        <w:lastRenderedPageBreak/>
        <w:t xml:space="preserve">with IoT integration. </w:t>
      </w:r>
      <w:r>
        <w:rPr>
          <w:i/>
          <w:iCs/>
        </w:rPr>
        <w:t>Healthcare</w:t>
      </w:r>
      <w:r>
        <w:t>, 12(24), 2587. https://doi.org/10.3390/healthcare12242587</w:t>
      </w:r>
    </w:p>
    <w:p w14:paraId="7AA06E9B" w14:textId="20BE917B" w:rsidR="00902B86" w:rsidRDefault="00000000">
      <w:pPr>
        <w:spacing w:after="120"/>
      </w:pPr>
      <w:r>
        <w:t xml:space="preserve">Almasri, A., Rios, J., Dallas, J., Kramer, K., &amp; Karpinski, A. C. (2024). Evaluating the energy efficiency of popular US smartphone healthcare apps: </w:t>
      </w:r>
      <w:r w:rsidR="004C67DC">
        <w:t>A c</w:t>
      </w:r>
      <w:r>
        <w:t xml:space="preserve">omparative analysis study toward sustainable health and nutrition app practices. </w:t>
      </w:r>
      <w:r>
        <w:rPr>
          <w:i/>
          <w:iCs/>
        </w:rPr>
        <w:t>JMIR Human Factors</w:t>
      </w:r>
      <w:r>
        <w:t>, 11, e58311. https://doi.org/10.2196/58311</w:t>
      </w:r>
    </w:p>
    <w:p w14:paraId="77C03B39" w14:textId="77777777" w:rsidR="00902B86" w:rsidRDefault="00000000">
      <w:pPr>
        <w:spacing w:after="120"/>
      </w:pPr>
      <w:r>
        <w:t xml:space="preserve">Baciu, V.-E., </w:t>
      </w:r>
      <w:proofErr w:type="spellStart"/>
      <w:r>
        <w:t>Braeken</w:t>
      </w:r>
      <w:proofErr w:type="spellEnd"/>
      <w:r>
        <w:t xml:space="preserve">, A., Segers, L., &amp; da Silva, B. (2025). Secure Tiny Machine Learning on edge devices: A lightweight dual attestation mechanism for machine learning. </w:t>
      </w:r>
      <w:r>
        <w:rPr>
          <w:i/>
          <w:iCs/>
        </w:rPr>
        <w:t>Future Internet</w:t>
      </w:r>
      <w:r>
        <w:t>, 17(2), 85. https://doi.org/10.3390/fi17020085</w:t>
      </w:r>
    </w:p>
    <w:p w14:paraId="24ACF0C5" w14:textId="77777777" w:rsidR="00902B86" w:rsidRDefault="00000000">
      <w:pPr>
        <w:spacing w:after="120"/>
      </w:pPr>
      <w:r>
        <w:t xml:space="preserve">Capulli, E., Druda, Y., Palmese, F., Butt, A. H., </w:t>
      </w:r>
      <w:proofErr w:type="spellStart"/>
      <w:r>
        <w:t>Domenicali</w:t>
      </w:r>
      <w:proofErr w:type="spellEnd"/>
      <w:r>
        <w:t xml:space="preserve">, M., Macchiarelli, A. G., Silvani, A., </w:t>
      </w:r>
      <w:proofErr w:type="spellStart"/>
      <w:r>
        <w:t>Bedogni</w:t>
      </w:r>
      <w:proofErr w:type="spellEnd"/>
      <w:r>
        <w:t xml:space="preserve">, G., &amp; </w:t>
      </w:r>
      <w:proofErr w:type="spellStart"/>
      <w:r>
        <w:t>Ingravallo</w:t>
      </w:r>
      <w:proofErr w:type="spellEnd"/>
      <w:r>
        <w:t xml:space="preserve">, F. (2025). Ethical and legal implications of health monitoring wearable devices: A scoping review. </w:t>
      </w:r>
      <w:r>
        <w:rPr>
          <w:i/>
          <w:iCs/>
        </w:rPr>
        <w:t>Social Science &amp; Medicine</w:t>
      </w:r>
      <w:r>
        <w:t>, 370, 117685. https://doi.org/10.1016/j.socscimed.2025.117685</w:t>
      </w:r>
    </w:p>
    <w:p w14:paraId="199D812C" w14:textId="11034133" w:rsidR="00902B86" w:rsidRDefault="00000000">
      <w:pPr>
        <w:spacing w:after="120"/>
      </w:pPr>
      <w:r>
        <w:t>Cook, S., Mehrnezhad, M., &amp; Toreini, E. (2024). Bluetooth security analysis of general and intimate health IoT devices and apps: The Case of FemTech. International Journal of Information Security, 23(6), 3547–3567. https://doi.org/10.1007/s10207-024-00883-3</w:t>
      </w:r>
      <w:proofErr w:type="spellStart"/>
      <w:r/>
      <w:proofErr w:type="spellEnd"/>
      <w:r/>
      <w:proofErr w:type="spellStart"/>
      <w:r/>
      <w:proofErr w:type="spellEnd"/>
      <w:r/>
      <w:proofErr w:type="spellStart"/>
      <w:r w:rsidR="004C67DC"/>
      <w:proofErr w:type="spellEnd"/>
      <w:r w:rsidR="004C67DC"/>
      <w:r/>
      <w:r w:rsidR="004C67DC"/>
      <w:r/>
      <w:proofErr w:type="spellStart"/>
      <w:r w:rsidR="004C67DC"/>
      <w:r/>
      <w:proofErr w:type="spellEnd"/>
      <w:r/>
      <w:r w:rsidR="004C67DC"/>
      <w:r/>
      <w:proofErr w:type="spellStart"/>
      <w:r/>
      <w:proofErr w:type="spellEnd"/>
      <w:r/>
      <w:r>
        <w:rPr>
          <w:i/>
          <w:iCs/>
        </w:rPr>
      </w:r>
      <w:r/>
    </w:p>
    <w:p w14:paraId="4A713306" w14:textId="77777777" w:rsidR="00902B86" w:rsidRDefault="00000000">
      <w:pPr>
        <w:spacing w:after="120"/>
      </w:pPr>
      <w:r>
        <w:t xml:space="preserve">Paju, A., Javed, M. O., Nurmi, J., </w:t>
      </w:r>
      <w:proofErr w:type="spellStart"/>
      <w:r>
        <w:t>Savimäki</w:t>
      </w:r>
      <w:proofErr w:type="spellEnd"/>
      <w:r>
        <w:t xml:space="preserve">, J., </w:t>
      </w:r>
      <w:proofErr w:type="spellStart"/>
      <w:r>
        <w:t>McGillion</w:t>
      </w:r>
      <w:proofErr w:type="spellEnd"/>
      <w:r>
        <w:t xml:space="preserve">, B. B., &amp; Brumley, B. B. (2023). </w:t>
      </w:r>
      <w:proofErr w:type="spellStart"/>
      <w:r>
        <w:t>SoK</w:t>
      </w:r>
      <w:proofErr w:type="spellEnd"/>
      <w:r>
        <w:t xml:space="preserve">: A systematic review of TEE usage for developing trusted applications. In </w:t>
      </w:r>
      <w:r>
        <w:rPr>
          <w:i/>
          <w:iCs/>
        </w:rPr>
        <w:t>Proceedings of the 18th International Conference on Availability, Reliability and Security (ARES'23)</w:t>
      </w:r>
      <w:r>
        <w:t>. https://doi.org/10.1145/3600160.3600169</w:t>
      </w:r>
    </w:p>
    <w:p w14:paraId="73BF564D" w14:textId="77777777" w:rsidR="00902B86" w:rsidRDefault="00000000">
      <w:pPr>
        <w:spacing w:after="120"/>
      </w:pPr>
      <w:proofErr w:type="spellStart"/>
      <w:r>
        <w:t>Rancea</w:t>
      </w:r>
      <w:proofErr w:type="spellEnd"/>
      <w:r>
        <w:t xml:space="preserve">, A., Anghel, I., &amp; Cioara, T. (2024). Edge computing in healthcare: Innovations, opportunities, and challenges. </w:t>
      </w:r>
      <w:r>
        <w:rPr>
          <w:i/>
          <w:iCs/>
        </w:rPr>
        <w:t>Future Internet</w:t>
      </w:r>
      <w:r>
        <w:t>, 16(9), 329. https://doi.org/10.3390/fi16090329</w:t>
      </w:r>
    </w:p>
    <w:p w14:paraId="0E5EC21C" w14:textId="77777777" w:rsidR="00902B86" w:rsidRDefault="00000000">
      <w:pPr>
        <w:spacing w:after="120"/>
      </w:pPr>
      <w:r>
        <w:t xml:space="preserve">Ravisankar, S., &amp; Maheswar, R. (2025). </w:t>
      </w:r>
      <w:proofErr w:type="spellStart"/>
      <w:r>
        <w:t>SecureEdge-MedChain</w:t>
      </w:r>
      <w:proofErr w:type="spellEnd"/>
      <w:r>
        <w:t xml:space="preserve">: A post-quantum blockchain and federated learning framework for real-time predictive diagnostics in IoMT. </w:t>
      </w:r>
      <w:r>
        <w:rPr>
          <w:i/>
          <w:iCs/>
        </w:rPr>
        <w:t>Sensors</w:t>
      </w:r>
      <w:r>
        <w:t>, 25(19), 5988. https://doi.org/10.3390/s25195988</w:t>
      </w:r>
    </w:p>
    <w:p w14:paraId="6449627E" w14:textId="77777777" w:rsidR="00902B86" w:rsidRDefault="00000000">
      <w:pPr>
        <w:spacing w:after="120"/>
      </w:pPr>
      <w:r>
        <w:t xml:space="preserve">Sabrina, F., Sohail, S., &amp; Tariq, U. U. (2024). A review of post-quantum privacy preservation for IoMT using blockchain. </w:t>
      </w:r>
      <w:r>
        <w:rPr>
          <w:i/>
          <w:iCs/>
        </w:rPr>
        <w:t>Electronics</w:t>
      </w:r>
      <w:r>
        <w:t>, 13(15), 2962. https://doi.org/10.3390/electronics13152962</w:t>
      </w:r>
    </w:p>
    <w:p w14:paraId="6E54700F" w14:textId="087BBEBB" w:rsidR="00902B86" w:rsidRDefault="00000000">
      <w:pPr>
        <w:spacing w:after="120"/>
      </w:pPr>
      <w:r>
        <w:t>Sun, L., Yang, B., Kindt, E., &amp; Chu, J. (2024). Privacy barriers in health monitoring: Scoping review. JMIR Nursing, 7, e53592. https://doi.org/10.2196/53592</w:t>
      </w:r>
      <w:proofErr w:type="spellStart"/>
      <w:r/>
      <w:r w:rsidR="004C67DC"/>
      <w:proofErr w:type="spellEnd"/>
      <w:r/>
      <w:proofErr w:type="spellStart"/>
      <w:r/>
      <w:r w:rsidR="004C67DC"/>
      <w:proofErr w:type="spellEnd"/>
      <w:r w:rsidR="004C67DC"/>
      <w:r/>
      <w:proofErr w:type="spellStart"/>
      <w:proofErr w:type="gramStart"/>
      <w:r/>
      <w:r w:rsidR="004C67DC"/>
      <w:proofErr w:type="spellEnd"/>
      <w:r w:rsidR="004C67DC"/>
      <w:r/>
      <w:proofErr w:type="gramEnd"/>
      <w:r/>
      <w:proofErr w:type="spellStart"/>
      <w:r/>
      <w:r w:rsidR="004C67DC"/>
      <w:proofErr w:type="spellEnd"/>
      <w:r/>
      <w:r>
        <w:rPr>
          <w:i/>
          <w:iCs/>
        </w:rPr>
      </w:r>
      <w:r/>
    </w:p>
    <w:p w14:paraId="385BEC0E" w14:textId="77777777" w:rsidR="00902B86" w:rsidRDefault="00000000">
      <w:pPr>
        <w:spacing w:after="120"/>
      </w:pPr>
      <w:r>
        <w:t xml:space="preserve">Sui, A., Sui, W., Liu, S., &amp; Rhodes, R. E. (2023). Ethical considerations for the use of consumer wearables in health research. </w:t>
      </w:r>
      <w:r>
        <w:rPr>
          <w:i/>
          <w:iCs/>
        </w:rPr>
        <w:t>Digital Health</w:t>
      </w:r>
      <w:r>
        <w:t>, 9, 20552076231153740. https://doi.org/10.1177/20552076231153740</w:t>
      </w:r>
    </w:p>
    <w:p w14:paraId="397BB1A0" w14:textId="77777777" w:rsidR="00902B86" w:rsidRDefault="00000000">
      <w:pPr>
        <w:spacing w:after="120"/>
      </w:pPr>
      <w:r>
        <w:t xml:space="preserve">Wu, J., Traynor, P., Xu, D., Tian, D. J., &amp; Bianchi, A. (2024). Finding traceability attacks in the Bluetooth Low Energy specification and its implementations. In </w:t>
      </w:r>
      <w:r>
        <w:rPr>
          <w:i/>
          <w:iCs/>
        </w:rPr>
        <w:t>Proceedings of the 33rd USENIX Security Symposium</w:t>
      </w:r>
      <w:r>
        <w:t>. https://www.usenix.org/conference/usenixsecurity24/presentation/wu-jianliang</w:t>
      </w:r>
    </w:p>
    <w:p w14:paraId="595A071D" w14:textId="77777777" w:rsidR="00902B86" w:rsidRDefault="00000000">
      <w:r>
        <w:t xml:space="preserve">Zhang, B., Chen, C., Lee, I., Lee, K., &amp; Ong, K.-L. (2025). A survey on security and privacy issues in wearable health monitoring devices. </w:t>
      </w:r>
      <w:r>
        <w:rPr>
          <w:i/>
          <w:iCs/>
        </w:rPr>
        <w:t>Computers &amp; Security</w:t>
      </w:r>
      <w:r>
        <w:t>, 155, 104453. https://doi.org/10.1016/j.cose.2025.104453</w:t>
      </w:r>
    </w:p>
    <w:sectPr w:rsidR="00902B8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3836C17"/>
    <w:multiLevelType w:val="hybridMultilevel"/>
    <w:tmpl w:val="FC82AAEC"/>
    <w:lvl w:ilvl="0" w:tplc="AE9AC18E">
      <w:start w:val="1"/>
      <w:numFmt w:val="bullet"/>
      <w:lvlText w:val="•"/>
      <w:lvlJc w:val="left"/>
      <w:pPr>
        <w:ind w:left="720" w:hanging="360"/>
      </w:pPr>
    </w:lvl>
    <w:lvl w:ilvl="1" w:tplc="0496421E">
      <w:numFmt w:val="decimal"/>
      <w:lvlText w:val=""/>
      <w:lvlJc w:val="left"/>
    </w:lvl>
    <w:lvl w:ilvl="2" w:tplc="EED60BC0">
      <w:numFmt w:val="decimal"/>
      <w:lvlText w:val=""/>
      <w:lvlJc w:val="left"/>
    </w:lvl>
    <w:lvl w:ilvl="3" w:tplc="1520ADFC">
      <w:numFmt w:val="decimal"/>
      <w:lvlText w:val=""/>
      <w:lvlJc w:val="left"/>
    </w:lvl>
    <w:lvl w:ilvl="4" w:tplc="26108C98">
      <w:numFmt w:val="decimal"/>
      <w:lvlText w:val=""/>
      <w:lvlJc w:val="left"/>
    </w:lvl>
    <w:lvl w:ilvl="5" w:tplc="433CE40A">
      <w:numFmt w:val="decimal"/>
      <w:lvlText w:val=""/>
      <w:lvlJc w:val="left"/>
    </w:lvl>
    <w:lvl w:ilvl="6" w:tplc="D9704DA2">
      <w:numFmt w:val="decimal"/>
      <w:lvlText w:val=""/>
      <w:lvlJc w:val="left"/>
    </w:lvl>
    <w:lvl w:ilvl="7" w:tplc="B0DC9DC0">
      <w:numFmt w:val="decimal"/>
      <w:lvlText w:val=""/>
      <w:lvlJc w:val="left"/>
    </w:lvl>
    <w:lvl w:ilvl="8" w:tplc="6394BF52">
      <w:numFmt w:val="decimal"/>
      <w:lvlText w:val=""/>
      <w:lvlJc w:val="left"/>
    </w:lvl>
  </w:abstractNum>
  <w:abstractNum w:abstractNumId="1" w15:restartNumberingAfterBreak="0">
    <w:nsid w:val="69E6714C"/>
    <w:multiLevelType w:val="hybridMultilevel"/>
    <w:tmpl w:val="8F0E9DD2"/>
    <w:lvl w:ilvl="0" w:tplc="09A699CC">
      <w:start w:val="1"/>
      <w:numFmt w:val="bullet"/>
      <w:lvlText w:val="●"/>
      <w:lvlJc w:val="left"/>
      <w:pPr>
        <w:ind w:left="720" w:hanging="360"/>
      </w:pPr>
    </w:lvl>
    <w:lvl w:ilvl="1" w:tplc="B008A1F8">
      <w:start w:val="1"/>
      <w:numFmt w:val="bullet"/>
      <w:lvlText w:val="○"/>
      <w:lvlJc w:val="left"/>
      <w:pPr>
        <w:ind w:left="1440" w:hanging="360"/>
      </w:pPr>
    </w:lvl>
    <w:lvl w:ilvl="2" w:tplc="42787982">
      <w:start w:val="1"/>
      <w:numFmt w:val="bullet"/>
      <w:lvlText w:val="■"/>
      <w:lvlJc w:val="left"/>
      <w:pPr>
        <w:ind w:left="2160" w:hanging="360"/>
      </w:pPr>
    </w:lvl>
    <w:lvl w:ilvl="3" w:tplc="FF527EC2">
      <w:start w:val="1"/>
      <w:numFmt w:val="bullet"/>
      <w:lvlText w:val="●"/>
      <w:lvlJc w:val="left"/>
      <w:pPr>
        <w:ind w:left="2880" w:hanging="360"/>
      </w:pPr>
    </w:lvl>
    <w:lvl w:ilvl="4" w:tplc="50727A64">
      <w:start w:val="1"/>
      <w:numFmt w:val="bullet"/>
      <w:lvlText w:val="○"/>
      <w:lvlJc w:val="left"/>
      <w:pPr>
        <w:ind w:left="3600" w:hanging="360"/>
      </w:pPr>
    </w:lvl>
    <w:lvl w:ilvl="5" w:tplc="C1EE6E66">
      <w:start w:val="1"/>
      <w:numFmt w:val="bullet"/>
      <w:lvlText w:val="■"/>
      <w:lvlJc w:val="left"/>
      <w:pPr>
        <w:ind w:left="4320" w:hanging="360"/>
      </w:pPr>
    </w:lvl>
    <w:lvl w:ilvl="6" w:tplc="9E885DEA">
      <w:start w:val="1"/>
      <w:numFmt w:val="bullet"/>
      <w:lvlText w:val="●"/>
      <w:lvlJc w:val="left"/>
      <w:pPr>
        <w:ind w:left="5040" w:hanging="360"/>
      </w:pPr>
    </w:lvl>
    <w:lvl w:ilvl="7" w:tplc="4F3C4986">
      <w:start w:val="1"/>
      <w:numFmt w:val="bullet"/>
      <w:lvlText w:val="●"/>
      <w:lvlJc w:val="left"/>
      <w:pPr>
        <w:ind w:left="5760" w:hanging="360"/>
      </w:pPr>
    </w:lvl>
    <w:lvl w:ilvl="8" w:tplc="EAC8B086">
      <w:start w:val="1"/>
      <w:numFmt w:val="bullet"/>
      <w:lvlText w:val="●"/>
      <w:lvlJc w:val="left"/>
      <w:pPr>
        <w:ind w:left="6480" w:hanging="360"/>
      </w:pPr>
    </w:lvl>
  </w:abstractNum>
  <w:num w:numId="1" w16cid:durableId="1313363285">
    <w:abstractNumId w:val="1"/>
    <w:lvlOverride w:ilvl="0">
      <w:startOverride w:val="1"/>
    </w:lvlOverride>
  </w:num>
  <w:num w:numId="2" w16cid:durableId="182735424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2B86"/>
    <w:rsid w:val="004C67DC"/>
    <w:rsid w:val="0064257B"/>
    <w:rsid w:val="00902B8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4:docId w14:val="29CA5B0C"/>
  <w15:docId w15:val="{A946C7FA-2BDF-584A-816A-18F341799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000000"/>
      <w:sz w:val="28"/>
      <w:szCs w:val="28"/>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jc w:val="center"/>
    </w:pPr>
    <w:rPr>
      <w:b/>
      <w:bCs/>
      <w:color w:val="000000"/>
      <w:sz w:val="28"/>
      <w:szCs w:val="2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2124</Words>
  <Characters>12112</Characters>
  <Application>Microsoft Office Word</Application>
  <DocSecurity>0</DocSecurity>
  <Lines>100</Lines>
  <Paragraphs>28</Paragraphs>
  <ScaleCrop>false</ScaleCrop>
  <Company/>
  <LinksUpToDate>false</LinksUpToDate>
  <CharactersWithSpaces>14208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Kanishka Verma</cp:lastModifiedBy>
  <cp:revision>2</cp:revision>
  <dcterms:created xsi:type="dcterms:W3CDTF">2025-11-05T23:52:00Z</dcterms:created>
  <dcterms:modified xsi:type="dcterms:W3CDTF">2025-11-05T23:55:00Z</dcterms:modified>
</cp:coreProperties>
</file>