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dvmbzg4m5jwr" w:id="0"/>
      <w:bookmarkEnd w:id="0"/>
      <w:r w:rsidDel="00000000" w:rsidR="00000000" w:rsidRPr="00000000">
        <w:rPr>
          <w:sz w:val="34"/>
          <w:szCs w:val="34"/>
          <w:rtl w:val="0"/>
        </w:rPr>
        <w:t xml:space="preserve"> Proposed Solution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.4401901838949"/>
        <w:gridCol w:w="2167.468491358708"/>
        <w:gridCol w:w="6175.60312948102"/>
        <w:tblGridChange w:id="0">
          <w:tblGrid>
            <w:gridCol w:w="682.4401901838949"/>
            <w:gridCol w:w="2167.468491358708"/>
            <w:gridCol w:w="6175.603129481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Manual data import leads to errors, duplication, and improper relationship mapping, making data management inefficient in ServiceNow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 Import Sets and Transform Maps to automate data import and ensure proper relationship mapping, along with dot walking to display related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Combines automated data import with real-time relationship visibility using dot walking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Reduces manual effort, improves accuracy, and enhances user productivity and satisfaction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Can be implemented as part of enterprise ServiceNow solutions or offered as IT service automation enhancement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Easily scalable as it can handle large datasets and integrate with multiple external systems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nxDt7AYZeBwyXdYtMHIfd7YA6g==">CgMxLjAyDmguZHZtYnpnNG01andyOAByITE0cFRsaU1RQUlLaHhVSW5GbG9mSTVOR3dtRlZzUlZ6NA==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