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Here is the complete case law mapping for each of the 21 questions in your </w:t>
      </w:r>
      <w:r w:rsidDel="00000000" w:rsidR="00000000" w:rsidRPr="00000000">
        <w:rPr>
          <w:b w:val="1"/>
          <w:bCs w:val="1"/>
          <w:color w:val="1f1f1f"/>
          <w:rtl w:val="0"/>
        </w:rPr>
        <w:t xml:space="preserve">Article 14 Worksheet</w:t>
      </w:r>
      <w:r w:rsidDel="00000000" w:rsidR="00000000" w:rsidRPr="00000000">
        <w:rPr>
          <w:color w:val="1f1f1f"/>
          <w:rtl w:val="0"/>
        </w:rPr>
        <w:t xml:space="preserve">:</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bwr6p2684hrf" w:id="0"/>
      <w:bookmarkEnd w:id="0"/>
      <w:r w:rsidDel="00000000" w:rsidR="00000000" w:rsidRPr="00000000">
        <w:rPr>
          <w:b w:val="1"/>
          <w:bCs w:val="1"/>
          <w:color w:val="1f1f1f"/>
          <w:sz w:val="26"/>
          <w:szCs w:val="26"/>
          <w:rtl w:val="0"/>
        </w:rPr>
        <w:t xml:space="preserve">1. State Bombay v. F.N. Balsara (1951)</w:t>
      </w:r>
    </w:p>
    <w:p w:rsidR="00000000" w:rsidDel="00000000" w:rsidP="00000000" w:rsidRDefault="00000000" w:rsidRPr="00000000" w14:paraId="0000000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Reasonable classification under Article 14.</w:t>
      </w:r>
    </w:p>
    <w:p w:rsidR="00000000" w:rsidDel="00000000" w:rsidP="00000000" w:rsidRDefault="00000000" w:rsidRPr="00000000" w14:paraId="00000005">
      <w:pPr>
        <w:numPr>
          <w:ilvl w:val="0"/>
          <w:numId w:val="16"/>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Supreme Court upheld the exemption granted to military personnel and foreign visitors from the prohibition law (</w:t>
      </w:r>
      <w:r w:rsidDel="00000000" w:rsidR="00000000" w:rsidRPr="00000000">
        <w:rPr>
          <w:i w:val="1"/>
          <w:iCs w:val="1"/>
          <w:color w:val="1f1f1f"/>
          <w:rtl w:val="0"/>
        </w:rPr>
        <w:t xml:space="preserve">Bombay Prohibition Act, 1949</w:t>
      </w:r>
      <w:r w:rsidDel="00000000" w:rsidR="00000000" w:rsidRPr="00000000">
        <w:rPr>
          <w:color w:val="1f1f1f"/>
          <w:rtl w:val="0"/>
        </w:rPr>
        <w:t xml:space="preserve">), holding that defence personnel (due to discipline and service conditions) and tourists (due to transient status) form distinct, valid classes with an </w:t>
      </w:r>
      <w:r w:rsidDel="00000000" w:rsidR="00000000" w:rsidRPr="00000000">
        <w:rPr>
          <w:i w:val="1"/>
          <w:iCs w:val="1"/>
          <w:color w:val="1f1f1f"/>
          <w:rtl w:val="0"/>
        </w:rPr>
        <w:t xml:space="preserve">intelligible differentia</w:t>
      </w:r>
      <w:r w:rsidDel="00000000" w:rsidR="00000000" w:rsidRPr="00000000">
        <w:rPr>
          <w:color w:val="1f1f1f"/>
          <w:rtl w:val="0"/>
        </w:rPr>
        <w:t xml:space="preserve"> having a rational nexus to the law.</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73vozlsvxrkh" w:id="1"/>
      <w:bookmarkEnd w:id="1"/>
      <w:r w:rsidDel="00000000" w:rsidR="00000000" w:rsidRPr="00000000">
        <w:rPr>
          <w:b w:val="1"/>
          <w:bCs w:val="1"/>
          <w:color w:val="1f1f1f"/>
          <w:sz w:val="26"/>
          <w:szCs w:val="26"/>
          <w:rtl w:val="0"/>
        </w:rPr>
        <w:t xml:space="preserve">2. Motor General Traders v. State of Andhra Pradesh (1984)</w:t>
      </w:r>
    </w:p>
    <w:p w:rsidR="00000000" w:rsidDel="00000000" w:rsidP="00000000" w:rsidRDefault="00000000" w:rsidRPr="00000000" w14:paraId="0000000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Lapses of time making an initially valid classification arbitrary.</w:t>
      </w:r>
    </w:p>
    <w:p w:rsidR="00000000" w:rsidDel="00000000" w:rsidP="00000000" w:rsidRDefault="00000000" w:rsidRPr="00000000" w14:paraId="00000009">
      <w:pPr>
        <w:numPr>
          <w:ilvl w:val="0"/>
          <w:numId w:val="20"/>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Supreme Court held that while exempting new buildings from rent control to encourage construction is initially valid, continuing that exemption </w:t>
      </w:r>
      <w:r w:rsidDel="00000000" w:rsidR="00000000" w:rsidRPr="00000000">
        <w:rPr>
          <w:i w:val="1"/>
          <w:iCs w:val="1"/>
          <w:color w:val="1f1f1f"/>
          <w:rtl w:val="0"/>
        </w:rPr>
        <w:t xml:space="preserve">indefinitely</w:t>
      </w:r>
      <w:r w:rsidDel="00000000" w:rsidR="00000000" w:rsidRPr="00000000">
        <w:rPr>
          <w:color w:val="1f1f1f"/>
          <w:rtl w:val="0"/>
        </w:rPr>
        <w:t xml:space="preserve"> without a time limit becomes discriminatory and unreasonable over time, as older post-cutoff buildings no longer differ from pre-cutoff buildings.</w:t>
      </w:r>
    </w:p>
    <w:p w:rsidR="00000000" w:rsidDel="00000000" w:rsidP="00000000" w:rsidRDefault="00000000" w:rsidRPr="00000000" w14:paraId="000000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nbzzgodqrfb5" w:id="2"/>
      <w:bookmarkEnd w:id="2"/>
      <w:r w:rsidDel="00000000" w:rsidR="00000000" w:rsidRPr="00000000">
        <w:rPr>
          <w:b w:val="1"/>
          <w:bCs w:val="1"/>
          <w:color w:val="1f1f1f"/>
          <w:sz w:val="26"/>
          <w:szCs w:val="26"/>
          <w:rtl w:val="0"/>
        </w:rPr>
        <w:t xml:space="preserve">3. Jalan Trading Co. (Pvt.) Ltd. v. Mill Mazdoor Sabha (1967)</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Step-by-step or phased implementation of welfare legislation.</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legislature is not bound to extend a law to all establishments at once. It can classify based on size (e.g., 50+ workers) or sector (factories, transport) to address problems in phases based on administrative feasibility without violating Article 14.</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u29kei13y9tp" w:id="3"/>
      <w:bookmarkEnd w:id="3"/>
      <w:r w:rsidDel="00000000" w:rsidR="00000000" w:rsidRPr="00000000">
        <w:rPr>
          <w:b w:val="1"/>
          <w:bCs w:val="1"/>
          <w:color w:val="1f1f1f"/>
          <w:sz w:val="26"/>
          <w:szCs w:val="26"/>
          <w:rtl w:val="0"/>
        </w:rPr>
        <w:t xml:space="preserve">4. K.T. Moopil Nair v. State of Kerala (1961)</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Equal treatment of unequals (Equality in Taxation) &amp; Unguided Discretion.</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Imposing a uniform flat tax per acre without considering the productivity/income of the land treats unequally situated landowners as equal, resulting in discrimination. Furthermore, conferring unguided, unchanneled power to exempt "any land" grants arbitrary administrative power.</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i59uxmorye9h" w:id="4"/>
      <w:bookmarkEnd w:id="4"/>
      <w:r w:rsidDel="00000000" w:rsidR="00000000" w:rsidRPr="00000000">
        <w:rPr>
          <w:b w:val="1"/>
          <w:bCs w:val="1"/>
          <w:color w:val="1f1f1f"/>
          <w:sz w:val="26"/>
          <w:szCs w:val="26"/>
          <w:rtl w:val="0"/>
        </w:rPr>
        <w:t xml:space="preserve">5. D.S. Nakara v. Union of India (1983)</w:t>
      </w:r>
    </w:p>
    <w:p w:rsidR="00000000" w:rsidDel="00000000" w:rsidP="00000000" w:rsidRDefault="00000000" w:rsidRPr="00000000" w14:paraId="0000001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Cut-off dates creating arbitrary sub-classification within a homogeneous class.</w:t>
      </w:r>
    </w:p>
    <w:p w:rsidR="00000000" w:rsidDel="00000000" w:rsidP="00000000" w:rsidRDefault="00000000" w:rsidRPr="00000000" w14:paraId="00000015">
      <w:pPr>
        <w:numPr>
          <w:ilvl w:val="0"/>
          <w:numId w:val="18"/>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All retired government servants form a single homogeneous class. Creating an arbitrary cut-off date to deny revised, liberalized pension benefits to those who retired before that date violates Article 14, as there is no rational nexus to the objective of providing social security.</w:t>
      </w:r>
    </w:p>
    <w:p w:rsidR="00000000" w:rsidDel="00000000" w:rsidP="00000000" w:rsidRDefault="00000000" w:rsidRPr="00000000" w14:paraId="000000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31dlcutnwct" w:id="5"/>
      <w:bookmarkEnd w:id="5"/>
      <w:r w:rsidDel="00000000" w:rsidR="00000000" w:rsidRPr="00000000">
        <w:rPr>
          <w:b w:val="1"/>
          <w:bCs w:val="1"/>
          <w:color w:val="1f1f1f"/>
          <w:sz w:val="26"/>
          <w:szCs w:val="26"/>
          <w:rtl w:val="0"/>
        </w:rPr>
        <w:t xml:space="preserve">6. Air India v. Nergesh Meerza (1981)</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Gender discrimination, arbitrary service rules, and unguided discretion.</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Key Holding:</w:t>
      </w:r>
    </w:p>
    <w:p w:rsidR="00000000" w:rsidDel="00000000" w:rsidP="00000000" w:rsidRDefault="00000000" w:rsidRPr="00000000" w14:paraId="0000001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Q6a:</w:t>
      </w:r>
      <w:r w:rsidDel="00000000" w:rsidR="00000000" w:rsidRPr="00000000">
        <w:rPr>
          <w:color w:val="1f1f1f"/>
          <w:rtl w:val="0"/>
        </w:rPr>
        <w:t xml:space="preserve"> Maintaining separate cadres for male pursers and female hostesses was valid due to different recruitment sources/conditions.</w:t>
      </w:r>
    </w:p>
    <w:p w:rsidR="00000000" w:rsidDel="00000000" w:rsidP="00000000" w:rsidRDefault="00000000" w:rsidRPr="00000000" w14:paraId="0000001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Q6b:</w:t>
      </w:r>
      <w:r w:rsidDel="00000000" w:rsidR="00000000" w:rsidRPr="00000000">
        <w:rPr>
          <w:color w:val="1f1f1f"/>
          <w:rtl w:val="0"/>
        </w:rPr>
        <w:t xml:space="preserve"> Terminating service upon first pregnancy was struck down as arbitrary, offensive, and an insult to Indian womanhood.</w:t>
      </w:r>
    </w:p>
    <w:p w:rsidR="00000000" w:rsidDel="00000000" w:rsidP="00000000" w:rsidRDefault="00000000" w:rsidRPr="00000000" w14:paraId="0000001C">
      <w:pPr>
        <w:numPr>
          <w:ilvl w:val="1"/>
          <w:numId w:val="13"/>
        </w:numPr>
        <w:pBdr>
          <w:top w:color="auto" w:space="0" w:sz="0" w:val="none"/>
          <w:bottom w:color="auto" w:space="0" w:sz="0" w:val="none"/>
          <w:right w:color="auto" w:space="0" w:sz="0" w:val="none"/>
          <w:between w:color="auto" w:space="0" w:sz="0" w:val="none"/>
        </w:pBdr>
        <w:spacing w:after="420" w:lineRule="auto"/>
        <w:ind w:left="1440" w:hanging="360"/>
      </w:pPr>
      <w:r w:rsidDel="00000000" w:rsidR="00000000" w:rsidRPr="00000000">
        <w:rPr>
          <w:b w:val="1"/>
          <w:bCs w:val="1"/>
          <w:color w:val="1f1f1f"/>
          <w:rtl w:val="0"/>
        </w:rPr>
        <w:t xml:space="preserve">Q6c:</w:t>
      </w:r>
      <w:r w:rsidDel="00000000" w:rsidR="00000000" w:rsidRPr="00000000">
        <w:rPr>
          <w:color w:val="1f1f1f"/>
          <w:rtl w:val="0"/>
        </w:rPr>
        <w:t xml:space="preserve"> Unbridled power vested in the Managing Director to extend service without standard criteria was held to be arbitrary and violative of Article 14.</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zhs31b37olmm" w:id="6"/>
      <w:bookmarkEnd w:id="6"/>
      <w:r w:rsidDel="00000000" w:rsidR="00000000" w:rsidRPr="00000000">
        <w:rPr>
          <w:b w:val="1"/>
          <w:bCs w:val="1"/>
          <w:color w:val="1f1f1f"/>
          <w:sz w:val="26"/>
          <w:szCs w:val="26"/>
          <w:rtl w:val="0"/>
        </w:rPr>
        <w:t xml:space="preserve">7. T. Devadasan v. Union of India (1964) / State of J&amp;K v. Triloki Nath Khosa (1974)</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Classification based on educational qualifications within an integrated cadre for promotion.</w:t>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Even if degree-holders and diploma-holders were integrated into a single cadre, the state can subsequently re-classify them for higher promotional avenues based on educational qualifications (degree vs. diploma), as higher academic standards are relevant to higher managerial/technical duties.</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7ia5535gcrdh" w:id="7"/>
      <w:bookmarkEnd w:id="7"/>
      <w:r w:rsidDel="00000000" w:rsidR="00000000" w:rsidRPr="00000000">
        <w:rPr>
          <w:b w:val="1"/>
          <w:bCs w:val="1"/>
          <w:color w:val="1f1f1f"/>
          <w:sz w:val="26"/>
          <w:szCs w:val="26"/>
          <w:rtl w:val="0"/>
        </w:rPr>
        <w:t xml:space="preserve">8. R.K. Garg v. Union of India (1981)</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Economic legislation and latitude given to the legislature (</w:t>
      </w:r>
      <w:r w:rsidDel="00000000" w:rsidR="00000000" w:rsidRPr="00000000">
        <w:rPr>
          <w:i w:val="1"/>
          <w:iCs w:val="1"/>
          <w:color w:val="1f1f1f"/>
          <w:rtl w:val="0"/>
        </w:rPr>
        <w:t xml:space="preserve">Special Bearer Bonds Act</w:t>
      </w:r>
      <w:r w:rsidDel="00000000" w:rsidR="00000000" w:rsidRPr="00000000">
        <w:rPr>
          <w:color w:val="1f1f1f"/>
          <w:rtl w:val="0"/>
        </w:rPr>
        <w:t xml:space="preserve">).</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Supreme Court upheld immunities for black money holders, holding that economic laws require greater judicial restraint and flexibility. The distinction aimed to unearth black money for national economic revival, providing an </w:t>
      </w:r>
      <w:r w:rsidDel="00000000" w:rsidR="00000000" w:rsidRPr="00000000">
        <w:rPr>
          <w:i w:val="1"/>
          <w:iCs w:val="1"/>
          <w:color w:val="1f1f1f"/>
          <w:rtl w:val="0"/>
        </w:rPr>
        <w:t xml:space="preserve">intelligible differentia</w:t>
      </w:r>
      <w:r w:rsidDel="00000000" w:rsidR="00000000" w:rsidRPr="00000000">
        <w:rPr>
          <w:color w:val="1f1f1f"/>
          <w:rtl w:val="0"/>
        </w:rPr>
        <w:t xml:space="preserve"> with a rational nexus to the state's objective.</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2olf1ge4yhau" w:id="8"/>
      <w:bookmarkEnd w:id="8"/>
      <w:r w:rsidDel="00000000" w:rsidR="00000000" w:rsidRPr="00000000">
        <w:rPr>
          <w:b w:val="1"/>
          <w:bCs w:val="1"/>
          <w:color w:val="1f1f1f"/>
          <w:sz w:val="26"/>
          <w:szCs w:val="26"/>
          <w:rtl w:val="0"/>
        </w:rPr>
        <w:t xml:space="preserve">9. State of Kerala v. N.M. Thomas (1976)</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Affirmative action, test exemptions, and substantive equality.</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Granting temporary exemptions from qualifying tests to Scheduled Castes and Scheduled Tribes to ensure adequate representation in public service is a valid classification under Article 14 (and Article 16(1)), promoting real, substantive equality.</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gcjtpgviurs1" w:id="9"/>
      <w:bookmarkEnd w:id="9"/>
      <w:r w:rsidDel="00000000" w:rsidR="00000000" w:rsidRPr="00000000">
        <w:rPr>
          <w:b w:val="1"/>
          <w:bCs w:val="1"/>
          <w:color w:val="1f1f1f"/>
          <w:sz w:val="26"/>
          <w:szCs w:val="26"/>
          <w:rtl w:val="0"/>
        </w:rPr>
        <w:t xml:space="preserve">10. Chiranjit Lal Chowdhuri v. Union of India (1950)</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"Single Person Class" / Single Entity Legislation.</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A law targeting a single named company (</w:t>
      </w:r>
      <w:r w:rsidDel="00000000" w:rsidR="00000000" w:rsidRPr="00000000">
        <w:rPr>
          <w:i w:val="1"/>
          <w:iCs w:val="1"/>
          <w:color w:val="1f1f1f"/>
          <w:rtl w:val="0"/>
        </w:rPr>
        <w:t xml:space="preserve">Sholapur Spinning and Weaving Company</w:t>
      </w:r>
      <w:r w:rsidDel="00000000" w:rsidR="00000000" w:rsidRPr="00000000">
        <w:rPr>
          <w:color w:val="1f1f1f"/>
          <w:rtl w:val="0"/>
        </w:rPr>
        <w:t xml:space="preserve">) can be a valid classification if that single entity exhibits extraordinary circumstances (e.g., severe mismanagement affecting essential supply) that place it in a class by itself.</w:t>
      </w:r>
    </w:p>
    <w:p w:rsidR="00000000" w:rsidDel="00000000" w:rsidP="00000000" w:rsidRDefault="00000000" w:rsidRPr="00000000" w14:paraId="000000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7oc8e4q6f6xi" w:id="10"/>
      <w:bookmarkEnd w:id="10"/>
      <w:r w:rsidDel="00000000" w:rsidR="00000000" w:rsidRPr="00000000">
        <w:rPr>
          <w:b w:val="1"/>
          <w:bCs w:val="1"/>
          <w:color w:val="1f1f1f"/>
          <w:sz w:val="26"/>
          <w:szCs w:val="26"/>
          <w:rtl w:val="0"/>
        </w:rPr>
        <w:t xml:space="preserve">11. State of West Bengal v. Anwar Ali Sarkar (1952)</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Bare administrative discretion to choose trial procedure.</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Section 5(1) of the West Bengal Special Courts Act was struck down because it gave the executive unguided, arbitrary power to refer any individual "case" or "offence" to a Special Court with a harsher/speedier procedure without laying down statutory criteria or policy guidelines.</w:t>
      </w:r>
    </w:p>
    <w:p w:rsidR="00000000" w:rsidDel="00000000" w:rsidP="00000000" w:rsidRDefault="00000000" w:rsidRPr="00000000" w14:paraId="000000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8jqckzeu25vi" w:id="11"/>
      <w:bookmarkEnd w:id="11"/>
      <w:r w:rsidDel="00000000" w:rsidR="00000000" w:rsidRPr="00000000">
        <w:rPr>
          <w:b w:val="1"/>
          <w:bCs w:val="1"/>
          <w:color w:val="1f1f1f"/>
          <w:sz w:val="26"/>
          <w:szCs w:val="26"/>
          <w:rtl w:val="0"/>
        </w:rPr>
        <w:t xml:space="preserve">12. Kathi Raning Rawat v. State of Saurashtra (1952)</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Statutory classification specifying offences and areas for Special Courts.</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Distinguished from </w:t>
      </w:r>
      <w:r w:rsidDel="00000000" w:rsidR="00000000" w:rsidRPr="00000000">
        <w:rPr>
          <w:i w:val="1"/>
          <w:iCs w:val="1"/>
          <w:color w:val="1f1f1f"/>
          <w:rtl w:val="0"/>
        </w:rPr>
        <w:t xml:space="preserve">Anwar Ali Sarkar</w:t>
      </w:r>
      <w:r w:rsidDel="00000000" w:rsidR="00000000" w:rsidRPr="00000000">
        <w:rPr>
          <w:color w:val="1f1f1f"/>
          <w:rtl w:val="0"/>
        </w:rPr>
        <w:t xml:space="preserve">. Where the statute/ordinance itself identifies specific disturbed regions and specific violent offences to be tried by Special Courts, it lays down a valid legislative policy and does not confer arbitrary executive choice.</w:t>
      </w:r>
    </w:p>
    <w:p w:rsidR="00000000" w:rsidDel="00000000" w:rsidP="00000000" w:rsidRDefault="00000000" w:rsidRPr="00000000" w14:paraId="000000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r1jhndg1kxju" w:id="12"/>
      <w:bookmarkEnd w:id="12"/>
      <w:r w:rsidDel="00000000" w:rsidR="00000000" w:rsidRPr="00000000">
        <w:rPr>
          <w:b w:val="1"/>
          <w:bCs w:val="1"/>
          <w:color w:val="1f1f1f"/>
          <w:sz w:val="26"/>
          <w:szCs w:val="26"/>
          <w:rtl w:val="0"/>
        </w:rPr>
        <w:t xml:space="preserve">13. State of Uttar Pradesh v. Deoman Upadhyaya (1960)</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Classification under Section 27 of the Indian Evidence Act.</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Securing information leading to discovery from a person </w:t>
      </w:r>
      <w:r w:rsidDel="00000000" w:rsidR="00000000" w:rsidRPr="00000000">
        <w:rPr>
          <w:i w:val="1"/>
          <w:iCs w:val="1"/>
          <w:color w:val="1f1f1f"/>
          <w:rtl w:val="0"/>
        </w:rPr>
        <w:t xml:space="preserve">in police custody</w:t>
      </w:r>
      <w:r w:rsidDel="00000000" w:rsidR="00000000" w:rsidRPr="00000000">
        <w:rPr>
          <w:color w:val="1f1f1f"/>
          <w:rtl w:val="0"/>
        </w:rPr>
        <w:t xml:space="preserve"> differs rationally from statements by a person </w:t>
      </w:r>
      <w:r w:rsidDel="00000000" w:rsidR="00000000" w:rsidRPr="00000000">
        <w:rPr>
          <w:i w:val="1"/>
          <w:iCs w:val="1"/>
          <w:color w:val="1f1f1f"/>
          <w:rtl w:val="0"/>
        </w:rPr>
        <w:t xml:space="preserve">not in custody</w:t>
      </w:r>
      <w:r w:rsidDel="00000000" w:rsidR="00000000" w:rsidRPr="00000000">
        <w:rPr>
          <w:color w:val="1f1f1f"/>
          <w:rtl w:val="0"/>
        </w:rPr>
        <w:t xml:space="preserve">. The inherent pressure of police custody justifies restricting admissibility only to the part of the statement that leads directly to discovery.</w:t>
      </w:r>
    </w:p>
    <w:p w:rsidR="00000000" w:rsidDel="00000000" w:rsidP="00000000" w:rsidRDefault="00000000" w:rsidRPr="00000000" w14:paraId="00000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temmmrfock8s" w:id="13"/>
      <w:bookmarkEnd w:id="13"/>
      <w:r w:rsidDel="00000000" w:rsidR="00000000" w:rsidRPr="00000000">
        <w:rPr>
          <w:b w:val="1"/>
          <w:bCs w:val="1"/>
          <w:color w:val="1f1f1f"/>
          <w:sz w:val="26"/>
          <w:szCs w:val="26"/>
          <w:rtl w:val="0"/>
        </w:rPr>
        <w:t xml:space="preserve">14. East India Tobacco Co. v. State of Andhra Pradesh (1962)</w:t>
      </w:r>
    </w:p>
    <w:p w:rsidR="00000000" w:rsidDel="00000000" w:rsidP="00000000" w:rsidRDefault="00000000" w:rsidRPr="00000000" w14:paraId="0000003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Legislative discretion in tax classification across product varieties.</w:t>
      </w:r>
    </w:p>
    <w:p w:rsidR="00000000" w:rsidDel="00000000" w:rsidP="00000000" w:rsidRDefault="00000000" w:rsidRPr="00000000" w14:paraId="0000003C">
      <w:pPr>
        <w:numPr>
          <w:ilvl w:val="0"/>
          <w:numId w:val="17"/>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state has broad latitude in choosing what to tax. Taxing Virginia tobacco (higher value, export quality) while exempting country tobacco (chewing, local bidi) is a valid commercial classification.</w:t>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ykq0hefiky4a" w:id="14"/>
      <w:bookmarkEnd w:id="14"/>
      <w:r w:rsidDel="00000000" w:rsidR="00000000" w:rsidRPr="00000000">
        <w:rPr>
          <w:b w:val="1"/>
          <w:bCs w:val="1"/>
          <w:color w:val="1f1f1f"/>
          <w:sz w:val="26"/>
          <w:szCs w:val="26"/>
          <w:rtl w:val="0"/>
        </w:rPr>
        <w:t xml:space="preserve">15. Ram Krishna Dalmia v. Justice S.R. Tendolkar (1958) / State of M.P. v. Bhopal Sugar Industries (1964)</w:t>
      </w:r>
    </w:p>
    <w:p w:rsidR="00000000" w:rsidDel="00000000" w:rsidP="00000000" w:rsidRDefault="00000000" w:rsidRPr="00000000" w14:paraId="0000003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Transitional administrative classifications during state reorganisation.</w:t>
      </w:r>
    </w:p>
    <w:p w:rsidR="00000000" w:rsidDel="00000000" w:rsidP="00000000" w:rsidRDefault="00000000" w:rsidRPr="00000000" w14:paraId="00000040">
      <w:pPr>
        <w:numPr>
          <w:ilvl w:val="0"/>
          <w:numId w:val="19"/>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Temporary differential tax or procedural rules applied to newly merged territories during transitional phases following state boundary reorganisations are valid due to practical administrative necessity.</w:t>
      </w:r>
    </w:p>
    <w:p w:rsidR="00000000" w:rsidDel="00000000" w:rsidP="00000000" w:rsidRDefault="00000000" w:rsidRPr="00000000" w14:paraId="000000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vaax3udobmt1" w:id="15"/>
      <w:bookmarkEnd w:id="15"/>
      <w:r w:rsidDel="00000000" w:rsidR="00000000" w:rsidRPr="00000000">
        <w:rPr>
          <w:b w:val="1"/>
          <w:bCs w:val="1"/>
          <w:color w:val="1f1f1f"/>
          <w:sz w:val="26"/>
          <w:szCs w:val="26"/>
          <w:rtl w:val="0"/>
        </w:rPr>
        <w:t xml:space="preserve">16. Yusuf Abdul Aziz v. State of Bombay (1954)</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Validity of Section 497 IPC (Adultery exemption for women) via Article 15(3).</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Non-prosecution of women for adultery under Section 497 of the Indian Penal Code was upheld as a special protective provision for women permitted under Article 15(3) of the Constitution </w:t>
      </w:r>
      <w:r w:rsidDel="00000000" w:rsidR="00000000" w:rsidRPr="00000000">
        <w:rPr>
          <w:i w:val="1"/>
          <w:iCs w:val="1"/>
          <w:color w:val="1f1f1f"/>
          <w:rtl w:val="0"/>
        </w:rPr>
        <w:t xml:space="preserve">(Note: Later struck down in Joseph Shine v. Union of India (2018) under modern non-arbitrariness jurisprudence)</w:t>
      </w:r>
      <w:r w:rsidDel="00000000" w:rsidR="00000000" w:rsidRPr="00000000">
        <w:rPr>
          <w:color w:val="1f1f1f"/>
          <w:rtl w:val="0"/>
        </w:rPr>
        <w:t xml:space="preserve">.</w:t>
      </w:r>
    </w:p>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esfg65b3f2ra" w:id="16"/>
      <w:bookmarkEnd w:id="16"/>
      <w:r w:rsidDel="00000000" w:rsidR="00000000" w:rsidRPr="00000000">
        <w:rPr>
          <w:b w:val="1"/>
          <w:bCs w:val="1"/>
          <w:color w:val="1f1f1f"/>
          <w:sz w:val="26"/>
          <w:szCs w:val="26"/>
          <w:rtl w:val="0"/>
        </w:rPr>
        <w:t xml:space="preserve">17. Anuj Garg v. Hotel Association of India (2007)</w:t>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Protective discrimination vs. Romantic Paternalism (Gender equality).</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A blanket ban prohibiting women from working in liquor-serving premises under the guise of security/protection violates Article 14 and Article 15. The state must provide protection rather than curtailing women's employment opportunities.</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be355rf2p1i5" w:id="17"/>
      <w:bookmarkEnd w:id="17"/>
      <w:r w:rsidDel="00000000" w:rsidR="00000000" w:rsidRPr="00000000">
        <w:rPr>
          <w:b w:val="1"/>
          <w:bCs w:val="1"/>
          <w:color w:val="1f1f1f"/>
          <w:sz w:val="26"/>
          <w:szCs w:val="26"/>
          <w:rtl w:val="0"/>
        </w:rPr>
        <w:t xml:space="preserve">18. Ajay Hasia v. Khalid Mujib Sehravardi (1981)</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Doctrine of Arbitrariness (New Dimension of Article 14) in interview weightage.</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Allocating disproportionately high marks (e.g., over 15%) to a brief, 2–3 minute interview leads to arbitrary selection. High oral weightage combined with superficial assessment violates Article 14 due to manifest arbitrariness.</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a78f2pnxfct" w:id="18"/>
      <w:bookmarkEnd w:id="18"/>
      <w:r w:rsidDel="00000000" w:rsidR="00000000" w:rsidRPr="00000000">
        <w:rPr>
          <w:b w:val="1"/>
          <w:bCs w:val="1"/>
          <w:color w:val="1f1f1f"/>
          <w:sz w:val="26"/>
          <w:szCs w:val="26"/>
          <w:rtl w:val="0"/>
        </w:rPr>
        <w:t xml:space="preserve">19. Janhit Abhiyan v. Union of India (2022)</w:t>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Constitutionality of 103rd Amendment (EWS Reservation).</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Supreme Court upheld the exclusion of SC/ST/OBC communities from the 10% EWS quota, ruling that since SC/ST/OBCs already enjoy separate affirmative action benefits under Articles 15(4) and 16(4), excluding them from EWS prevents double benefits and forms a reasonable classification.</w:t>
      </w:r>
    </w:p>
    <w:p w:rsidR="00000000" w:rsidDel="00000000" w:rsidP="00000000" w:rsidRDefault="00000000" w:rsidRPr="00000000" w14:paraId="000000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muif124a1wye" w:id="19"/>
      <w:bookmarkEnd w:id="19"/>
      <w:r w:rsidDel="00000000" w:rsidR="00000000" w:rsidRPr="00000000">
        <w:rPr>
          <w:b w:val="1"/>
          <w:bCs w:val="1"/>
          <w:color w:val="1f1f1f"/>
          <w:sz w:val="26"/>
          <w:szCs w:val="26"/>
          <w:rtl w:val="0"/>
        </w:rPr>
        <w:t xml:space="preserve">20. Indra Sawhney v. Union of India (1992)</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Mandal Commission Case — Caste as an indicator and the Creamy Layer doctrine.</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Caste can be used as a primary indicator to identify social and educational backwardness. However, to ensure benefits reach the truly disadvantaged, the advanced members ("creamy layer") within a backward class must be excluded.</w:t>
      </w:r>
    </w:p>
    <w:p w:rsidR="00000000" w:rsidDel="00000000" w:rsidP="00000000" w:rsidRDefault="00000000" w:rsidRPr="00000000" w14:paraId="00000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d7hj2lyijetz" w:id="20"/>
      <w:bookmarkEnd w:id="20"/>
      <w:r w:rsidDel="00000000" w:rsidR="00000000" w:rsidRPr="00000000">
        <w:rPr>
          <w:b w:val="1"/>
          <w:bCs w:val="1"/>
          <w:color w:val="1f1f1f"/>
          <w:sz w:val="26"/>
          <w:szCs w:val="26"/>
          <w:rtl w:val="0"/>
        </w:rPr>
        <w:t xml:space="preserve">21. Pratap Singh v. State of Jharkhand (2005)</w:t>
      </w:r>
    </w:p>
    <w:p w:rsidR="00000000" w:rsidDel="00000000" w:rsidP="00000000" w:rsidRDefault="00000000" w:rsidRPr="00000000" w14:paraId="0000005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w:t>
      </w:r>
      <w:r w:rsidDel="00000000" w:rsidR="00000000" w:rsidRPr="00000000">
        <w:rPr>
          <w:color w:val="1f1f1f"/>
          <w:rtl w:val="0"/>
        </w:rPr>
        <w:t xml:space="preserve"> Determination of juvenility under Juvenile Justice Act.</w:t>
      </w:r>
    </w:p>
    <w:p w:rsidR="00000000" w:rsidDel="00000000" w:rsidP="00000000" w:rsidRDefault="00000000" w:rsidRPr="00000000" w14:paraId="00000058">
      <w:pPr>
        <w:numPr>
          <w:ilvl w:val="0"/>
          <w:numId w:val="21"/>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b w:val="1"/>
          <w:bCs w:val="1"/>
          <w:color w:val="1f1f1f"/>
          <w:rtl w:val="0"/>
        </w:rPr>
        <w:t xml:space="preserve">Key Holding:</w:t>
      </w:r>
      <w:r w:rsidDel="00000000" w:rsidR="00000000" w:rsidRPr="00000000">
        <w:rPr>
          <w:color w:val="1f1f1f"/>
          <w:rtl w:val="0"/>
        </w:rPr>
        <w:t xml:space="preserve"> The relevant date for determining whether an accused is a juvenile entitled to the protection of the Juvenile Justice Act is the </w:t>
      </w:r>
      <w:r w:rsidDel="00000000" w:rsidR="00000000" w:rsidRPr="00000000">
        <w:rPr>
          <w:b w:val="1"/>
          <w:bCs w:val="1"/>
          <w:color w:val="1f1f1f"/>
          <w:rtl w:val="0"/>
        </w:rPr>
        <w:t xml:space="preserve">date of the commission of the offence</w:t>
      </w:r>
      <w:r w:rsidDel="00000000" w:rsidR="00000000" w:rsidRPr="00000000">
        <w:rPr>
          <w:color w:val="1f1f1f"/>
          <w:rtl w:val="0"/>
        </w:rPr>
        <w:t xml:space="preserve">, not the date of production before the court/authority.</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