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798"/>
      </w:tblGrid>
      <w:tr>
        <w:tc>
          <w:tcPr>
            <w:tcW w:type="dxa" w:w="15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3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SQLMigrationProject — Quick Reference   </w:t>
            </w:r>
            <w:r>
              <w:rPr>
                <w:rFonts w:ascii="Calibri" w:cs="Calibri" w:eastAsia="Calibri" w:hAnsi="Calibri"/>
                <w:color w:val="CFE3E7"/>
                <w:sz w:val="15"/>
                <w:szCs w:val="15"/>
              </w:rPr>
              <w:t xml:space="preserve">SQL Server → Aurora PostgreSQL · Amazon Redshift · Iceberg on S3 with Kiro  ·  8 skills · 8 steering files · 1 routing agent  ·  Windows · Linux · macOS  ·  September 2026</w:t>
            </w:r>
          </w:p>
        </w:tc>
      </w:tr>
    </w:tbl>
    <w:p>
      <w:pPr>
        <w:spacing w:after="36" w:before="0" w:line="110"/>
      </w:pPr>
    </w:p>
    <w:tbl>
      <w:tblPr>
        <w:tblW w:type="dxa" w:w="157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72"/>
        <w:gridCol w:w="140"/>
        <w:gridCol w:w="5172"/>
        <w:gridCol w:w="140"/>
        <w:gridCol w:w="5172"/>
      </w:tblGrid>
      <w:tr>
        <w:tc>
          <w:tcPr>
            <w:tcW w:type="dxa" w:w="5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Skills (eight) — ask the agent or /skill-name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3"/>
              <w:gridCol w:w="2275"/>
              <w:gridCol w:w="1293"/>
            </w:tblGrid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Skill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Does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Proven by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migration-assessment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Classify and route: inventory, role (M2RVE), complexity L1–L4, tier, target candidates + blockers, which skill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12 rules MA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sql-conversion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T-SQL procedures, functions, triggers, DDL → Aurora PostgreSQL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17 examples · 87 CC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sql-conversion-redshift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Tables, BI edge views, set-based loads → Amazon Redshift (design decisions, refcursor procs, MERGE limits, RLS drafts)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5 pairs · 52 RS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sql-conversion-iceberg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Tables, loads, Athena views, Glue Spark jobs → Iceberg on S3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4 examples · 51 IB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sql-reporting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Report and analytics requests → tested PostgreSQL functions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15 patterns · 24 RQ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informatica-etl-conversion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PowerCenter XML with SQL Server SQL → PostgreSQL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5 mappings · 44 IC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schema-conformance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Snapshots (DDL, live PostgreSQL, Glue) → per-column EXACT / APPROVED / MISSING / CONFLICT / UNVERIFIED, dry-run fixes, reference check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22 rules SC</w:t>
                  </w:r>
                </w:p>
              </w:tc>
            </w:tr>
            <w:tr>
              <w:tc>
                <w:tcPr>
                  <w:tcW w:type="dxa" w:w="160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schema-change-propagation</w:t>
                  </w:r>
                </w:p>
              </w:tc>
              <w:tc>
                <w:tcPr>
                  <w:tcW w:type="dxa" w:w="2275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Rename/cast templates: cast before rename, protected layers, token-aware dry-run patches, rollback</w:t>
                  </w:r>
                </w:p>
              </w:tc>
              <w:tc>
                <w:tcPr>
                  <w:tcW w:type="dxa" w:w="129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20 rules CP</w:t>
                  </w:r>
                </w:p>
              </w:tc>
            </w:tr>
          </w:tbl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Steering (always in context)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48"/>
              <w:gridCol w:w="3723"/>
            </w:tblGrid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governance.md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Contracts, statuses GENERATED | PARTIAL | BLOCKED | VALIDATED, stop codes, gates, skill routing, intake questions [G]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migration.md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PostgreSQL rules: type/syntax maps, hard [H], parity [P], checklist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redshift.md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iceberg.md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Redshift [R] and Iceberg / Athena / Glue / Spark [I] rules and type maps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schema.md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Schema conformance [S-1–9] and change propagation [S-10–13]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informatica-etl.md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security.md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Informatica invariants [IE] · untrusted content, no secrets, AWS read-only, run id [S]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project.md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This project: Aurora cluster, test DB, paths, commands, targets</w:t>
                  </w:r>
                </w:p>
              </w:tc>
            </w:tr>
          </w:tbl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Agent and hooks</w:t>
            </w:r>
          </w:p>
          <w:p>
            <w:pPr>
              <w:spacing w:after="22" w:before="0" w:line="224"/>
            </w:pP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sql-migration-agent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sql-migration-agent-windows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: router — asks consumer, target, contract, metadata, security, test target; then picks the skill. Prompts: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.kiro/agents/prompts/examples.md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.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48"/>
              <w:gridCol w:w="3723"/>
            </w:tblGrid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agentSpawn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session run id · security notice · migration status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preToolUse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4"/>
                      <w:szCs w:val="14"/>
                    </w:rPr>
                    <w:t xml:space="preserve">guard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GRD-01..12: credentials, exfiltration, destructive commands,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.kiro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/log tampering, AWS changes, non-test DBs (also Redshift/Athena/Glue tools), installs, trust-all, applying change patches</w:t>
                  </w:r>
                </w:p>
              </w:tc>
            </w:tr>
            <w:tr>
              <w:tc>
                <w:tcPr>
                  <w:tcW w:type="dxa" w:w="144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post · stop</w:t>
                  </w:r>
                </w:p>
              </w:tc>
              <w:tc>
                <w:tcPr>
                  <w:tcW w:type="dxa" w:w="372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redacted tool audit · session record · background sync</w:t>
                  </w:r>
                </w:p>
              </w:tc>
            </w:tr>
          </w:tbl>
          <w:p/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Skill tools (python3 · Windows: python)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61"/>
              <w:gridCol w:w="3310"/>
            </w:tblGrid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Tool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Commands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assess_tool.py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questions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assess &lt;file|dir&gt; --consumer --target --out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inventory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validate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redshift_tool.py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convert-ddl --design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check --source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ledger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run --database &lt;test&gt; --workgroup-name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package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iceberg_tool.py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ddl --design --out-dir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check --dialect athena|spark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job spec.json --out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ledger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run --database &lt;test&gt;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package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schema_tool.py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snapshot --dialect|--live|--glue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compare --profile aurora|redshift|iceberg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conform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refs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package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change_tool.py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ingest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validate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plan --snapshot --layers --policy --profile --flow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patch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scan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package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infa_sql_tool.py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extract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check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inject --map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render</w:t>
                  </w:r>
                </w:p>
              </w:tc>
            </w:tr>
            <w:tr>
              <w:tc>
                <w:tcPr>
                  <w:tcW w:type="dxa" w:w="186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migkit/security.py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audit.py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services.py</w:t>
                  </w:r>
                </w:p>
              </w:tc>
              <w:tc>
                <w:tcPr>
                  <w:tcW w:type="dxa" w:w="331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scan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tail --run &lt;run8&gt;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verify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status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·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sync</w:t>
                  </w:r>
                </w:p>
              </w:tc>
            </w:tr>
          </w:tbl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Most used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689"/>
              <w:gridCol w:w="2482"/>
            </w:tblGrid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Linux / macOS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shd w:fill="DCEBEE" w:color="auto" w:val="clear"/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2E3A"/>
                      <w:sz w:val="14"/>
                      <w:szCs w:val="14"/>
                    </w:rPr>
                    <w:t xml:space="preserve">Windows</w:t>
                  </w:r>
                </w:p>
              </w:tc>
            </w:tr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bash supporting-files/run_tests.sh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supporting-files\run_tests.cmd</w:t>
                  </w:r>
                </w:p>
              </w:tc>
            </w:tr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bash .kiro/skills/&lt;skill&gt;/scripts/run_skill_tests.sh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.kiro\skills\&lt;skill&gt;\scripts\run_skill_tests.cmd</w:t>
                  </w:r>
                </w:p>
              </w:tc>
            </w:tr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kiro-cli chat --agent sql-migration-agent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… --agent sql-migration-agent-windows</w:t>
                  </w:r>
                </w:p>
              </w:tc>
            </w:tr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python3 supporting-files/make_skill_runners.py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regenerates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.ps1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/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.cmd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twins (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--check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2689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bash supporting-files/package.sh</w:t>
                  </w:r>
                </w:p>
              </w:tc>
              <w:tc>
                <w:tcPr>
                  <w:tcW w:type="dxa" w:w="2482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supporting-files\package.cmd</w:t>
                  </w:r>
                </w:p>
              </w:tc>
            </w:tr>
          </w:tbl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In Kiro chat</w:t>
            </w:r>
          </w:p>
          <w:tbl>
            <w:tblPr>
              <w:tblW w:type="dxa" w:w="51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86"/>
              <w:gridCol w:w="2586"/>
            </w:tblGrid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Assess source/ for a BI migration; target undecided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candidates + blockers, then you choose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/sql-conversion source/usp_X.sql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Aurora conversion with tests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Convert source/schema/*.sql to Redshift with metadata/design/redshift.json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Redshift DDL + ledger + package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Land dbo.FactSales as an Iceberg table partitioned by day(SaleDate)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Athena + Spark DDL, Glue job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Compare source/schema with generated/schema.sql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compare.md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with decisions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Apply metadata/changes/q3.csv to generated/ as a dry run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plan, diff, migration + rollback</w:t>
                  </w:r>
                </w:p>
              </w:tc>
            </w:tr>
            <w:tr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/sql-reporting monthly revenue for 2025</w:t>
                  </w:r>
                </w:p>
              </w:tc>
              <w:tc>
                <w:tcPr>
                  <w:tcW w:type="dxa" w:w="2586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tested report function</w:t>
                  </w:r>
                </w:p>
              </w:tc>
            </w:tr>
          </w:tbl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Statuses and stop codes</w:t>
            </w:r>
          </w:p>
          <w:p>
            <w:pPr>
              <w:spacing w:after="22" w:before="0" w:line="224"/>
            </w:pP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GENERATED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→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PARTIAL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(TODO: MANUAL REVIEW REQUIRED) →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BLOCKED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(decision missing)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VALIDATED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= evidence on a test target. Stop codes are questions: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TARGET_DECISION_REQUIRED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METADATA_NOT_FOUND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SECURITY_MAPPING_REQUIRED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UNSAFE_CAST_REVIEW_REQUIRED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RENAME_COLLISION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TARGET_SCHEMA_DECISION_REQUIRED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PRODUCTION_WRITE_DENIED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…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Exit codes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20"/>
              <w:gridCol w:w="4551"/>
            </w:tblGrid>
            <w:tr>
              <w:tc>
                <w:tcPr>
                  <w:tcW w:type="dxa" w:w="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4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check or test failed / gaps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4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hook blocked the tool call, or usage/environment problem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4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tool refused (security, non-test DB, production write)</w:t>
                  </w:r>
                </w:p>
              </w:tc>
            </w:tr>
            <w:tr>
              <w:tc>
                <w:tcPr>
                  <w:tcW w:type="dxa" w:w="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4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test preflight refused</w:t>
                  </w:r>
                </w:p>
              </w:tc>
            </w:tr>
          </w:tbl>
          <w:p/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Targets and AWS (read-only, test resources only)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51"/>
              <w:gridCol w:w="3620"/>
            </w:tblGrid>
            <w:tr>
              <w:tc>
                <w:tcPr>
                  <w:tcW w:type="dxa" w:w="1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Aurora PostgreSQL 17</w:t>
                  </w:r>
                </w:p>
              </w:tc>
              <w:tc>
                <w:tcPr>
                  <w:tcW w:type="dxa" w:w="3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primary target; tests on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sql_migration_test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(IAM token per run)</w:t>
                  </w:r>
                </w:p>
              </w:tc>
            </w:tr>
            <w:tr>
              <w:tc>
                <w:tcPr>
                  <w:tcW w:type="dxa" w:w="1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Amazon Redshift</w:t>
                  </w:r>
                </w:p>
              </w:tc>
              <w:tc>
                <w:tcPr>
                  <w:tcW w:type="dxa" w:w="3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redshift_tool.py run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via the Data API (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batch-execute-statement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) — DB name must contain test/dev/sandbox; set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REDSHIFT_DATABASE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+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REDSHIFT_WORKGROUP</w:t>
                  </w:r>
                </w:p>
              </w:tc>
            </w:tr>
            <w:tr>
              <w:tc>
                <w:tcPr>
                  <w:tcW w:type="dxa" w:w="1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Iceberg on S3</w:t>
                  </w:r>
                </w:p>
              </w:tc>
              <w:tc>
                <w:tcPr>
                  <w:tcW w:type="dxa" w:w="3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Athena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start-query-execution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, Glue Data Catalog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get-tables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 —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ATHENA_DATABASE</w:t>
                  </w: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; Glue jobs are generated, never deployed</w:t>
                  </w:r>
                </w:p>
              </w:tc>
            </w:tr>
            <w:tr>
              <w:tc>
                <w:tcPr>
                  <w:tcW w:type="dxa" w:w="1551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Evidence services</w:t>
                  </w:r>
                </w:p>
              </w:tc>
              <w:tc>
                <w:tcPr>
                  <w:tcW w:type="dxa" w:w="3620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CloudWatch Logs · DataZone · Bedrock Guardrails · S3 Object Lock · Secrets Manager — local fallback in </w:t>
                  </w:r>
                  <w:r>
                    <w:rPr>
                      <w:rFonts w:ascii="Consolas" w:cs="Consolas" w:eastAsia="Consolas" w:hAnsi="Consolas"/>
                      <w:color w:val="1F1F1F"/>
                      <w:sz w:val="13"/>
                      <w:szCs w:val="13"/>
                    </w:rPr>
                    <w:t xml:space="preserve">logs/</w:t>
                  </w:r>
                </w:p>
              </w:tc>
            </w:tr>
          </w:tbl>
          <w:p>
            <w:pPr>
              <w:spacing w:after="8" w:before="0" w:line="224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 kit never creates AWS resources. Nothing is applied to a live target: DDL, patches and jobs are packaged for the normal release path.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Packages (every skill)</w:t>
            </w:r>
          </w:p>
          <w:p>
            <w:pPr>
              <w:spacing w:after="8" w:before="0" w:line="224"/>
              <w:ind w:left="150" w:hanging="110"/>
            </w:pPr>
            <w:r>
              <w:rPr>
                <w:rFonts w:ascii="Calibri" w:cs="Calibri" w:eastAsia="Calibri" w:hAnsi="Calibri"/>
                <w:b/>
                <w:bCs/>
                <w:color w:val="1F7A8C"/>
                <w:sz w:val="14"/>
                <w:szCs w:val="14"/>
              </w:rPr>
              <w:t xml:space="preserve">• 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request.json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output.json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(status, stop codes, ledger, warnings, manual review, validation manifest V-001…V-040)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rule-ledger.md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files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manifest.json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with SHA-256 + run id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Audit and lineage</w:t>
            </w:r>
          </w:p>
          <w:p>
            <w:pPr>
              <w:spacing w:after="8" w:before="0" w:line="224"/>
              <w:ind w:left="150" w:hanging="110"/>
            </w:pPr>
            <w:r>
              <w:rPr>
                <w:rFonts w:ascii="Calibri" w:cs="Calibri" w:eastAsia="Calibri" w:hAnsi="Calibri"/>
                <w:b/>
                <w:bCs/>
                <w:color w:val="1F7A8C"/>
                <w:sz w:val="14"/>
                <w:szCs w:val="14"/>
              </w:rPr>
              <w:t xml:space="preserve">• 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One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MIGRATION_RUN_ID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per run: Kiro session → tools → PostgreSQL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application_name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→ Redshift/Athena statements → lineage; hash-chained JSONL, redacted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Tests — 674 checks, all passing</w:t>
            </w:r>
          </w:p>
          <w:tbl>
            <w:tblPr>
              <w:tblW w:type="dxa" w:w="51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413"/>
              <w:gridCol w:w="1758"/>
            </w:tblGrid>
            <w:tr>
              <w:tc>
                <w:tcPr>
                  <w:tcW w:type="dxa" w:w="341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Project suites (Aurora)</w:t>
                  </w:r>
                </w:p>
              </w:tc>
              <w:tc>
                <w:tcPr>
                  <w:tcW w:type="dxa" w:w="175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153</w:t>
                  </w:r>
                </w:p>
              </w:tc>
            </w:tr>
            <w:tr>
              <w:tc>
                <w:tcPr>
                  <w:tcW w:type="dxa" w:w="341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sql-conversion (SQL) · migkit + governance (unit)</w:t>
                  </w:r>
                </w:p>
              </w:tc>
              <w:tc>
                <w:tcPr>
                  <w:tcW w:type="dxa" w:w="175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257 · 41</w:t>
                  </w:r>
                </w:p>
              </w:tc>
            </w:tr>
            <w:tr>
              <w:tc>
                <w:tcPr>
                  <w:tcW w:type="dxa" w:w="341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sql-reporting (SQL) · Informatica (unit + SQL)</w:t>
                  </w:r>
                </w:p>
              </w:tc>
              <w:tc>
                <w:tcPr>
                  <w:tcW w:type="dxa" w:w="175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88 · 27 + 38</w:t>
                  </w:r>
                </w:p>
              </w:tc>
            </w:tr>
            <w:tr>
              <w:tc>
                <w:tcPr>
                  <w:tcW w:type="dxa" w:w="341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assessment · Redshift · Iceberg · schema · change (unit)</w:t>
                  </w:r>
                </w:p>
              </w:tc>
              <w:tc>
                <w:tcPr>
                  <w:tcW w:type="dxa" w:w="175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12 · 13 · 10 · 8 · 9</w:t>
                  </w:r>
                </w:p>
              </w:tc>
            </w:tr>
            <w:tr>
              <w:tc>
                <w:tcPr>
                  <w:tcW w:type="dxa" w:w="3413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Agent hooks (incl. Windows parity)</w:t>
                  </w:r>
                </w:p>
              </w:tc>
              <w:tc>
                <w:tcPr>
                  <w:tcW w:type="dxa" w:w="1758"/>
                  <w:tcBorders>
                    <w:top w:val="single" w:color="C9D5D8" w:sz="2"/>
                    <w:left w:val="single" w:color="C9D5D8" w:sz="2"/>
                    <w:bottom w:val="single" w:color="C9D5D8" w:sz="2"/>
                    <w:right w:val="single" w:color="C9D5D8" w:sz="2"/>
                  </w:tcBorders>
                  <w:tcMar>
                    <w:top w:type="dxa" w:w="8"/>
                    <w:left w:type="dxa" w:w="46"/>
                    <w:bottom w:type="dxa" w:w="8"/>
                    <w:right w:type="dxa" w:w="36"/>
                  </w:tcMar>
                  <w:vAlign w:val="center"/>
                </w:tcPr>
                <w:p>
                  <w:pPr>
                    <w:spacing w:after="0" w:before="0" w:line="212"/>
                  </w:pPr>
                  <w:r>
                    <w:rPr>
                      <w:rFonts w:ascii="Calibri" w:cs="Calibri" w:eastAsia="Calibri" w:hAnsi="Calibri"/>
                      <w:sz w:val="14"/>
                      <w:szCs w:val="14"/>
                    </w:rPr>
                    <w:t xml:space="preserve">18</w:t>
                  </w:r>
                </w:p>
              </w:tc>
            </w:tr>
          </w:tbl>
          <w:p>
            <w:pPr>
              <w:spacing w:after="8" w:before="0" w:line="224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Coverage gate: every H/P/CC, RQ/RP, IC, SEC/LOG/SVC/GOV, MA/RS/IB/SC/CP, GRD/HOOK rule has a tagged test. Redshift/Athena/Glue paths run against a stub AWS CLI; live when test resources are configured.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Documents (docs/)</w:t>
            </w:r>
          </w:p>
          <w:p>
            <w:pPr>
              <w:spacing w:after="8" w:before="0" w:line="224"/>
              <w:ind w:left="150" w:hanging="110"/>
            </w:pPr>
            <w:r>
              <w:rPr>
                <w:rFonts w:ascii="Calibri" w:cs="Calibri" w:eastAsia="Calibri" w:hAnsi="Calibri"/>
                <w:b/>
                <w:bCs/>
                <w:color w:val="1F7A8C"/>
                <w:sz w:val="14"/>
                <w:szCs w:val="14"/>
              </w:rPr>
              <w:t xml:space="preserve">• 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SQL_Migration_User_Guide.docx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Reporting_Analytics_SQL_User_Guide.docx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Technical_Architecture.docx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Executive_Overview.pptx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README.md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this page</w:t>
            </w:r>
          </w:p>
          <w:p>
            <w:pPr>
              <w:keepNext/>
              <w:pBdr>
                <w:bottom w:val="single" w:color="1F7A8C" w:sz="6" w:space="1"/>
              </w:pBdr>
              <w:spacing w:after="26" w:before="60"/>
            </w:pPr>
            <w:r>
              <w:rPr>
                <w:rFonts w:ascii="Calibri" w:cs="Calibri" w:eastAsia="Calibri" w:hAnsi="Calibri"/>
                <w:b/>
                <w:bCs/>
                <w:color w:val="0B2E3A"/>
                <w:sz w:val="18"/>
                <w:szCs w:val="18"/>
              </w:rPr>
              <w:t xml:space="preserve">Roadmap and open items (README §15)</w:t>
            </w:r>
          </w:p>
          <w:p>
            <w:pPr>
              <w:spacing w:after="8" w:before="0" w:line="224"/>
              <w:ind w:left="150" w:hanging="110"/>
            </w:pPr>
            <w:r>
              <w:rPr>
                <w:rFonts w:ascii="Calibri" w:cs="Calibri" w:eastAsia="Calibri" w:hAnsi="Calibri"/>
                <w:b/>
                <w:bCs/>
                <w:color w:val="1F7A8C"/>
                <w:sz w:val="14"/>
                <w:szCs w:val="14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Now: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point Redshift/Athena env vars at test resources · fill </w:t>
            </w:r>
            <w:r>
              <w:rPr>
                <w:rFonts w:ascii="Consolas" w:cs="Consolas" w:eastAsia="Consolas" w:hAnsi="Consolas"/>
                <w:color w:val="1F1F1F"/>
                <w:sz w:val="13"/>
                <w:szCs w:val="13"/>
              </w:rPr>
              <w:t xml:space="preserve">metadata/design/*.json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approve identity mappings · replace root AWS keys · decide 6 flagged objects</w:t>
            </w:r>
          </w:p>
          <w:p>
            <w:pPr>
              <w:spacing w:after="8" w:before="0" w:line="224"/>
              <w:ind w:left="150" w:hanging="110"/>
            </w:pPr>
            <w:r>
              <w:rPr>
                <w:rFonts w:ascii="Calibri" w:cs="Calibri" w:eastAsia="Calibri" w:hAnsi="Calibri"/>
                <w:b/>
                <w:bCs/>
                <w:color w:val="1F7A8C"/>
                <w:sz w:val="14"/>
                <w:szCs w:val="14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Next: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data validation at a snapshot on all targets · Spectrum / managed Iceberg serving · </w:t>
            </w: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AI-DLC integration (placeholder: steering + package adapter)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 · later: Oracle, Informatica → Redshift/Oracle</w:t>
            </w:r>
          </w:p>
        </w:tc>
      </w:tr>
    </w:tbl>
    <w:sectPr>
      <w:pgSz w:w="16838" w:h="11906" w:orient="landscape"/>
      <w:pgMar w:top="520" w:right="520" w:bottom="5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SQLMigrationProject — Quick Reference</dc:title>
  <dc:creator>SQLMigrationProject</dc:creator>
  <cp:lastModifiedBy>Un-named</cp:lastModifiedBy>
  <cp:revision>1</cp:revision>
  <dcterms:created xsi:type="dcterms:W3CDTF">2026-09-18T18:26:49.477Z</dcterms:created>
  <dcterms:modified xsi:type="dcterms:W3CDTF">2026-09-18T18:26:49.478Z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