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Supplementary Material</w:t>
      </w:r>
    </w:p>
    <w:p>
      <w:r>
        <w:t>Supplementary Technical Documentation for: Integrating Soil Fertility, Climate and Geospatial Variables for Crop Suitability and Site-Specific Fertilizer Recommendation in West Bengal, India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E75B6"/>
          <w:sz w:val="26"/>
        </w:rPr>
        <w:t>Table S1: 24-Feature Subset Selected by Nature-Inspired Genetic Algorithm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Feature Attribute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Agronomic / Statistical Role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soil_pH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Primary soil reaction driver</w:t>
            </w:r>
          </w:p>
        </w:tc>
      </w:tr>
      <w:tr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soil_organic_carbon_pct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Walkley-Black biological fertility proxy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available_N_kg_ha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Primary vegetative macronutrient</w:t>
            </w:r>
          </w:p>
        </w:tc>
      </w:tr>
      <w:tr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available_P_kg_ha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Root establishment limiting factor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available_K_kg_ha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Osmotic and drought stress regulator</w:t>
            </w:r>
          </w:p>
        </w:tc>
      </w:tr>
      <w:tr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annual_mean_temperature_C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Macro-climatic thermal regime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annual_rainfall_mm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Hydrological moisture budget</w:t>
            </w:r>
          </w:p>
        </w:tc>
      </w:tr>
      <w:tr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ratio_N_P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Stoichiometric vegetative-to-root balance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ratio_N_K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Lodging and fungal susceptibility proxy</w:t>
            </w:r>
          </w:p>
        </w:tc>
      </w:tr>
      <w:tr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ratio_OC_N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Microbial mineralization rate proxy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pH_neutral_deviation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Distance from neutrality |pH - 7.0|</w:t>
            </w:r>
          </w:p>
        </w:tc>
      </w:tr>
      <w:tr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deficiency_Zn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Zinc critical threshold indicator (&lt;0.60 mg/kg)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deficiency_B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Boron critical threshold indicator (&lt;0.50 mg/kg)</w:t>
            </w:r>
          </w:p>
        </w:tc>
      </w:tr>
      <w:tr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total_micronutrient_deficiencies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Composite micro-nutrient stress score [0, 5]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hydrothermal_ratio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Rainfall-to-temperature moisture availability index</w:t>
            </w:r>
          </w:p>
        </w:tc>
      </w:tr>
      <w:tr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vapor_pressure_proxy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Atmospheric evaporative demand proxy</w:t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E75B6"/>
          <w:sz w:val="26"/>
        </w:rPr>
        <w:t>Table S2: Hyperparameter Search Spaces &amp; Best Configurations</w:t>
      </w:r>
    </w:p>
    <w:p>
      <w:r>
        <w:t>Extra Trees Classifier: n_estimators=100, max_features='sqrt', criterion='gini', bootstrap=False, random_state=42.</w:t>
        <w:br/>
        <w:t>HistGradientBoosting: max_iter=100, learning_rate=0.1, max_leaf_nodes=31, min_samples_leaf=20, random_state=42.</w:t>
        <w:br/>
        <w:t>Lasso Regressor: alpha=1.0, max_iter=1000, selection='cyclic', random_state=42.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