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Latin Square Design Analysis Report</w:t>
      </w:r>
    </w:p>
    <w:p>
      <w:r>
        <w:t>Generated on: 2026-01-07 19:14:27</w:t>
      </w:r>
    </w:p>
    <w:p>
      <w:pPr>
        <w:pStyle w:val="Heading1"/>
      </w:pPr>
      <w:r>
        <w:t>1. Experimental Design &amp; Model</w:t>
      </w:r>
    </w:p>
    <w:p>
      <w:r>
        <w:rPr>
          <w:b w:val="0"/>
        </w:rPr>
        <w:t xml:space="preserve">The data was analyzed using a Latin Square Design (LSD) with the model: </w:t>
      </w:r>
      <w:r>
        <w:t>Y_ijk = Mean + Row_i + Col_j + Treat_k + Error_ijk</w:t>
      </w:r>
    </w:p>
    <w:p>
      <w:pPr>
        <w:pStyle w:val="Heading1"/>
      </w:pPr>
      <w:r>
        <w:t>2. ANOVA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DF</w:t>
            </w:r>
          </w:p>
        </w:tc>
        <w:tc>
          <w:tcPr>
            <w:tcW w:type="dxa" w:w="1440"/>
          </w:tcPr>
          <w:p>
            <w:r>
              <w:t>SS</w:t>
            </w:r>
          </w:p>
        </w:tc>
        <w:tc>
          <w:tcPr>
            <w:tcW w:type="dxa" w:w="1440"/>
          </w:tcPr>
          <w:p>
            <w:r>
              <w:t>MS</w:t>
            </w:r>
          </w:p>
        </w:tc>
        <w:tc>
          <w:tcPr>
            <w:tcW w:type="dxa" w:w="1440"/>
          </w:tcPr>
          <w:p>
            <w:r>
              <w:t>F-value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</w:tr>
      <w:tr>
        <w:tc>
          <w:tcPr>
            <w:tcW w:type="dxa" w:w="1440"/>
          </w:tcPr>
          <w:p>
            <w:r>
              <w:t>Rows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66.7576</w:t>
            </w:r>
          </w:p>
        </w:tc>
        <w:tc>
          <w:tcPr>
            <w:tcW w:type="dxa" w:w="1440"/>
          </w:tcPr>
          <w:p>
            <w:r>
              <w:t>16.6894</w:t>
            </w:r>
          </w:p>
        </w:tc>
        <w:tc>
          <w:tcPr>
            <w:tcW w:type="dxa" w:w="1440"/>
          </w:tcPr>
          <w:p>
            <w:r>
              <w:t>0.6374</w:t>
            </w:r>
          </w:p>
        </w:tc>
        <w:tc>
          <w:tcPr>
            <w:tcW w:type="dxa" w:w="1440"/>
          </w:tcPr>
          <w:p>
            <w:r>
              <w:t>0.6457 ns</w:t>
            </w:r>
          </w:p>
        </w:tc>
      </w:tr>
      <w:tr>
        <w:tc>
          <w:tcPr>
            <w:tcW w:type="dxa" w:w="1440"/>
          </w:tcPr>
          <w:p>
            <w:r>
              <w:t>Columns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42.3296</w:t>
            </w:r>
          </w:p>
        </w:tc>
        <w:tc>
          <w:tcPr>
            <w:tcW w:type="dxa" w:w="1440"/>
          </w:tcPr>
          <w:p>
            <w:r>
              <w:t>10.5824</w:t>
            </w:r>
          </w:p>
        </w:tc>
        <w:tc>
          <w:tcPr>
            <w:tcW w:type="dxa" w:w="1440"/>
          </w:tcPr>
          <w:p>
            <w:r>
              <w:t>0.4041</w:t>
            </w:r>
          </w:p>
        </w:tc>
        <w:tc>
          <w:tcPr>
            <w:tcW w:type="dxa" w:w="1440"/>
          </w:tcPr>
          <w:p>
            <w:r>
              <w:t>0.8022 ns</w:t>
            </w:r>
          </w:p>
        </w:tc>
      </w:tr>
      <w:tr>
        <w:tc>
          <w:tcPr>
            <w:tcW w:type="dxa" w:w="1440"/>
          </w:tcPr>
          <w:p>
            <w:r>
              <w:t>Treatments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957.9656</w:t>
            </w:r>
          </w:p>
        </w:tc>
        <w:tc>
          <w:tcPr>
            <w:tcW w:type="dxa" w:w="1440"/>
          </w:tcPr>
          <w:p>
            <w:r>
              <w:t>239.4914</w:t>
            </w:r>
          </w:p>
        </w:tc>
        <w:tc>
          <w:tcPr>
            <w:tcW w:type="dxa" w:w="1440"/>
          </w:tcPr>
          <w:p>
            <w:r>
              <w:t>9.1460</w:t>
            </w:r>
          </w:p>
        </w:tc>
        <w:tc>
          <w:tcPr>
            <w:tcW w:type="dxa" w:w="1440"/>
          </w:tcPr>
          <w:p>
            <w:r>
              <w:t>0.0013 **</w:t>
            </w:r>
          </w:p>
        </w:tc>
      </w:tr>
      <w:tr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314.2248</w:t>
            </w:r>
          </w:p>
        </w:tc>
        <w:tc>
          <w:tcPr>
            <w:tcW w:type="dxa" w:w="1440"/>
          </w:tcPr>
          <w:p>
            <w:r>
              <w:t>26.1854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1381.2776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3. Mean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Treatment</w:t>
            </w:r>
          </w:p>
        </w:tc>
        <w:tc>
          <w:tcPr>
            <w:tcW w:type="dxa" w:w="2160"/>
          </w:tcPr>
          <w:p>
            <w:r>
              <w:t>Mean (Yield)</w:t>
            </w:r>
          </w:p>
        </w:tc>
        <w:tc>
          <w:tcPr>
            <w:tcW w:type="dxa" w:w="2160"/>
          </w:tcPr>
          <w:p>
            <w:r>
              <w:t>Std Deviation</w:t>
            </w:r>
          </w:p>
        </w:tc>
        <w:tc>
          <w:tcPr>
            <w:tcW w:type="dxa" w:w="2160"/>
          </w:tcPr>
          <w:p>
            <w:r>
              <w:t>Group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40.4000</w:t>
            </w:r>
          </w:p>
        </w:tc>
        <w:tc>
          <w:tcPr>
            <w:tcW w:type="dxa" w:w="2160"/>
          </w:tcPr>
          <w:p>
            <w:r>
              <w:t>3.7356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37.7200</w:t>
            </w:r>
          </w:p>
        </w:tc>
        <w:tc>
          <w:tcPr>
            <w:tcW w:type="dxa" w:w="2160"/>
          </w:tcPr>
          <w:p>
            <w:r>
              <w:t>4.4824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37.4200</w:t>
            </w:r>
          </w:p>
        </w:tc>
        <w:tc>
          <w:tcPr>
            <w:tcW w:type="dxa" w:w="2160"/>
          </w:tcPr>
          <w:p>
            <w:r>
              <w:t>6.5637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26.5200</w:t>
            </w:r>
          </w:p>
        </w:tc>
        <w:tc>
          <w:tcPr>
            <w:tcW w:type="dxa" w:w="2160"/>
          </w:tcPr>
          <w:p>
            <w:r>
              <w:t>4.6880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25.6200</w:t>
            </w:r>
          </w:p>
        </w:tc>
        <w:tc>
          <w:tcPr>
            <w:tcW w:type="dxa" w:w="2160"/>
          </w:tcPr>
          <w:p>
            <w:r>
              <w:t>2.5927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</w:tbl>
    <w:p>
      <w:r>
        <w:br/>
        <w:t>Standard Error of Mean (SEm): 2.2885</w:t>
      </w:r>
    </w:p>
    <w:p>
      <w:r>
        <w:t>Standard Error of Diff (SEd): 3.2364</w:t>
      </w:r>
    </w:p>
    <w:p>
      <w:r>
        <w:t>Coefficient of Variation (CV%): 15.26%</w:t>
      </w:r>
    </w:p>
    <w:p>
      <w:pPr>
        <w:pStyle w:val="Heading1"/>
      </w:pPr>
      <w:r>
        <w:t>4. Interpretation</w:t>
      </w:r>
    </w:p>
    <w:p>
      <w:r>
        <w:t>Analysis of Variance revealed that the effect of Treatments was significant (p = 0.0013). Post-hoc testing (Lsd) indicated statistical differences among means. Treatment 'B' recorded the highest mean value (40.40). It was statistically at par with: C, 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Analysis performed by Antigravity Analysis Module | Sci-Accurate Stats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