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0F2140"/>
          </w:tcPr>
          <w:p/>
          <w:p>
            <w:pPr>
              <w:spacing w:before="560" w:after="40"/>
              <w:jc w:val="center"/>
            </w:pPr>
            <w:r>
              <w:rPr>
                <w:b w:val="0"/>
                <w:color w:val="FFFFFF"/>
                <w:sz w:val="16"/>
              </w:rPr>
            </w:r>
          </w:p>
          <w:p>
            <w:pPr>
              <w:spacing w:before="80" w:after="40"/>
              <w:jc w:val="center"/>
            </w:pPr>
            <w:r>
              <w:rPr>
                <w:b/>
                <w:color w:val="00C2A8"/>
                <w:sz w:val="52"/>
              </w:rPr>
              <w:t>TradePe / ScreenDesk</w:t>
            </w:r>
          </w:p>
          <w:p>
            <w:pPr>
              <w:spacing w:before="80" w:after="40"/>
              <w:jc w:val="center"/>
            </w:pPr>
            <w:r>
              <w:rPr>
                <w:b w:val="0"/>
                <w:color w:val="FFFFFF"/>
                <w:sz w:val="32"/>
              </w:rPr>
              <w:t>Channel Plan &amp; Launch Plan</w:t>
            </w:r>
          </w:p>
          <w:p>
            <w:pPr>
              <w:spacing w:before="120" w:after="40"/>
              <w:jc w:val="center"/>
            </w:pPr>
            <w:r>
              <w:rPr>
                <w:b w:val="0"/>
                <w:color w:val="CCEEE8"/>
                <w:sz w:val="22"/>
              </w:rPr>
              <w:t>Go-to-Market Strategy — Section 4</w:t>
            </w:r>
          </w:p>
          <w:p>
            <w:pPr>
              <w:spacing w:before="0" w:after="40"/>
              <w:jc w:val="center"/>
            </w:pPr>
            <w:r>
              <w:rPr>
                <w:b w:val="0"/>
                <w:color w:val="FFFFFF"/>
                <w:sz w:val="12"/>
              </w:rPr>
            </w:r>
          </w:p>
          <w:p>
            <w:pPr>
              <w:spacing w:before="80" w:after="40"/>
              <w:jc w:val="center"/>
            </w:pPr>
            <w:r>
              <w:rPr>
                <w:b w:val="0"/>
                <w:color w:val="9AA5B4"/>
                <w:sz w:val="18"/>
              </w:rPr>
              <w:t>IIM Calcutta  ·  Group 2 Capstone  ·  July 2026</w:t>
            </w:r>
          </w:p>
          <w:p>
            <w:pPr>
              <w:spacing w:before="0" w:after="40"/>
              <w:jc w:val="center"/>
            </w:pPr>
            <w:r>
              <w:rPr>
                <w:b w:val="0"/>
                <w:color w:val="FFFFFF"/>
                <w:sz w:val="48"/>
              </w:rPr>
            </w:r>
          </w:p>
        </w:tc>
      </w:tr>
    </w:tbl>
    <w:p/>
    <w:tbl>
      <w:tblPr>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200" w:after="80"/>
              <w:jc w:val="center"/>
            </w:pPr>
            <w:r>
              <w:rPr>
                <w:b/>
                <w:color w:val="00C2A8"/>
                <w:sz w:val="17"/>
              </w:rPr>
              <w:t>CHANNEL PLAN</w:t>
              <w:br/>
            </w:r>
            <w:r>
              <w:rPr>
                <w:color w:val="FFFFFF"/>
                <w:sz w:val="18"/>
              </w:rPr>
              <w:t>How we reach, engage, and convert the right customers — through direct sales, referral partners, and content.</w:t>
            </w:r>
          </w:p>
        </w:tc>
        <w:tc>
          <w:tcPr>
            <w:tcW w:type="dxa" w:w="3024"/>
            <w:shd w:val="clear" w:color="auto" w:fill="003D78"/>
          </w:tcPr>
          <w:p>
            <w:pPr>
              <w:spacing w:before="200" w:after="80"/>
              <w:jc w:val="center"/>
            </w:pPr>
            <w:r>
              <w:rPr>
                <w:b/>
                <w:color w:val="00C2A8"/>
                <w:sz w:val="17"/>
              </w:rPr>
              <w:t>LAUNCH PLAN</w:t>
              <w:br/>
            </w:r>
            <w:r>
              <w:rPr>
                <w:color w:val="FFFFFF"/>
                <w:sz w:val="18"/>
              </w:rPr>
              <w:t>The week-by-week roadmap from prototype to first paying customer, across three phases.</w:t>
            </w:r>
          </w:p>
        </w:tc>
        <w:tc>
          <w:tcPr>
            <w:tcW w:type="dxa" w:w="3024"/>
            <w:shd w:val="clear" w:color="auto" w:fill="00C2A8"/>
          </w:tcPr>
          <w:p>
            <w:pPr>
              <w:spacing w:before="200" w:after="80"/>
              <w:jc w:val="center"/>
            </w:pPr>
            <w:r>
              <w:rPr>
                <w:b/>
                <w:color w:val="FFFFFF"/>
                <w:sz w:val="17"/>
              </w:rPr>
              <w:t>THE GOAL</w:t>
              <w:br/>
            </w:r>
            <w:r>
              <w:rPr>
                <w:color w:val="FFFFFF"/>
                <w:sz w:val="18"/>
              </w:rPr>
              <w:t>Three paying customers, ₹15–20L ARR, and two referenceable case studies within 9 months of launch.</w:t>
            </w:r>
          </w:p>
        </w:tc>
      </w:tr>
    </w:tbl>
    <w:p/>
    <w:p>
      <w:pPr>
        <w:spacing w:before="20" w:after="100"/>
      </w:pPr>
      <w:r>
        <w:rPr>
          <w:color w:val="2D3748"/>
          <w:sz w:val="20"/>
        </w:rPr>
        <w:t>This document covers two things: (1) the Channel Plan — which paths we use to find and win customers, and (2) the Launch Plan — the step-by-step timeline from today to first commercial revenue. Together they answer: "How exactly do we get from a working prototype to a paying customer base?"</w:t>
      </w:r>
    </w:p>
    <w:p>
      <w:r>
        <w:br w:type="page"/>
      </w:r>
    </w:p>
    <w:tbl>
      <w:tblPr>
        <w:tblW w:type="auto" w:w="0"/>
        <w:jc w:val="center"/>
        <w:tblLook w:firstColumn="1" w:firstRow="1" w:lastColumn="0" w:lastRow="0" w:noHBand="0" w:noVBand="1" w:val="04A0"/>
      </w:tblPr>
      <w:tblGrid>
        <w:gridCol w:w="9072"/>
      </w:tblGrid>
      <w:tr>
        <w:tc>
          <w:tcPr>
            <w:tcW w:type="dxa" w:w="9072"/>
            <w:shd w:val="clear" w:color="auto" w:fill="0F2140"/>
          </w:tcPr>
          <w:p>
            <w:pPr>
              <w:spacing w:before="200" w:after="60"/>
            </w:pPr>
            <w:r>
              <w:rPr>
                <w:b/>
                <w:color w:val="00C2A8"/>
                <w:sz w:val="18"/>
              </w:rPr>
              <w:t xml:space="preserve">Section 1   </w:t>
            </w:r>
            <w:r>
              <w:rPr>
                <w:b/>
                <w:color w:val="FFFFFF"/>
                <w:sz w:val="30"/>
              </w:rPr>
              <w:t>Channel Plan</w:t>
            </w:r>
          </w:p>
          <w:p>
            <w:pPr>
              <w:spacing w:before="40" w:after="200"/>
              <w:ind w:left="72"/>
            </w:pPr>
            <w:r>
              <w:rPr>
                <w:color w:val="CCEEE8"/>
                <w:sz w:val="20"/>
              </w:rPr>
              <w:t>How we reach and convert customers — the routes to market.</w:t>
            </w:r>
          </w:p>
        </w:tc>
      </w:tr>
    </w:tbl>
    <w:p/>
    <w:p>
      <w:pPr>
        <w:spacing w:before="260" w:after="80"/>
      </w:pPr>
      <w:r>
        <w:rPr>
          <w:b/>
          <w:color w:val="0F2140"/>
          <w:sz w:val="25"/>
        </w:rPr>
        <w:t>Why Channel Strategy Matters for ScreenDesk</w:t>
      </w:r>
    </w:p>
    <w:p>
      <w:pPr>
        <w:spacing w:before="20" w:after="100"/>
      </w:pPr>
      <w:r>
        <w:rPr>
          <w:color w:val="2D3748"/>
          <w:sz w:val="20"/>
        </w:rPr>
        <w:t>Compliance tools are not bought the way consumer apps are. A compliance officer does not search Google for "best sanctions screening software" and sign up with a credit card. They buy from vendors they trust — or that someone they trust has recommended. That is why channel strategy for ScreenDesk is primarily about trust, not advertising.</w:t>
      </w:r>
    </w:p>
    <w:tbl>
      <w:tblPr>
        <w:tblW w:type="auto" w:w="0"/>
        <w:jc w:val="center"/>
        <w:tblLook w:firstColumn="1" w:firstRow="1" w:lastColumn="0" w:lastRow="0" w:noHBand="0" w:noVBand="1" w:val="04A0"/>
      </w:tblPr>
      <w:tblGrid>
        <w:gridCol w:w="9072"/>
      </w:tblGrid>
      <w:tr>
        <w:tc>
          <w:tcPr>
            <w:tcW w:type="dxa" w:w="9072"/>
            <w:shd w:val="clear" w:color="auto" w:fill="003D78"/>
          </w:tcPr>
          <w:p>
            <w:pPr>
              <w:spacing w:before="200" w:after="200"/>
              <w:ind w:left="288" w:right="288"/>
            </w:pPr>
            <w:r>
              <w:rPr>
                <w:b/>
                <w:color w:val="FFFFFF"/>
                <w:sz w:val="20"/>
              </w:rPr>
              <w:t>The #1 buying signal in B2B compliance software:</w:t>
              <w:br/>
              <w:t>"A peer at another fintech told me they use it and it works."</w:t>
              <w:br/>
              <w:br/>
              <w:t>Everything in our channel plan is designed to generate that conversation.</w:t>
            </w:r>
          </w:p>
        </w:tc>
      </w:tr>
    </w:tbl>
    <w:p/>
    <w:p>
      <w:pPr>
        <w:spacing w:before="260" w:after="80"/>
      </w:pPr>
      <w:r>
        <w:rPr>
          <w:b/>
          <w:color w:val="0F2140"/>
          <w:sz w:val="25"/>
        </w:rPr>
        <w:t>Our Three Channels — In Priority Order</w:t>
      </w:r>
    </w:p>
    <w:p>
      <w:pPr>
        <w:spacing w:before="20" w:after="100"/>
      </w:pPr>
      <w:r>
        <w:rPr>
          <w:color w:val="2D3748"/>
          <w:sz w:val="20"/>
        </w:rPr>
        <w:t>We will use three channels. In Year 1, Channel 1 is everything. Channels 2 and 3 build in parallel and take over progressively in Years 2 and 3.</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F2140"/>
          </w:tcPr>
          <w:p>
            <w:pPr>
              <w:spacing w:before="100" w:after="100"/>
            </w:pPr>
            <w:r>
              <w:rPr>
                <w:b/>
                <w:color w:val="FFFFFF"/>
                <w:sz w:val="19"/>
              </w:rPr>
              <w:t>Channel</w:t>
            </w:r>
          </w:p>
        </w:tc>
        <w:tc>
          <w:tcPr>
            <w:tcW w:type="dxa" w:w="1814"/>
            <w:shd w:val="clear" w:color="auto" w:fill="0F2140"/>
          </w:tcPr>
          <w:p>
            <w:pPr>
              <w:spacing w:before="100" w:after="100"/>
            </w:pPr>
            <w:r>
              <w:rPr>
                <w:b/>
                <w:color w:val="FFFFFF"/>
                <w:sz w:val="19"/>
              </w:rPr>
              <w:t>What It Is</w:t>
            </w:r>
          </w:p>
        </w:tc>
        <w:tc>
          <w:tcPr>
            <w:tcW w:type="dxa" w:w="1814"/>
            <w:shd w:val="clear" w:color="auto" w:fill="0F2140"/>
          </w:tcPr>
          <w:p>
            <w:pPr>
              <w:spacing w:before="100" w:after="100"/>
            </w:pPr>
            <w:r>
              <w:rPr>
                <w:b/>
                <w:color w:val="FFFFFF"/>
                <w:sz w:val="19"/>
              </w:rPr>
              <w:t>Year 1 Mix</w:t>
            </w:r>
          </w:p>
        </w:tc>
        <w:tc>
          <w:tcPr>
            <w:tcW w:type="dxa" w:w="1814"/>
            <w:shd w:val="clear" w:color="auto" w:fill="0F2140"/>
          </w:tcPr>
          <w:p>
            <w:pPr>
              <w:spacing w:before="100" w:after="100"/>
            </w:pPr>
            <w:r>
              <w:rPr>
                <w:b/>
                <w:color w:val="FFFFFF"/>
                <w:sz w:val="19"/>
              </w:rPr>
              <w:t>Year 2 Mix</w:t>
            </w:r>
          </w:p>
        </w:tc>
        <w:tc>
          <w:tcPr>
            <w:tcW w:type="dxa" w:w="1814"/>
            <w:shd w:val="clear" w:color="auto" w:fill="0F2140"/>
          </w:tcPr>
          <w:p>
            <w:pPr>
              <w:spacing w:before="100" w:after="100"/>
            </w:pPr>
            <w:r>
              <w:rPr>
                <w:b/>
                <w:color w:val="FFFFFF"/>
                <w:sz w:val="19"/>
              </w:rPr>
              <w:t>Year 3 Mix</w:t>
            </w:r>
          </w:p>
        </w:tc>
      </w:tr>
      <w:tr>
        <w:tc>
          <w:tcPr>
            <w:tcW w:type="dxa" w:w="1814"/>
            <w:shd w:val="clear" w:color="auto" w:fill="EFF6FF"/>
          </w:tcPr>
          <w:p>
            <w:pPr>
              <w:spacing w:before="80" w:after="80"/>
            </w:pPr>
            <w:r>
              <w:rPr>
                <w:b/>
                <w:color w:val="0F2140"/>
                <w:sz w:val="19"/>
              </w:rPr>
              <w:t>1. Direct Sales</w:t>
            </w:r>
          </w:p>
        </w:tc>
        <w:tc>
          <w:tcPr>
            <w:tcW w:type="dxa" w:w="1814"/>
            <w:shd w:val="clear" w:color="auto" w:fill="EFF6FF"/>
          </w:tcPr>
          <w:p>
            <w:pPr>
              <w:spacing w:before="80" w:after="80"/>
            </w:pPr>
            <w:r>
              <w:rPr>
                <w:color w:val="2D3748"/>
                <w:sz w:val="19"/>
              </w:rPr>
              <w:t>Founder-led outreach and demos, converting pilots to paid accounts</w:t>
            </w:r>
          </w:p>
        </w:tc>
        <w:tc>
          <w:tcPr>
            <w:tcW w:type="dxa" w:w="1814"/>
            <w:shd w:val="clear" w:color="auto" w:fill="EFF6FF"/>
          </w:tcPr>
          <w:p>
            <w:pPr>
              <w:spacing w:before="80" w:after="80"/>
            </w:pPr>
            <w:r>
              <w:rPr>
                <w:color w:val="2D3748"/>
                <w:sz w:val="19"/>
              </w:rPr>
              <w:t>90%</w:t>
            </w:r>
          </w:p>
        </w:tc>
        <w:tc>
          <w:tcPr>
            <w:tcW w:type="dxa" w:w="1814"/>
            <w:shd w:val="clear" w:color="auto" w:fill="EFF6FF"/>
          </w:tcPr>
          <w:p>
            <w:pPr>
              <w:spacing w:before="80" w:after="80"/>
            </w:pPr>
            <w:r>
              <w:rPr>
                <w:color w:val="2D3748"/>
                <w:sz w:val="19"/>
              </w:rPr>
              <w:t>60%</w:t>
            </w:r>
          </w:p>
        </w:tc>
        <w:tc>
          <w:tcPr>
            <w:tcW w:type="dxa" w:w="1814"/>
            <w:shd w:val="clear" w:color="auto" w:fill="EFF6FF"/>
          </w:tcPr>
          <w:p>
            <w:pPr>
              <w:spacing w:before="80" w:after="80"/>
            </w:pPr>
            <w:r>
              <w:rPr>
                <w:color w:val="2D3748"/>
                <w:sz w:val="19"/>
              </w:rPr>
              <w:t>40%</w:t>
            </w:r>
          </w:p>
        </w:tc>
      </w:tr>
      <w:tr>
        <w:tc>
          <w:tcPr>
            <w:tcW w:type="dxa" w:w="1814"/>
            <w:shd w:val="clear" w:color="auto" w:fill="FFFFFF"/>
          </w:tcPr>
          <w:p>
            <w:pPr>
              <w:spacing w:before="80" w:after="80"/>
            </w:pPr>
            <w:r>
              <w:rPr>
                <w:b/>
                <w:color w:val="0F2140"/>
                <w:sz w:val="19"/>
              </w:rPr>
              <w:t>2. Partner Referral</w:t>
            </w:r>
          </w:p>
        </w:tc>
        <w:tc>
          <w:tcPr>
            <w:tcW w:type="dxa" w:w="1814"/>
            <w:shd w:val="clear" w:color="auto" w:fill="FFFFFF"/>
          </w:tcPr>
          <w:p>
            <w:pPr>
              <w:spacing w:before="80" w:after="80"/>
            </w:pPr>
            <w:r>
              <w:rPr>
                <w:color w:val="2D3748"/>
                <w:sz w:val="19"/>
              </w:rPr>
              <w:t>Compliance consultants and fintech associations recommending ScreenDesk</w:t>
            </w:r>
          </w:p>
        </w:tc>
        <w:tc>
          <w:tcPr>
            <w:tcW w:type="dxa" w:w="1814"/>
            <w:shd w:val="clear" w:color="auto" w:fill="FFFFFF"/>
          </w:tcPr>
          <w:p>
            <w:pPr>
              <w:spacing w:before="80" w:after="80"/>
            </w:pPr>
            <w:r>
              <w:rPr>
                <w:color w:val="2D3748"/>
                <w:sz w:val="19"/>
              </w:rPr>
              <w:t>10%</w:t>
            </w:r>
          </w:p>
        </w:tc>
        <w:tc>
          <w:tcPr>
            <w:tcW w:type="dxa" w:w="1814"/>
            <w:shd w:val="clear" w:color="auto" w:fill="FFFFFF"/>
          </w:tcPr>
          <w:p>
            <w:pPr>
              <w:spacing w:before="80" w:after="80"/>
            </w:pPr>
            <w:r>
              <w:rPr>
                <w:color w:val="2D3748"/>
                <w:sz w:val="19"/>
              </w:rPr>
              <w:t>30%</w:t>
            </w:r>
          </w:p>
        </w:tc>
        <w:tc>
          <w:tcPr>
            <w:tcW w:type="dxa" w:w="1814"/>
            <w:shd w:val="clear" w:color="auto" w:fill="FFFFFF"/>
          </w:tcPr>
          <w:p>
            <w:pPr>
              <w:spacing w:before="80" w:after="80"/>
            </w:pPr>
            <w:r>
              <w:rPr>
                <w:color w:val="2D3748"/>
                <w:sz w:val="19"/>
              </w:rPr>
              <w:t>35%</w:t>
            </w:r>
          </w:p>
        </w:tc>
      </w:tr>
      <w:tr>
        <w:tc>
          <w:tcPr>
            <w:tcW w:type="dxa" w:w="1814"/>
            <w:shd w:val="clear" w:color="auto" w:fill="EFF6FF"/>
          </w:tcPr>
          <w:p>
            <w:pPr>
              <w:spacing w:before="80" w:after="80"/>
            </w:pPr>
            <w:r>
              <w:rPr>
                <w:b/>
                <w:color w:val="0F2140"/>
                <w:sz w:val="19"/>
              </w:rPr>
              <w:t>3. Inbound / Content</w:t>
            </w:r>
          </w:p>
        </w:tc>
        <w:tc>
          <w:tcPr>
            <w:tcW w:type="dxa" w:w="1814"/>
            <w:shd w:val="clear" w:color="auto" w:fill="EFF6FF"/>
          </w:tcPr>
          <w:p>
            <w:pPr>
              <w:spacing w:before="80" w:after="80"/>
            </w:pPr>
            <w:r>
              <w:rPr>
                <w:color w:val="2D3748"/>
                <w:sz w:val="19"/>
              </w:rPr>
              <w:t>Thought leadership and community presence generating warm leads</w:t>
            </w:r>
          </w:p>
        </w:tc>
        <w:tc>
          <w:tcPr>
            <w:tcW w:type="dxa" w:w="1814"/>
            <w:shd w:val="clear" w:color="auto" w:fill="EFF6FF"/>
          </w:tcPr>
          <w:p>
            <w:pPr>
              <w:spacing w:before="80" w:after="80"/>
            </w:pPr>
            <w:r>
              <w:rPr>
                <w:color w:val="2D3748"/>
                <w:sz w:val="19"/>
              </w:rPr>
              <w:t>&lt; 5%</w:t>
            </w:r>
          </w:p>
        </w:tc>
        <w:tc>
          <w:tcPr>
            <w:tcW w:type="dxa" w:w="1814"/>
            <w:shd w:val="clear" w:color="auto" w:fill="EFF6FF"/>
          </w:tcPr>
          <w:p>
            <w:pPr>
              <w:spacing w:before="80" w:after="80"/>
            </w:pPr>
            <w:r>
              <w:rPr>
                <w:color w:val="2D3748"/>
                <w:sz w:val="19"/>
              </w:rPr>
              <w:t>10%</w:t>
            </w:r>
          </w:p>
        </w:tc>
        <w:tc>
          <w:tcPr>
            <w:tcW w:type="dxa" w:w="1814"/>
            <w:shd w:val="clear" w:color="auto" w:fill="EFF6FF"/>
          </w:tcPr>
          <w:p>
            <w:pPr>
              <w:spacing w:before="80" w:after="80"/>
            </w:pPr>
            <w:r>
              <w:rPr>
                <w:color w:val="2D3748"/>
                <w:sz w:val="19"/>
              </w:rPr>
              <w:t>25%</w:t>
            </w:r>
          </w:p>
        </w:tc>
      </w:tr>
    </w:tbl>
    <w:p/>
    <w:p>
      <w:r>
        <w:br w:type="page"/>
      </w:r>
    </w:p>
    <w:tbl>
      <w:tblPr>
        <w:tblW w:type="auto" w:w="0"/>
        <w:jc w:val="center"/>
        <w:tblLook w:firstColumn="1" w:firstRow="1" w:lastColumn="0" w:lastRow="0" w:noHBand="0" w:noVBand="1" w:val="04A0"/>
      </w:tblPr>
      <w:tblGrid>
        <w:gridCol w:w="9072"/>
      </w:tblGrid>
      <w:tr>
        <w:tc>
          <w:tcPr>
            <w:tcW w:type="dxa" w:w="9072"/>
            <w:shd w:val="clear" w:color="auto" w:fill="003D78"/>
          </w:tcPr>
          <w:p>
            <w:pPr>
              <w:spacing w:before="200" w:after="60"/>
            </w:pPr>
            <w:r>
              <w:rPr>
                <w:b/>
                <w:color w:val="00C2A8"/>
                <w:sz w:val="18"/>
              </w:rPr>
              <w:t xml:space="preserve">Section 1A   </w:t>
            </w:r>
            <w:r>
              <w:rPr>
                <w:b/>
                <w:color w:val="FFFFFF"/>
                <w:sz w:val="30"/>
              </w:rPr>
              <w:t>Channel 1 — Direct Sales</w:t>
            </w:r>
          </w:p>
          <w:p>
            <w:pPr>
              <w:spacing w:before="40" w:after="200"/>
              <w:ind w:left="72"/>
            </w:pPr>
            <w:r>
              <w:rPr>
                <w:color w:val="CCEEE8"/>
                <w:sz w:val="20"/>
              </w:rPr>
              <w:t>The primary route to market in Year 1.</w:t>
            </w:r>
          </w:p>
        </w:tc>
      </w:tr>
    </w:tbl>
    <w:p/>
    <w:p>
      <w:pPr>
        <w:spacing w:before="260" w:after="80"/>
      </w:pPr>
      <w:r>
        <w:rPr>
          <w:b/>
          <w:color w:val="0F2140"/>
          <w:sz w:val="25"/>
        </w:rPr>
        <w:t>Who Sells and How</w:t>
      </w:r>
    </w:p>
    <w:p>
      <w:pPr>
        <w:spacing w:before="20" w:after="100"/>
      </w:pPr>
      <w:r>
        <w:rPr>
          <w:color w:val="2D3748"/>
          <w:sz w:val="20"/>
        </w:rPr>
        <w:t>In Year 1, the founders sell. This is deliberate — not a temporary workaround. The first 10 customers need someone who can answer hard questions about the product architecture, regulatory positioning, and how the AI works. Only the founding team can do that credibly right now. A hired sales rep comes after the playbook is proven.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0F2140"/>
          </w:tcPr>
          <w:p>
            <w:pPr>
              <w:spacing w:before="100" w:after="100"/>
            </w:pPr>
            <w:r>
              <w:rPr>
                <w:b/>
                <w:color w:val="FFFFFF"/>
                <w:sz w:val="19"/>
              </w:rPr>
              <w:t>Stage</w:t>
            </w:r>
          </w:p>
        </w:tc>
        <w:tc>
          <w:tcPr>
            <w:tcW w:type="dxa" w:w="3744"/>
            <w:shd w:val="clear" w:color="auto" w:fill="0F2140"/>
          </w:tcPr>
          <w:p>
            <w:pPr>
              <w:spacing w:before="100" w:after="100"/>
            </w:pPr>
            <w:r>
              <w:rPr>
                <w:b/>
                <w:color w:val="FFFFFF"/>
                <w:sz w:val="19"/>
              </w:rPr>
              <w:t>What Happens</w:t>
            </w:r>
          </w:p>
        </w:tc>
        <w:tc>
          <w:tcPr>
            <w:tcW w:type="dxa" w:w="1872"/>
            <w:shd w:val="clear" w:color="auto" w:fill="0F2140"/>
          </w:tcPr>
          <w:p>
            <w:pPr>
              <w:spacing w:before="100" w:after="100"/>
            </w:pPr>
            <w:r>
              <w:rPr>
                <w:b/>
                <w:color w:val="FFFFFF"/>
                <w:sz w:val="19"/>
              </w:rPr>
              <w:t>Who Owns It</w:t>
            </w:r>
          </w:p>
        </w:tc>
        <w:tc>
          <w:tcPr>
            <w:tcW w:type="dxa" w:w="1728"/>
            <w:shd w:val="clear" w:color="auto" w:fill="0F2140"/>
          </w:tcPr>
          <w:p>
            <w:pPr>
              <w:spacing w:before="100" w:after="100"/>
            </w:pPr>
            <w:r>
              <w:rPr>
                <w:b/>
                <w:color w:val="FFFFFF"/>
                <w:sz w:val="19"/>
              </w:rPr>
              <w:t>Typical Duration</w:t>
            </w:r>
          </w:p>
        </w:tc>
      </w:tr>
      <w:tr>
        <w:tc>
          <w:tcPr>
            <w:tcW w:type="dxa" w:w="1728"/>
            <w:shd w:val="clear" w:color="auto" w:fill="EFF6FF"/>
          </w:tcPr>
          <w:p>
            <w:pPr>
              <w:spacing w:before="80" w:after="80"/>
            </w:pPr>
            <w:r>
              <w:rPr>
                <w:b/>
                <w:color w:val="0F2140"/>
                <w:sz w:val="19"/>
              </w:rPr>
              <w:t>1. Identify</w:t>
            </w:r>
          </w:p>
        </w:tc>
        <w:tc>
          <w:tcPr>
            <w:tcW w:type="dxa" w:w="3744"/>
            <w:shd w:val="clear" w:color="auto" w:fill="EFF6FF"/>
          </w:tcPr>
          <w:p>
            <w:pPr>
              <w:spacing w:before="80" w:after="80"/>
            </w:pPr>
            <w:r>
              <w:rPr>
                <w:color w:val="2D3748"/>
                <w:sz w:val="19"/>
              </w:rPr>
              <w:t>Find a fintech with the right profile: RBI-licensed, cross-border payments, 1–5 analysts, no dedicated screening tool</w:t>
            </w:r>
          </w:p>
        </w:tc>
        <w:tc>
          <w:tcPr>
            <w:tcW w:type="dxa" w:w="1872"/>
            <w:shd w:val="clear" w:color="auto" w:fill="EFF6FF"/>
          </w:tcPr>
          <w:p>
            <w:pPr>
              <w:spacing w:before="80" w:after="80"/>
            </w:pPr>
            <w:r>
              <w:rPr>
                <w:color w:val="2D3748"/>
                <w:sz w:val="19"/>
              </w:rPr>
              <w:t>Founder</w:t>
            </w:r>
          </w:p>
        </w:tc>
        <w:tc>
          <w:tcPr>
            <w:tcW w:type="dxa" w:w="1728"/>
            <w:shd w:val="clear" w:color="auto" w:fill="EFF6FF"/>
          </w:tcPr>
          <w:p>
            <w:pPr>
              <w:spacing w:before="80" w:after="80"/>
            </w:pPr>
            <w:r>
              <w:rPr>
                <w:color w:val="2D3748"/>
                <w:sz w:val="19"/>
              </w:rPr>
              <w:t>1–2 weeks of research</w:t>
            </w:r>
          </w:p>
        </w:tc>
      </w:tr>
      <w:tr>
        <w:tc>
          <w:tcPr>
            <w:tcW w:type="dxa" w:w="1728"/>
            <w:shd w:val="clear" w:color="auto" w:fill="FFFFFF"/>
          </w:tcPr>
          <w:p>
            <w:pPr>
              <w:spacing w:before="80" w:after="80"/>
            </w:pPr>
            <w:r>
              <w:rPr>
                <w:b/>
                <w:color w:val="0F2140"/>
                <w:sz w:val="19"/>
              </w:rPr>
              <w:t>2. Warm Intro</w:t>
            </w:r>
          </w:p>
        </w:tc>
        <w:tc>
          <w:tcPr>
            <w:tcW w:type="dxa" w:w="3744"/>
            <w:shd w:val="clear" w:color="auto" w:fill="FFFFFF"/>
          </w:tcPr>
          <w:p>
            <w:pPr>
              <w:spacing w:before="80" w:after="80"/>
            </w:pPr>
            <w:r>
              <w:rPr>
                <w:color w:val="2D3748"/>
                <w:sz w:val="19"/>
              </w:rPr>
              <w:t>Get introduced through IIM Calcutta alumni network, a mutual contact, or a fintech association event — cold outreach is a last resort</w:t>
            </w:r>
          </w:p>
        </w:tc>
        <w:tc>
          <w:tcPr>
            <w:tcW w:type="dxa" w:w="1872"/>
            <w:shd w:val="clear" w:color="auto" w:fill="FFFFFF"/>
          </w:tcPr>
          <w:p>
            <w:pPr>
              <w:spacing w:before="80" w:after="80"/>
            </w:pPr>
            <w:r>
              <w:rPr>
                <w:color w:val="2D3748"/>
                <w:sz w:val="19"/>
              </w:rPr>
              <w:t>Founder + alumni network</w:t>
            </w:r>
          </w:p>
        </w:tc>
        <w:tc>
          <w:tcPr>
            <w:tcW w:type="dxa" w:w="1728"/>
            <w:shd w:val="clear" w:color="auto" w:fill="FFFFFF"/>
          </w:tcPr>
          <w:p>
            <w:pPr>
              <w:spacing w:before="80" w:after="80"/>
            </w:pPr>
            <w:r>
              <w:rPr>
                <w:color w:val="2D3748"/>
                <w:sz w:val="19"/>
              </w:rPr>
              <w:t>Ongoing; target 5 intros per month</w:t>
            </w:r>
          </w:p>
        </w:tc>
      </w:tr>
      <w:tr>
        <w:tc>
          <w:tcPr>
            <w:tcW w:type="dxa" w:w="1728"/>
            <w:shd w:val="clear" w:color="auto" w:fill="EFF6FF"/>
          </w:tcPr>
          <w:p>
            <w:pPr>
              <w:spacing w:before="80" w:after="80"/>
            </w:pPr>
            <w:r>
              <w:rPr>
                <w:b/>
                <w:color w:val="0F2140"/>
                <w:sz w:val="19"/>
              </w:rPr>
              <w:t>3. Discovery Call</w:t>
            </w:r>
          </w:p>
        </w:tc>
        <w:tc>
          <w:tcPr>
            <w:tcW w:type="dxa" w:w="3744"/>
            <w:shd w:val="clear" w:color="auto" w:fill="EFF6FF"/>
          </w:tcPr>
          <w:p>
            <w:pPr>
              <w:spacing w:before="80" w:after="80"/>
            </w:pPr>
            <w:r>
              <w:rPr>
                <w:color w:val="2D3748"/>
                <w:sz w:val="19"/>
              </w:rPr>
              <w:t>A 30-minute call to understand their current screening process, volume, and biggest pain point. We listen first, pitch second.</w:t>
            </w:r>
          </w:p>
        </w:tc>
        <w:tc>
          <w:tcPr>
            <w:tcW w:type="dxa" w:w="1872"/>
            <w:shd w:val="clear" w:color="auto" w:fill="EFF6FF"/>
          </w:tcPr>
          <w:p>
            <w:pPr>
              <w:spacing w:before="80" w:after="80"/>
            </w:pPr>
            <w:r>
              <w:rPr>
                <w:color w:val="2D3748"/>
                <w:sz w:val="19"/>
              </w:rPr>
              <w:t>Founder</w:t>
            </w:r>
          </w:p>
        </w:tc>
        <w:tc>
          <w:tcPr>
            <w:tcW w:type="dxa" w:w="1728"/>
            <w:shd w:val="clear" w:color="auto" w:fill="EFF6FF"/>
          </w:tcPr>
          <w:p>
            <w:pPr>
              <w:spacing w:before="80" w:after="80"/>
            </w:pPr>
            <w:r>
              <w:rPr>
                <w:color w:val="2D3748"/>
                <w:sz w:val="19"/>
              </w:rPr>
              <w:t>30 minutes</w:t>
            </w:r>
          </w:p>
        </w:tc>
      </w:tr>
      <w:tr>
        <w:tc>
          <w:tcPr>
            <w:tcW w:type="dxa" w:w="1728"/>
            <w:shd w:val="clear" w:color="auto" w:fill="FFFFFF"/>
          </w:tcPr>
          <w:p>
            <w:pPr>
              <w:spacing w:before="80" w:after="80"/>
            </w:pPr>
            <w:r>
              <w:rPr>
                <w:b/>
                <w:color w:val="0F2140"/>
                <w:sz w:val="19"/>
              </w:rPr>
              <w:t>4. Demo</w:t>
            </w:r>
          </w:p>
        </w:tc>
        <w:tc>
          <w:tcPr>
            <w:tcW w:type="dxa" w:w="3744"/>
            <w:shd w:val="clear" w:color="auto" w:fill="FFFFFF"/>
          </w:tcPr>
          <w:p>
            <w:pPr>
              <w:spacing w:before="80" w:after="80"/>
            </w:pPr>
            <w:r>
              <w:rPr>
                <w:color w:val="2D3748"/>
                <w:sz w:val="19"/>
              </w:rPr>
              <w:t>A live 45-minute demo using their industry's typical alert profile (UAE corridor, trade finance names). We show the evidence card, the audit trail, and the AI rationale — not the settings page.</w:t>
            </w:r>
          </w:p>
        </w:tc>
        <w:tc>
          <w:tcPr>
            <w:tcW w:type="dxa" w:w="1872"/>
            <w:shd w:val="clear" w:color="auto" w:fill="FFFFFF"/>
          </w:tcPr>
          <w:p>
            <w:pPr>
              <w:spacing w:before="80" w:after="80"/>
            </w:pPr>
            <w:r>
              <w:rPr>
                <w:color w:val="2D3748"/>
                <w:sz w:val="19"/>
              </w:rPr>
              <w:t>Founder</w:t>
            </w:r>
          </w:p>
        </w:tc>
        <w:tc>
          <w:tcPr>
            <w:tcW w:type="dxa" w:w="1728"/>
            <w:shd w:val="clear" w:color="auto" w:fill="FFFFFF"/>
          </w:tcPr>
          <w:p>
            <w:pPr>
              <w:spacing w:before="80" w:after="80"/>
            </w:pPr>
            <w:r>
              <w:rPr>
                <w:color w:val="2D3748"/>
                <w:sz w:val="19"/>
              </w:rPr>
              <w:t>45 minutes + 15 min Q&amp;A</w:t>
            </w:r>
          </w:p>
        </w:tc>
      </w:tr>
      <w:tr>
        <w:tc>
          <w:tcPr>
            <w:tcW w:type="dxa" w:w="1728"/>
            <w:shd w:val="clear" w:color="auto" w:fill="EFF6FF"/>
          </w:tcPr>
          <w:p>
            <w:pPr>
              <w:spacing w:before="80" w:after="80"/>
            </w:pPr>
            <w:r>
              <w:rPr>
                <w:b/>
                <w:color w:val="0F2140"/>
                <w:sz w:val="19"/>
              </w:rPr>
              <w:t>5. Pilot Offer</w:t>
            </w:r>
          </w:p>
        </w:tc>
        <w:tc>
          <w:tcPr>
            <w:tcW w:type="dxa" w:w="3744"/>
            <w:shd w:val="clear" w:color="auto" w:fill="EFF6FF"/>
          </w:tcPr>
          <w:p>
            <w:pPr>
              <w:spacing w:before="80" w:after="80"/>
            </w:pPr>
            <w:r>
              <w:rPr>
                <w:color w:val="2D3748"/>
                <w:sz w:val="19"/>
              </w:rPr>
              <w:t>Offer a free 60–90 day pilot with a defined success metric agreed upfront. Both sides sign a simple one-page pilot agreement.</w:t>
            </w:r>
          </w:p>
        </w:tc>
        <w:tc>
          <w:tcPr>
            <w:tcW w:type="dxa" w:w="1872"/>
            <w:shd w:val="clear" w:color="auto" w:fill="EFF6FF"/>
          </w:tcPr>
          <w:p>
            <w:pPr>
              <w:spacing w:before="80" w:after="80"/>
            </w:pPr>
            <w:r>
              <w:rPr>
                <w:color w:val="2D3748"/>
                <w:sz w:val="19"/>
              </w:rPr>
              <w:t>Founder</w:t>
            </w:r>
          </w:p>
        </w:tc>
        <w:tc>
          <w:tcPr>
            <w:tcW w:type="dxa" w:w="1728"/>
            <w:shd w:val="clear" w:color="auto" w:fill="EFF6FF"/>
          </w:tcPr>
          <w:p>
            <w:pPr>
              <w:spacing w:before="80" w:after="80"/>
            </w:pPr>
            <w:r>
              <w:rPr>
                <w:color w:val="2D3748"/>
                <w:sz w:val="19"/>
              </w:rPr>
              <w:t>Same week as demo</w:t>
            </w:r>
          </w:p>
        </w:tc>
      </w:tr>
      <w:tr>
        <w:tc>
          <w:tcPr>
            <w:tcW w:type="dxa" w:w="1728"/>
            <w:shd w:val="clear" w:color="auto" w:fill="FFFFFF"/>
          </w:tcPr>
          <w:p>
            <w:pPr>
              <w:spacing w:before="80" w:after="80"/>
            </w:pPr>
            <w:r>
              <w:rPr>
                <w:b/>
                <w:color w:val="0F2140"/>
                <w:sz w:val="19"/>
              </w:rPr>
              <w:t>6. Pilot-to-Paid</w:t>
            </w:r>
          </w:p>
        </w:tc>
        <w:tc>
          <w:tcPr>
            <w:tcW w:type="dxa" w:w="3744"/>
            <w:shd w:val="clear" w:color="auto" w:fill="FFFFFF"/>
          </w:tcPr>
          <w:p>
            <w:pPr>
              <w:spacing w:before="80" w:after="80"/>
            </w:pPr>
            <w:r>
              <w:rPr>
                <w:color w:val="2D3748"/>
                <w:sz w:val="19"/>
              </w:rPr>
              <w:t>At week 4 and week 8, review the metrics together. If the numbers are good, propose the paid contract.</w:t>
            </w:r>
          </w:p>
        </w:tc>
        <w:tc>
          <w:tcPr>
            <w:tcW w:type="dxa" w:w="1872"/>
            <w:shd w:val="clear" w:color="auto" w:fill="FFFFFF"/>
          </w:tcPr>
          <w:p>
            <w:pPr>
              <w:spacing w:before="80" w:after="80"/>
            </w:pPr>
            <w:r>
              <w:rPr>
                <w:color w:val="2D3748"/>
                <w:sz w:val="19"/>
              </w:rPr>
              <w:t>Founder + CSM</w:t>
            </w:r>
          </w:p>
        </w:tc>
        <w:tc>
          <w:tcPr>
            <w:tcW w:type="dxa" w:w="1728"/>
            <w:shd w:val="clear" w:color="auto" w:fill="FFFFFF"/>
          </w:tcPr>
          <w:p>
            <w:pPr>
              <w:spacing w:before="80" w:after="80"/>
            </w:pPr>
            <w:r>
              <w:rPr>
                <w:color w:val="2D3748"/>
                <w:sz w:val="19"/>
              </w:rPr>
              <w:t>Week 4 and Week 8 of pilot</w:t>
            </w:r>
          </w:p>
        </w:tc>
      </w:tr>
    </w:tbl>
    <w:p/>
    <w:p>
      <w:pPr>
        <w:spacing w:before="260" w:after="80"/>
      </w:pPr>
      <w:r>
        <w:rPr>
          <w:b/>
          <w:color w:val="0F2140"/>
          <w:sz w:val="25"/>
        </w:rPr>
        <w:t>Our Warm Introduction Network — Year 1 Priority</w:t>
      </w:r>
    </w:p>
    <w:p>
      <w:pPr>
        <w:spacing w:before="20" w:after="100"/>
      </w:pPr>
      <w:r>
        <w:rPr>
          <w:color w:val="2D3748"/>
          <w:sz w:val="20"/>
        </w:rPr>
        <w:t>Cold outreach conversion rates in B2B compliance are very low (&lt; 2%). We focus almost entirely on warm introductions through three networks:</w:t>
      </w:r>
    </w:p>
    <w:tbl>
      <w:tblPr>
        <w:tblW w:type="auto" w:w="0"/>
        <w:jc w:val="center"/>
        <w:tblLook w:firstColumn="1" w:firstRow="1" w:lastColumn="0" w:lastRow="0" w:noHBand="0" w:noVBand="1" w:val="04A0"/>
      </w:tblPr>
      <w:tblGrid>
        <w:gridCol w:w="4536"/>
        <w:gridCol w:w="4536"/>
      </w:tblGrid>
      <w:tr>
        <w:tc>
          <w:tcPr>
            <w:tcW w:type="dxa" w:w="720"/>
            <w:shd w:val="clear" w:color="auto" w:fill="0F2140"/>
          </w:tcPr>
          <w:p>
            <w:pPr>
              <w:spacing w:before="280" w:after="280"/>
              <w:jc w:val="center"/>
            </w:pPr>
            <w:r>
              <w:rPr>
                <w:b/>
                <w:color w:val="FFFFFF"/>
                <w:sz w:val="36"/>
              </w:rPr>
              <w:t>1</w:t>
            </w:r>
          </w:p>
        </w:tc>
        <w:tc>
          <w:tcPr>
            <w:tcW w:type="dxa" w:w="4536"/>
            <w:shd w:val="clear" w:color="auto" w:fill="F0F9FF"/>
          </w:tcPr>
          <w:p>
            <w:pPr>
              <w:spacing w:before="160" w:after="40"/>
              <w:ind w:left="144"/>
            </w:pPr>
            <w:r>
              <w:rPr>
                <w:b/>
                <w:color w:val="0F2140"/>
                <w:sz w:val="21"/>
              </w:rPr>
              <w:t>IIM Calcutta Alumni Network</w:t>
            </w:r>
          </w:p>
          <w:p>
            <w:pPr>
              <w:spacing w:before="0" w:after="160"/>
              <w:ind w:left="144"/>
            </w:pPr>
            <w:r>
              <w:rPr>
                <w:color w:val="2D3748"/>
                <w:sz w:val="19"/>
              </w:rPr>
              <w:t>IIM Cal alumni are spread across Indian fintech, banking, and consulting. Many sit on compliance committees or know the MLRO at a target company. A single credible introduction from a shared alumnus converts 5–8x better than a cold email. We map the alumni network to target companies before any outreach begins.</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03D78"/>
          </w:tcPr>
          <w:p>
            <w:pPr>
              <w:spacing w:before="280" w:after="280"/>
              <w:jc w:val="center"/>
            </w:pPr>
            <w:r>
              <w:rPr>
                <w:b/>
                <w:color w:val="FFFFFF"/>
                <w:sz w:val="36"/>
              </w:rPr>
              <w:t>2</w:t>
            </w:r>
          </w:p>
        </w:tc>
        <w:tc>
          <w:tcPr>
            <w:tcW w:type="dxa" w:w="4536"/>
            <w:shd w:val="clear" w:color="auto" w:fill="F0F9FF"/>
          </w:tcPr>
          <w:p>
            <w:pPr>
              <w:spacing w:before="160" w:after="40"/>
              <w:ind w:left="144"/>
            </w:pPr>
            <w:r>
              <w:rPr>
                <w:b/>
                <w:color w:val="0F2140"/>
                <w:sz w:val="21"/>
              </w:rPr>
              <w:t>Fintech Accelerator and Investor Networks</w:t>
            </w:r>
          </w:p>
          <w:p>
            <w:pPr>
              <w:spacing w:before="0" w:after="160"/>
              <w:ind w:left="144"/>
            </w:pPr>
            <w:r>
              <w:rPr>
                <w:color w:val="2D3748"/>
                <w:sz w:val="19"/>
              </w:rPr>
              <w:t>Y Combinator India, Antler, Sequoia Surge, and BharatPe-era founders are all connected to compliance-heavy fintechs. A warm intro from a shared investor or accelerator peer carries near-founder-level credibility. We maintain a list of shared investors and ask for introductions to portfolio companies in our ICP.</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0C2A8"/>
          </w:tcPr>
          <w:p>
            <w:pPr>
              <w:spacing w:before="280" w:after="280"/>
              <w:jc w:val="center"/>
            </w:pPr>
            <w:r>
              <w:rPr>
                <w:b/>
                <w:color w:val="FFFFFF"/>
                <w:sz w:val="36"/>
              </w:rPr>
              <w:t>3</w:t>
            </w:r>
          </w:p>
        </w:tc>
        <w:tc>
          <w:tcPr>
            <w:tcW w:type="dxa" w:w="4536"/>
            <w:shd w:val="clear" w:color="auto" w:fill="F0F9FF"/>
          </w:tcPr>
          <w:p>
            <w:pPr>
              <w:spacing w:before="160" w:after="40"/>
              <w:ind w:left="144"/>
            </w:pPr>
            <w:r>
              <w:rPr>
                <w:b/>
                <w:color w:val="0F2140"/>
                <w:sz w:val="21"/>
              </w:rPr>
              <w:t>The Compliance Community Itself</w:t>
            </w:r>
          </w:p>
          <w:p>
            <w:pPr>
              <w:spacing w:before="0" w:after="160"/>
              <w:ind w:left="144"/>
            </w:pPr>
            <w:r>
              <w:rPr>
                <w:color w:val="2D3748"/>
                <w:sz w:val="19"/>
              </w:rPr>
              <w:t>ACAMS India chapter events, IBA compliance working groups, and FIU-IND outreach programmes bring compliance officers together. Being present — as a speaker, panelist, or working group member — means we meet our buyers where they already gather. One event introduction is worth 50 cold emails.</w:t>
            </w:r>
          </w:p>
        </w:tc>
      </w:tr>
    </w:tbl>
    <w:p/>
    <w:p>
      <w:pPr>
        <w:spacing w:before="260" w:after="80"/>
      </w:pPr>
      <w:r>
        <w:rPr>
          <w:b/>
          <w:color w:val="0F2140"/>
          <w:sz w:val="25"/>
        </w:rPr>
        <w:t>Direct Sales Targets — Year 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2140"/>
          </w:tcPr>
          <w:p>
            <w:pPr>
              <w:spacing w:before="100" w:after="100"/>
            </w:pPr>
            <w:r>
              <w:rPr>
                <w:b/>
                <w:color w:val="FFFFFF"/>
                <w:sz w:val="19"/>
              </w:rPr>
              <w:t>Month</w:t>
            </w:r>
          </w:p>
        </w:tc>
        <w:tc>
          <w:tcPr>
            <w:tcW w:type="dxa" w:w="2268"/>
            <w:shd w:val="clear" w:color="auto" w:fill="0F2140"/>
          </w:tcPr>
          <w:p>
            <w:pPr>
              <w:spacing w:before="100" w:after="100"/>
            </w:pPr>
            <w:r>
              <w:rPr>
                <w:b/>
                <w:color w:val="FFFFFF"/>
                <w:sz w:val="19"/>
              </w:rPr>
              <w:t>Activity Target</w:t>
            </w:r>
          </w:p>
        </w:tc>
        <w:tc>
          <w:tcPr>
            <w:tcW w:type="dxa" w:w="2268"/>
            <w:shd w:val="clear" w:color="auto" w:fill="0F2140"/>
          </w:tcPr>
          <w:p>
            <w:pPr>
              <w:spacing w:before="100" w:after="100"/>
            </w:pPr>
            <w:r>
              <w:rPr>
                <w:b/>
                <w:color w:val="FFFFFF"/>
                <w:sz w:val="19"/>
              </w:rPr>
              <w:t>Pipeline Target</w:t>
            </w:r>
          </w:p>
        </w:tc>
        <w:tc>
          <w:tcPr>
            <w:tcW w:type="dxa" w:w="2268"/>
            <w:shd w:val="clear" w:color="auto" w:fill="0F2140"/>
          </w:tcPr>
          <w:p>
            <w:pPr>
              <w:spacing w:before="100" w:after="100"/>
            </w:pPr>
            <w:r>
              <w:rPr>
                <w:b/>
                <w:color w:val="FFFFFF"/>
                <w:sz w:val="19"/>
              </w:rPr>
              <w:t>Revenue Target</w:t>
            </w:r>
          </w:p>
        </w:tc>
      </w:tr>
      <w:tr>
        <w:tc>
          <w:tcPr>
            <w:tcW w:type="dxa" w:w="2268"/>
            <w:shd w:val="clear" w:color="auto" w:fill="EFF6FF"/>
          </w:tcPr>
          <w:p>
            <w:pPr>
              <w:spacing w:before="80" w:after="80"/>
            </w:pPr>
            <w:r>
              <w:rPr>
                <w:b/>
                <w:color w:val="0F2140"/>
                <w:sz w:val="19"/>
              </w:rPr>
              <w:t>Months 1–2</w:t>
            </w:r>
          </w:p>
        </w:tc>
        <w:tc>
          <w:tcPr>
            <w:tcW w:type="dxa" w:w="2268"/>
            <w:shd w:val="clear" w:color="auto" w:fill="EFF6FF"/>
          </w:tcPr>
          <w:p>
            <w:pPr>
              <w:spacing w:before="80" w:after="80"/>
            </w:pPr>
            <w:r>
              <w:rPr>
                <w:color w:val="2D3748"/>
                <w:sz w:val="19"/>
              </w:rPr>
              <w:t>10 discovery calls completed</w:t>
            </w:r>
          </w:p>
        </w:tc>
        <w:tc>
          <w:tcPr>
            <w:tcW w:type="dxa" w:w="2268"/>
            <w:shd w:val="clear" w:color="auto" w:fill="EFF6FF"/>
          </w:tcPr>
          <w:p>
            <w:pPr>
              <w:spacing w:before="80" w:after="80"/>
            </w:pPr>
            <w:r>
              <w:rPr>
                <w:color w:val="2D3748"/>
                <w:sz w:val="19"/>
              </w:rPr>
              <w:t>3 pilots agreed and started</w:t>
            </w:r>
          </w:p>
        </w:tc>
        <w:tc>
          <w:tcPr>
            <w:tcW w:type="dxa" w:w="2268"/>
            <w:shd w:val="clear" w:color="auto" w:fill="EFF6FF"/>
          </w:tcPr>
          <w:p>
            <w:pPr>
              <w:spacing w:before="80" w:after="80"/>
            </w:pPr>
            <w:r>
              <w:rPr>
                <w:color w:val="2D3748"/>
                <w:sz w:val="19"/>
              </w:rPr>
              <w:t>₹0 (free pilot phase)</w:t>
            </w:r>
          </w:p>
        </w:tc>
      </w:tr>
      <w:tr>
        <w:tc>
          <w:tcPr>
            <w:tcW w:type="dxa" w:w="2268"/>
            <w:shd w:val="clear" w:color="auto" w:fill="FFFFFF"/>
          </w:tcPr>
          <w:p>
            <w:pPr>
              <w:spacing w:before="80" w:after="80"/>
            </w:pPr>
            <w:r>
              <w:rPr>
                <w:b/>
                <w:color w:val="0F2140"/>
                <w:sz w:val="19"/>
              </w:rPr>
              <w:t>Month 3</w:t>
            </w:r>
          </w:p>
        </w:tc>
        <w:tc>
          <w:tcPr>
            <w:tcW w:type="dxa" w:w="2268"/>
            <w:shd w:val="clear" w:color="auto" w:fill="FFFFFF"/>
          </w:tcPr>
          <w:p>
            <w:pPr>
              <w:spacing w:before="80" w:after="80"/>
            </w:pPr>
            <w:r>
              <w:rPr>
                <w:color w:val="2D3748"/>
                <w:sz w:val="19"/>
              </w:rPr>
              <w:t>Week 4 pilot check-ins done</w:t>
            </w:r>
          </w:p>
        </w:tc>
        <w:tc>
          <w:tcPr>
            <w:tcW w:type="dxa" w:w="2268"/>
            <w:shd w:val="clear" w:color="auto" w:fill="FFFFFF"/>
          </w:tcPr>
          <w:p>
            <w:pPr>
              <w:spacing w:before="80" w:after="80"/>
            </w:pPr>
            <w:r>
              <w:rPr>
                <w:color w:val="2D3748"/>
                <w:sz w:val="19"/>
              </w:rPr>
              <w:t>1st conversion conversation begun</w:t>
            </w:r>
          </w:p>
        </w:tc>
        <w:tc>
          <w:tcPr>
            <w:tcW w:type="dxa" w:w="2268"/>
            <w:shd w:val="clear" w:color="auto" w:fill="FFFFFF"/>
          </w:tcPr>
          <w:p>
            <w:pPr>
              <w:spacing w:before="80" w:after="80"/>
            </w:pPr>
            <w:r>
              <w:rPr>
                <w:color w:val="2D3748"/>
                <w:sz w:val="19"/>
              </w:rPr>
              <w:t>₹0 (still in pilot)</w:t>
            </w:r>
          </w:p>
        </w:tc>
      </w:tr>
      <w:tr>
        <w:tc>
          <w:tcPr>
            <w:tcW w:type="dxa" w:w="2268"/>
            <w:shd w:val="clear" w:color="auto" w:fill="EFF6FF"/>
          </w:tcPr>
          <w:p>
            <w:pPr>
              <w:spacing w:before="80" w:after="80"/>
            </w:pPr>
            <w:r>
              <w:rPr>
                <w:b/>
                <w:color w:val="0F2140"/>
                <w:sz w:val="19"/>
              </w:rPr>
              <w:t>Month 4–5</w:t>
            </w:r>
          </w:p>
        </w:tc>
        <w:tc>
          <w:tcPr>
            <w:tcW w:type="dxa" w:w="2268"/>
            <w:shd w:val="clear" w:color="auto" w:fill="EFF6FF"/>
          </w:tcPr>
          <w:p>
            <w:pPr>
              <w:spacing w:before="80" w:after="80"/>
            </w:pPr>
            <w:r>
              <w:rPr>
                <w:color w:val="2D3748"/>
                <w:sz w:val="19"/>
              </w:rPr>
              <w:t>2 pilots converted to paid</w:t>
            </w:r>
          </w:p>
        </w:tc>
        <w:tc>
          <w:tcPr>
            <w:tcW w:type="dxa" w:w="2268"/>
            <w:shd w:val="clear" w:color="auto" w:fill="EFF6FF"/>
          </w:tcPr>
          <w:p>
            <w:pPr>
              <w:spacing w:before="80" w:after="80"/>
            </w:pPr>
            <w:r>
              <w:rPr>
                <w:color w:val="2D3748"/>
                <w:sz w:val="19"/>
              </w:rPr>
              <w:t>3 new pilots in pipeline</w:t>
            </w:r>
          </w:p>
        </w:tc>
        <w:tc>
          <w:tcPr>
            <w:tcW w:type="dxa" w:w="2268"/>
            <w:shd w:val="clear" w:color="auto" w:fill="EFF6FF"/>
          </w:tcPr>
          <w:p>
            <w:pPr>
              <w:spacing w:before="80" w:after="80"/>
            </w:pPr>
            <w:r>
              <w:rPr>
                <w:color w:val="2D3748"/>
                <w:sz w:val="19"/>
              </w:rPr>
              <w:t>₹2.4L–₹4.8L MRR from first customers</w:t>
            </w:r>
          </w:p>
        </w:tc>
      </w:tr>
      <w:tr>
        <w:tc>
          <w:tcPr>
            <w:tcW w:type="dxa" w:w="2268"/>
            <w:shd w:val="clear" w:color="auto" w:fill="FFFFFF"/>
          </w:tcPr>
          <w:p>
            <w:pPr>
              <w:spacing w:before="80" w:after="80"/>
            </w:pPr>
            <w:r>
              <w:rPr>
                <w:b/>
                <w:color w:val="0F2140"/>
                <w:sz w:val="19"/>
              </w:rPr>
              <w:t>Month 6–7</w:t>
            </w:r>
          </w:p>
        </w:tc>
        <w:tc>
          <w:tcPr>
            <w:tcW w:type="dxa" w:w="2268"/>
            <w:shd w:val="clear" w:color="auto" w:fill="FFFFFF"/>
          </w:tcPr>
          <w:p>
            <w:pPr>
              <w:spacing w:before="80" w:after="80"/>
            </w:pPr>
            <w:r>
              <w:rPr>
                <w:color w:val="2D3748"/>
                <w:sz w:val="19"/>
              </w:rPr>
              <w:t>1 more pilot converted</w:t>
            </w:r>
          </w:p>
        </w:tc>
        <w:tc>
          <w:tcPr>
            <w:tcW w:type="dxa" w:w="2268"/>
            <w:shd w:val="clear" w:color="auto" w:fill="FFFFFF"/>
          </w:tcPr>
          <w:p>
            <w:pPr>
              <w:spacing w:before="80" w:after="80"/>
            </w:pPr>
            <w:r>
              <w:rPr>
                <w:color w:val="2D3748"/>
                <w:sz w:val="19"/>
              </w:rPr>
              <w:t>5 new discovery calls per month</w:t>
            </w:r>
          </w:p>
        </w:tc>
        <w:tc>
          <w:tcPr>
            <w:tcW w:type="dxa" w:w="2268"/>
            <w:shd w:val="clear" w:color="auto" w:fill="FFFFFF"/>
          </w:tcPr>
          <w:p>
            <w:pPr>
              <w:spacing w:before="80" w:after="80"/>
            </w:pPr>
            <w:r>
              <w:rPr>
                <w:color w:val="2D3748"/>
                <w:sz w:val="19"/>
              </w:rPr>
              <w:t>₹5–8L MRR</w:t>
            </w:r>
          </w:p>
        </w:tc>
      </w:tr>
      <w:tr>
        <w:tc>
          <w:tcPr>
            <w:tcW w:type="dxa" w:w="2268"/>
            <w:shd w:val="clear" w:color="auto" w:fill="EFF6FF"/>
          </w:tcPr>
          <w:p>
            <w:pPr>
              <w:spacing w:before="80" w:after="80"/>
            </w:pPr>
            <w:r>
              <w:rPr>
                <w:b/>
                <w:color w:val="0F2140"/>
                <w:sz w:val="19"/>
              </w:rPr>
              <w:t>Month 8–9</w:t>
            </w:r>
          </w:p>
        </w:tc>
        <w:tc>
          <w:tcPr>
            <w:tcW w:type="dxa" w:w="2268"/>
            <w:shd w:val="clear" w:color="auto" w:fill="EFF6FF"/>
          </w:tcPr>
          <w:p>
            <w:pPr>
              <w:spacing w:before="80" w:after="80"/>
            </w:pPr>
            <w:r>
              <w:rPr>
                <w:color w:val="2D3748"/>
                <w:sz w:val="19"/>
              </w:rPr>
              <w:t>Second cohort of 3 pilots started</w:t>
            </w:r>
          </w:p>
        </w:tc>
        <w:tc>
          <w:tcPr>
            <w:tcW w:type="dxa" w:w="2268"/>
            <w:shd w:val="clear" w:color="auto" w:fill="EFF6FF"/>
          </w:tcPr>
          <w:p>
            <w:pPr>
              <w:spacing w:before="80" w:after="80"/>
            </w:pPr>
            <w:r>
              <w:rPr>
                <w:color w:val="2D3748"/>
                <w:sz w:val="19"/>
              </w:rPr>
              <w:t>2 more conversions expected</w:t>
            </w:r>
          </w:p>
        </w:tc>
        <w:tc>
          <w:tcPr>
            <w:tcW w:type="dxa" w:w="2268"/>
            <w:shd w:val="clear" w:color="auto" w:fill="EFF6FF"/>
          </w:tcPr>
          <w:p>
            <w:pPr>
              <w:spacing w:before="80" w:after="80"/>
            </w:pPr>
            <w:r>
              <w:rPr>
                <w:color w:val="2D3748"/>
                <w:sz w:val="19"/>
              </w:rPr>
              <w:t>₹15–20L ARR run rate</w:t>
            </w:r>
          </w:p>
        </w:tc>
      </w:tr>
    </w:tbl>
    <w:p/>
    <w:p>
      <w:r>
        <w:br w:type="page"/>
      </w:r>
    </w:p>
    <w:tbl>
      <w:tblPr>
        <w:tblW w:type="auto" w:w="0"/>
        <w:jc w:val="center"/>
        <w:tblLook w:firstColumn="1" w:firstRow="1" w:lastColumn="0" w:lastRow="0" w:noHBand="0" w:noVBand="1" w:val="04A0"/>
      </w:tblPr>
      <w:tblGrid>
        <w:gridCol w:w="9072"/>
      </w:tblGrid>
      <w:tr>
        <w:tc>
          <w:tcPr>
            <w:tcW w:type="dxa" w:w="9072"/>
            <w:shd w:val="clear" w:color="auto" w:fill="003D78"/>
          </w:tcPr>
          <w:p>
            <w:pPr>
              <w:spacing w:before="200" w:after="60"/>
            </w:pPr>
            <w:r>
              <w:rPr>
                <w:b/>
                <w:color w:val="00C2A8"/>
                <w:sz w:val="18"/>
              </w:rPr>
              <w:t xml:space="preserve">Section 1B   </w:t>
            </w:r>
            <w:r>
              <w:rPr>
                <w:b/>
                <w:color w:val="FFFFFF"/>
                <w:sz w:val="30"/>
              </w:rPr>
              <w:t>Channel 2 — Partner Referral</w:t>
            </w:r>
          </w:p>
          <w:p>
            <w:pPr>
              <w:spacing w:before="40" w:after="200"/>
              <w:ind w:left="72"/>
            </w:pPr>
            <w:r>
              <w:rPr>
                <w:color w:val="CCEEE8"/>
                <w:sz w:val="20"/>
              </w:rPr>
              <w:t>Trusted third parties who recommend ScreenDesk to their clients.</w:t>
            </w:r>
          </w:p>
        </w:tc>
      </w:tr>
    </w:tbl>
    <w:p/>
    <w:p>
      <w:pPr>
        <w:spacing w:before="260" w:after="80"/>
      </w:pPr>
      <w:r>
        <w:rPr>
          <w:b/>
          <w:color w:val="0F2140"/>
          <w:sz w:val="25"/>
        </w:rPr>
        <w:t>Why Partners Matter</w:t>
      </w:r>
    </w:p>
    <w:p>
      <w:pPr>
        <w:spacing w:before="20" w:after="100"/>
      </w:pPr>
      <w:r>
        <w:rPr>
          <w:color w:val="2D3748"/>
          <w:sz w:val="20"/>
        </w:rPr>
        <w:t>A compliance consulting firm tells a fintech: "Use ScreenDesk — we've seen it work." That recommendation is worth six months of relationship building. Partners who already have trust relationships with our target customers can open doors we cannot open ourselves.</w:t>
      </w:r>
    </w:p>
    <w:p>
      <w:pPr>
        <w:spacing w:before="260" w:after="80"/>
      </w:pPr>
      <w:r>
        <w:rPr>
          <w:b/>
          <w:color w:val="0F2140"/>
          <w:sz w:val="25"/>
        </w:rPr>
        <w:t>Partner Type 1 — Compliance Consulting Firms</w:t>
      </w:r>
    </w:p>
    <w:p>
      <w:pPr>
        <w:spacing w:before="20" w:after="100"/>
      </w:pPr>
      <w:r>
        <w:rPr>
          <w:color w:val="2D3748"/>
          <w:sz w:val="20"/>
        </w:rPr>
        <w:t>Big-4 and mid-tier consulting firms (Deloitte Risk, EY Forensics &amp; Integrity, PwC Financial Crime, KPMG Regulatory) advise Indian fintechs on their compliance programmes. They are not competitors — they design the compliance framework; ScreenDesk runs it.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What We Offer Partners</w:t>
            </w:r>
          </w:p>
        </w:tc>
        <w:tc>
          <w:tcPr>
            <w:tcW w:type="dxa" w:w="3024"/>
            <w:shd w:val="clear" w:color="auto" w:fill="0F2140"/>
          </w:tcPr>
          <w:p>
            <w:pPr>
              <w:spacing w:before="100" w:after="100"/>
            </w:pPr>
            <w:r>
              <w:rPr>
                <w:b/>
                <w:color w:val="FFFFFF"/>
                <w:sz w:val="19"/>
              </w:rPr>
              <w:t>What Partners Give Us</w:t>
            </w:r>
          </w:p>
        </w:tc>
        <w:tc>
          <w:tcPr>
            <w:tcW w:type="dxa" w:w="3024"/>
            <w:shd w:val="clear" w:color="auto" w:fill="0F2140"/>
          </w:tcPr>
          <w:p>
            <w:pPr>
              <w:spacing w:before="100" w:after="100"/>
            </w:pPr>
            <w:r>
              <w:rPr>
                <w:b/>
                <w:color w:val="FFFFFF"/>
                <w:sz w:val="19"/>
              </w:rPr>
              <w:t>Economics</w:t>
            </w:r>
          </w:p>
        </w:tc>
      </w:tr>
      <w:tr>
        <w:tc>
          <w:tcPr>
            <w:tcW w:type="dxa" w:w="3024"/>
            <w:shd w:val="clear" w:color="auto" w:fill="EFF6FF"/>
          </w:tcPr>
          <w:p>
            <w:pPr>
              <w:spacing w:before="80" w:after="80"/>
            </w:pPr>
            <w:r>
              <w:rPr>
                <w:b/>
                <w:color w:val="0F2140"/>
                <w:sz w:val="19"/>
              </w:rPr>
              <w:t>A tool they can recommend to fintech clients as "the workflow layer" on top of the compliance programme they designed</w:t>
            </w:r>
          </w:p>
        </w:tc>
        <w:tc>
          <w:tcPr>
            <w:tcW w:type="dxa" w:w="3024"/>
            <w:shd w:val="clear" w:color="auto" w:fill="EFF6FF"/>
          </w:tcPr>
          <w:p>
            <w:pPr>
              <w:spacing w:before="80" w:after="80"/>
            </w:pPr>
            <w:r>
              <w:rPr>
                <w:color w:val="2D3748"/>
                <w:sz w:val="19"/>
              </w:rPr>
              <w:t>Referrals to qualified MLROs and compliance heads who already have a consulting relationship and a budget</w:t>
            </w:r>
          </w:p>
        </w:tc>
        <w:tc>
          <w:tcPr>
            <w:tcW w:type="dxa" w:w="3024"/>
            <w:shd w:val="clear" w:color="auto" w:fill="EFF6FF"/>
          </w:tcPr>
          <w:p>
            <w:pPr>
              <w:spacing w:before="80" w:after="80"/>
            </w:pPr>
            <w:r>
              <w:rPr>
                <w:color w:val="2D3748"/>
                <w:sz w:val="19"/>
              </w:rPr>
              <w:t>15% referral commission on Year 1 revenue from referred customers</w:t>
            </w:r>
          </w:p>
        </w:tc>
      </w:tr>
      <w:tr>
        <w:tc>
          <w:tcPr>
            <w:tcW w:type="dxa" w:w="3024"/>
            <w:shd w:val="clear" w:color="auto" w:fill="FFFFFF"/>
          </w:tcPr>
          <w:p>
            <w:pPr>
              <w:spacing w:before="80" w:after="80"/>
            </w:pPr>
            <w:r>
              <w:rPr>
                <w:b/>
                <w:color w:val="0F2140"/>
                <w:sz w:val="19"/>
              </w:rPr>
              <w:t>Co-branded methodology materials: "ScreenDesk powers the sanctions screening workflow in our compliance programme"</w:t>
            </w:r>
          </w:p>
        </w:tc>
        <w:tc>
          <w:tcPr>
            <w:tcW w:type="dxa" w:w="3024"/>
            <w:shd w:val="clear" w:color="auto" w:fill="FFFFFF"/>
          </w:tcPr>
          <w:p>
            <w:pPr>
              <w:spacing w:before="80" w:after="80"/>
            </w:pPr>
            <w:r>
              <w:rPr>
                <w:color w:val="2D3748"/>
                <w:sz w:val="19"/>
              </w:rPr>
              <w:t>Credibility in sales conversations — a Big-4 recommendation removes the "are you trustworthy?" question</w:t>
            </w:r>
          </w:p>
        </w:tc>
        <w:tc>
          <w:tcPr>
            <w:tcW w:type="dxa" w:w="3024"/>
            <w:shd w:val="clear" w:color="auto" w:fill="FFFFFF"/>
          </w:tcPr>
          <w:p>
            <w:pPr>
              <w:spacing w:before="80" w:after="80"/>
            </w:pPr>
            <w:r>
              <w:rPr>
                <w:color w:val="2D3748"/>
                <w:sz w:val="19"/>
              </w:rPr>
              <w:t>Partner portal access + quarterly partner briefing on product roadmap</w:t>
            </w:r>
          </w:p>
        </w:tc>
      </w:tr>
      <w:tr>
        <w:tc>
          <w:tcPr>
            <w:tcW w:type="dxa" w:w="3024"/>
            <w:shd w:val="clear" w:color="auto" w:fill="EFF6FF"/>
          </w:tcPr>
          <w:p>
            <w:pPr>
              <w:spacing w:before="80" w:after="80"/>
            </w:pPr>
            <w:r>
              <w:rPr>
                <w:b/>
                <w:color w:val="0F2140"/>
                <w:sz w:val="19"/>
              </w:rPr>
              <w:t>Training for their analysts on how to use ScreenDesk during client engagements</w:t>
            </w:r>
          </w:p>
        </w:tc>
        <w:tc>
          <w:tcPr>
            <w:tcW w:type="dxa" w:w="3024"/>
            <w:shd w:val="clear" w:color="auto" w:fill="EFF6FF"/>
          </w:tcPr>
          <w:p>
            <w:pPr>
              <w:spacing w:before="80" w:after="80"/>
            </w:pPr>
            <w:r>
              <w:rPr>
                <w:color w:val="2D3748"/>
                <w:sz w:val="19"/>
              </w:rPr>
              <w:t>A reason to bring ScreenDesk into any new fintech compliance engagement they win</w:t>
            </w:r>
          </w:p>
        </w:tc>
        <w:tc>
          <w:tcPr>
            <w:tcW w:type="dxa" w:w="3024"/>
            <w:shd w:val="clear" w:color="auto" w:fill="EFF6FF"/>
          </w:tcPr>
          <w:p>
            <w:pPr>
              <w:spacing w:before="80" w:after="80"/>
            </w:pPr>
            <w:r>
              <w:rPr>
                <w:color w:val="2D3748"/>
                <w:sz w:val="19"/>
              </w:rPr>
              <w:t>Named "implementation partner" status on our website after first 2 joint customers</w:t>
            </w:r>
          </w:p>
        </w:tc>
      </w:tr>
    </w:tbl>
    <w:p/>
    <w:p>
      <w:pPr>
        <w:spacing w:before="260" w:after="80"/>
      </w:pPr>
      <w:r>
        <w:rPr>
          <w:b/>
          <w:color w:val="0F2140"/>
          <w:sz w:val="25"/>
        </w:rPr>
        <w:t>Partner Type 2 — Fintech Associations and Industry Bodies</w:t>
      </w:r>
    </w:p>
    <w:p>
      <w:pPr>
        <w:spacing w:before="20" w:after="100"/>
      </w:pPr>
      <w:r>
        <w:rPr>
          <w:color w:val="2D3748"/>
          <w:sz w:val="20"/>
        </w:rPr>
        <w:t>The India Fintech Forum (IFF), Fintech Association for Consumer Empowerment (FACE), and NASSCOM Fintech are trusted voices in the Indian fintech ecosystem. A recommendation or "associate member" status from these bodies gives ScreenDesk legitimacy with companies we have not yet directly reached.</w:t>
      </w:r>
    </w:p>
    <w:p>
      <w:pPr>
        <w:pStyle w:val="ListBullet"/>
        <w:spacing w:before="20" w:after="80"/>
      </w:pPr>
      <w:r>
        <w:rPr>
          <w:b/>
          <w:color w:val="0F2140"/>
          <w:sz w:val="20"/>
        </w:rPr>
        <w:t xml:space="preserve">ACAMS India Chapter: </w:t>
      </w:r>
      <w:r>
        <w:rPr>
          <w:color w:val="2D3748"/>
          <w:sz w:val="20"/>
        </w:rPr>
        <w:t>Professional body for anti-money laundering compliance officers. Being a chapter sponsor or speaker puts ScreenDesk in front of 500+ Indian AML professionals.</w:t>
      </w:r>
    </w:p>
    <w:p>
      <w:pPr>
        <w:pStyle w:val="ListBullet"/>
        <w:spacing w:before="20" w:after="80"/>
      </w:pPr>
      <w:r>
        <w:rPr>
          <w:b/>
          <w:color w:val="0F2140"/>
          <w:sz w:val="20"/>
        </w:rPr>
        <w:t xml:space="preserve">India Fintech Forum (IFF): </w:t>
      </w:r>
      <w:r>
        <w:rPr>
          <w:color w:val="2D3748"/>
          <w:sz w:val="20"/>
        </w:rPr>
        <w:t>Membership gives access to a directory of 200+ Indian fintechs, most of whom face exactly the compliance challenges ScreenDesk solves.</w:t>
      </w:r>
    </w:p>
    <w:p>
      <w:pPr>
        <w:pStyle w:val="ListBullet"/>
        <w:spacing w:before="20" w:after="80"/>
      </w:pPr>
      <w:r>
        <w:rPr>
          <w:b/>
          <w:color w:val="0F2140"/>
          <w:sz w:val="20"/>
        </w:rPr>
        <w:t xml:space="preserve">IBA (Indian Banks' Association): </w:t>
      </w:r>
      <w:r>
        <w:rPr>
          <w:color w:val="2D3748"/>
          <w:sz w:val="20"/>
        </w:rPr>
        <w:t>Working group membership gives credibility with the banking segment we want to enter in Phase 3.</w:t>
      </w:r>
    </w:p>
    <w:p>
      <w:pPr>
        <w:spacing w:before="260" w:after="80"/>
      </w:pPr>
      <w:r>
        <w:rPr>
          <w:b/>
          <w:color w:val="0F2140"/>
          <w:sz w:val="25"/>
        </w:rPr>
        <w:t>Partner Type 3 — AD Category-I Banks (Correspondent Banking)</w:t>
      </w:r>
    </w:p>
    <w:p>
      <w:pPr>
        <w:spacing w:before="20" w:after="100"/>
      </w:pPr>
      <w:r>
        <w:rPr>
          <w:color w:val="2D3748"/>
          <w:sz w:val="20"/>
        </w:rPr>
        <w:t>Many of our target fintechs (PA/AD Category-II licence holders) rely on an AD Category-I bank as their correspondent bank for cross-border settlements. If an AD bank recommends ScreenDesk to their fintech clients, it is essentially a regulatory endorsement — the most powerful possible referral in this market.</w:t>
      </w:r>
    </w:p>
    <w:tbl>
      <w:tblPr>
        <w:tblW w:type="auto" w:w="0"/>
        <w:jc w:val="center"/>
        <w:tblLook w:firstColumn="1" w:firstRow="1" w:lastColumn="0" w:lastRow="0" w:noHBand="0" w:noVBand="1" w:val="04A0"/>
      </w:tblPr>
      <w:tblGrid>
        <w:gridCol w:w="9072"/>
      </w:tblGrid>
      <w:tr>
        <w:tc>
          <w:tcPr>
            <w:tcW w:type="dxa" w:w="9072"/>
            <w:shd w:val="clear" w:color="auto" w:fill="0F2140"/>
          </w:tcPr>
          <w:p>
            <w:pPr>
              <w:spacing w:before="200" w:after="200"/>
              <w:ind w:left="288" w:right="288"/>
            </w:pPr>
            <w:r>
              <w:rPr>
                <w:b/>
                <w:color w:val="FFFFFF"/>
                <w:sz w:val="20"/>
              </w:rPr>
              <w:t>Target: Identify 1–2 progressive compliance heads at mid-tier AD banks (IDFC First, RBL, IndusInd) who are willing to recommend ScreenDesk to their fintech clients as a "good practice" tool. This is a 12–18 month relationship investment, not a quick win — but the payoff is enormous.</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Partner Activation Timeline</w:t>
            </w:r>
          </w:p>
        </w:tc>
        <w:tc>
          <w:tcPr>
            <w:tcW w:type="dxa" w:w="3024"/>
            <w:shd w:val="clear" w:color="auto" w:fill="0F2140"/>
          </w:tcPr>
          <w:p>
            <w:pPr>
              <w:spacing w:before="100" w:after="100"/>
            </w:pPr>
            <w:r>
              <w:rPr>
                <w:b/>
                <w:color w:val="FFFFFF"/>
                <w:sz w:val="19"/>
              </w:rPr>
              <w:t>What We Do</w:t>
            </w:r>
          </w:p>
        </w:tc>
        <w:tc>
          <w:tcPr>
            <w:tcW w:type="dxa" w:w="3024"/>
            <w:shd w:val="clear" w:color="auto" w:fill="0F2140"/>
          </w:tcPr>
          <w:p>
            <w:pPr>
              <w:spacing w:before="100" w:after="100"/>
            </w:pPr>
            <w:r>
              <w:rPr>
                <w:b/>
                <w:color w:val="FFFFFF"/>
                <w:sz w:val="19"/>
              </w:rPr>
              <w:t>Expected Outcome</w:t>
            </w:r>
          </w:p>
        </w:tc>
      </w:tr>
      <w:tr>
        <w:tc>
          <w:tcPr>
            <w:tcW w:type="dxa" w:w="3024"/>
            <w:shd w:val="clear" w:color="auto" w:fill="EFF6FF"/>
          </w:tcPr>
          <w:p>
            <w:pPr>
              <w:spacing w:before="80" w:after="80"/>
            </w:pPr>
            <w:r>
              <w:rPr>
                <w:b/>
                <w:color w:val="0F2140"/>
                <w:sz w:val="19"/>
              </w:rPr>
              <w:t>Month 1–2</w:t>
            </w:r>
          </w:p>
        </w:tc>
        <w:tc>
          <w:tcPr>
            <w:tcW w:type="dxa" w:w="3024"/>
            <w:shd w:val="clear" w:color="auto" w:fill="EFF6FF"/>
          </w:tcPr>
          <w:p>
            <w:pPr>
              <w:spacing w:before="80" w:after="80"/>
            </w:pPr>
            <w:r>
              <w:rPr>
                <w:color w:val="2D3748"/>
                <w:sz w:val="19"/>
              </w:rPr>
              <w:t>Identify 5 target consulting firms; get intro calls with their financial crime practice leads</w:t>
            </w:r>
          </w:p>
        </w:tc>
        <w:tc>
          <w:tcPr>
            <w:tcW w:type="dxa" w:w="3024"/>
            <w:shd w:val="clear" w:color="auto" w:fill="EFF6FF"/>
          </w:tcPr>
          <w:p>
            <w:pPr>
              <w:spacing w:before="80" w:after="80"/>
            </w:pPr>
            <w:r>
              <w:rPr>
                <w:color w:val="2D3748"/>
                <w:sz w:val="19"/>
              </w:rPr>
              <w:t>2–3 firms agree to explore a referral relationship</w:t>
            </w:r>
          </w:p>
        </w:tc>
      </w:tr>
      <w:tr>
        <w:tc>
          <w:tcPr>
            <w:tcW w:type="dxa" w:w="3024"/>
            <w:shd w:val="clear" w:color="auto" w:fill="FFFFFF"/>
          </w:tcPr>
          <w:p>
            <w:pPr>
              <w:spacing w:before="80" w:after="80"/>
            </w:pPr>
            <w:r>
              <w:rPr>
                <w:b/>
                <w:color w:val="0F2140"/>
                <w:sz w:val="19"/>
              </w:rPr>
              <w:t>Month 2–4</w:t>
            </w:r>
          </w:p>
        </w:tc>
        <w:tc>
          <w:tcPr>
            <w:tcW w:type="dxa" w:w="3024"/>
            <w:shd w:val="clear" w:color="auto" w:fill="FFFFFF"/>
          </w:tcPr>
          <w:p>
            <w:pPr>
              <w:spacing w:before="80" w:after="80"/>
            </w:pPr>
            <w:r>
              <w:rPr>
                <w:color w:val="2D3748"/>
                <w:sz w:val="19"/>
              </w:rPr>
              <w:t>Joint pilot: invite one consulting firm to co-present ScreenDesk to a shared client as part of a compliance programme design engagement</w:t>
            </w:r>
          </w:p>
        </w:tc>
        <w:tc>
          <w:tcPr>
            <w:tcW w:type="dxa" w:w="3024"/>
            <w:shd w:val="clear" w:color="auto" w:fill="FFFFFF"/>
          </w:tcPr>
          <w:p>
            <w:pPr>
              <w:spacing w:before="80" w:after="80"/>
            </w:pPr>
            <w:r>
              <w:rPr>
                <w:color w:val="2D3748"/>
                <w:sz w:val="19"/>
              </w:rPr>
              <w:t>1 joint customer acquired through consulting partner</w:t>
            </w:r>
          </w:p>
        </w:tc>
      </w:tr>
      <w:tr>
        <w:tc>
          <w:tcPr>
            <w:tcW w:type="dxa" w:w="3024"/>
            <w:shd w:val="clear" w:color="auto" w:fill="EFF6FF"/>
          </w:tcPr>
          <w:p>
            <w:pPr>
              <w:spacing w:before="80" w:after="80"/>
            </w:pPr>
            <w:r>
              <w:rPr>
                <w:b/>
                <w:color w:val="0F2140"/>
                <w:sz w:val="19"/>
              </w:rPr>
              <w:t>Month 3–6</w:t>
            </w:r>
          </w:p>
        </w:tc>
        <w:tc>
          <w:tcPr>
            <w:tcW w:type="dxa" w:w="3024"/>
            <w:shd w:val="clear" w:color="auto" w:fill="EFF6FF"/>
          </w:tcPr>
          <w:p>
            <w:pPr>
              <w:spacing w:before="80" w:after="80"/>
            </w:pPr>
            <w:r>
              <w:rPr>
                <w:color w:val="2D3748"/>
                <w:sz w:val="19"/>
              </w:rPr>
              <w:t>ACAMS India Chapter sponsorship; attend 2–3 fintech association events as a speaker or exhibitor</w:t>
            </w:r>
          </w:p>
        </w:tc>
        <w:tc>
          <w:tcPr>
            <w:tcW w:type="dxa" w:w="3024"/>
            <w:shd w:val="clear" w:color="auto" w:fill="EFF6FF"/>
          </w:tcPr>
          <w:p>
            <w:pPr>
              <w:spacing w:before="80" w:after="80"/>
            </w:pPr>
            <w:r>
              <w:rPr>
                <w:color w:val="2D3748"/>
                <w:sz w:val="19"/>
              </w:rPr>
              <w:t>5–10 warm leads from community presence</w:t>
            </w:r>
          </w:p>
        </w:tc>
      </w:tr>
      <w:tr>
        <w:tc>
          <w:tcPr>
            <w:tcW w:type="dxa" w:w="3024"/>
            <w:shd w:val="clear" w:color="auto" w:fill="FFFFFF"/>
          </w:tcPr>
          <w:p>
            <w:pPr>
              <w:spacing w:before="80" w:after="80"/>
            </w:pPr>
            <w:r>
              <w:rPr>
                <w:b/>
                <w:color w:val="0F2140"/>
                <w:sz w:val="19"/>
              </w:rPr>
              <w:t>Month 6–12</w:t>
            </w:r>
          </w:p>
        </w:tc>
        <w:tc>
          <w:tcPr>
            <w:tcW w:type="dxa" w:w="3024"/>
            <w:shd w:val="clear" w:color="auto" w:fill="FFFFFF"/>
          </w:tcPr>
          <w:p>
            <w:pPr>
              <w:spacing w:before="80" w:after="80"/>
            </w:pPr>
            <w:r>
              <w:rPr>
                <w:color w:val="2D3748"/>
                <w:sz w:val="19"/>
              </w:rPr>
              <w:t>Formalise partner programme: signed referral agreements, partner portal, co-marketing materials</w:t>
            </w:r>
          </w:p>
        </w:tc>
        <w:tc>
          <w:tcPr>
            <w:tcW w:type="dxa" w:w="3024"/>
            <w:shd w:val="clear" w:color="auto" w:fill="FFFFFF"/>
          </w:tcPr>
          <w:p>
            <w:pPr>
              <w:spacing w:before="80" w:after="80"/>
            </w:pPr>
            <w:r>
              <w:rPr>
                <w:color w:val="2D3748"/>
                <w:sz w:val="19"/>
              </w:rPr>
              <w:t>Partner channel generating 15–20% of new leads</w:t>
            </w:r>
          </w:p>
        </w:tc>
      </w:tr>
    </w:tbl>
    <w:p/>
    <w:p>
      <w:r>
        <w:br w:type="page"/>
      </w:r>
    </w:p>
    <w:tbl>
      <w:tblPr>
        <w:tblW w:type="auto" w:w="0"/>
        <w:jc w:val="center"/>
        <w:tblLook w:firstColumn="1" w:firstRow="1" w:lastColumn="0" w:lastRow="0" w:noHBand="0" w:noVBand="1" w:val="04A0"/>
      </w:tblPr>
      <w:tblGrid>
        <w:gridCol w:w="9072"/>
      </w:tblGrid>
      <w:tr>
        <w:tc>
          <w:tcPr>
            <w:tcW w:type="dxa" w:w="9072"/>
            <w:shd w:val="clear" w:color="auto" w:fill="003D78"/>
          </w:tcPr>
          <w:p>
            <w:pPr>
              <w:spacing w:before="200" w:after="60"/>
            </w:pPr>
            <w:r>
              <w:rPr>
                <w:b/>
                <w:color w:val="00C2A8"/>
                <w:sz w:val="18"/>
              </w:rPr>
              <w:t xml:space="preserve">Section 1C   </w:t>
            </w:r>
            <w:r>
              <w:rPr>
                <w:b/>
                <w:color w:val="FFFFFF"/>
                <w:sz w:val="30"/>
              </w:rPr>
              <w:t>Channel 3 — Inbound &amp; Content</w:t>
            </w:r>
          </w:p>
          <w:p>
            <w:pPr>
              <w:spacing w:before="40" w:after="200"/>
              <w:ind w:left="72"/>
            </w:pPr>
            <w:r>
              <w:rPr>
                <w:color w:val="CCEEE8"/>
                <w:sz w:val="20"/>
              </w:rPr>
              <w:t>Building the long-term pipeline through thought leadership and community.</w:t>
            </w:r>
          </w:p>
        </w:tc>
      </w:tr>
    </w:tbl>
    <w:p/>
    <w:p>
      <w:pPr>
        <w:spacing w:before="260" w:after="80"/>
      </w:pPr>
      <w:r>
        <w:rPr>
          <w:b/>
          <w:color w:val="0F2140"/>
          <w:sz w:val="25"/>
        </w:rPr>
        <w:t>What Inbound Means for a Compliance Tool</w:t>
      </w:r>
    </w:p>
    <w:p>
      <w:pPr>
        <w:spacing w:before="20" w:after="100"/>
      </w:pPr>
      <w:r>
        <w:rPr>
          <w:color w:val="2D3748"/>
          <w:sz w:val="20"/>
        </w:rPr>
        <w:t>Compliance officers read. They are professional, detail-oriented, and they trust written expertise over sales pitches. A well-written article on "How to handle OFAC name-matching challenges in cross-border payments" will be read, shared, and remembered by exactly the people we want to sell to. Inbound is slow to start but compounds over time — every piece of content is a permanent asset.</w:t>
      </w:r>
    </w:p>
    <w:p>
      <w:pPr>
        <w:spacing w:before="260" w:after="80"/>
      </w:pPr>
      <w:r>
        <w:rPr>
          <w:b/>
          <w:color w:val="0F2140"/>
          <w:sz w:val="25"/>
        </w:rPr>
        <w:t>Content Themes — What We Write About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Topic Area</w:t>
            </w:r>
          </w:p>
        </w:tc>
        <w:tc>
          <w:tcPr>
            <w:tcW w:type="dxa" w:w="3024"/>
            <w:shd w:val="clear" w:color="auto" w:fill="0F2140"/>
          </w:tcPr>
          <w:p>
            <w:pPr>
              <w:spacing w:before="100" w:after="100"/>
            </w:pPr>
            <w:r>
              <w:rPr>
                <w:b/>
                <w:color w:val="FFFFFF"/>
                <w:sz w:val="19"/>
              </w:rPr>
              <w:t>Example Titles</w:t>
            </w:r>
          </w:p>
        </w:tc>
        <w:tc>
          <w:tcPr>
            <w:tcW w:type="dxa" w:w="3024"/>
            <w:shd w:val="clear" w:color="auto" w:fill="0F2140"/>
          </w:tcPr>
          <w:p>
            <w:pPr>
              <w:spacing w:before="100" w:after="100"/>
            </w:pPr>
            <w:r>
              <w:rPr>
                <w:b/>
                <w:color w:val="FFFFFF"/>
                <w:sz w:val="19"/>
              </w:rPr>
              <w:t>Why It Works</w:t>
            </w:r>
          </w:p>
        </w:tc>
      </w:tr>
      <w:tr>
        <w:tc>
          <w:tcPr>
            <w:tcW w:type="dxa" w:w="3024"/>
            <w:shd w:val="clear" w:color="auto" w:fill="EFF6FF"/>
          </w:tcPr>
          <w:p>
            <w:pPr>
              <w:spacing w:before="80" w:after="80"/>
            </w:pPr>
            <w:r>
              <w:rPr>
                <w:b/>
                <w:color w:val="0F2140"/>
                <w:sz w:val="19"/>
              </w:rPr>
              <w:t>False positive reduction</w:t>
            </w:r>
          </w:p>
        </w:tc>
        <w:tc>
          <w:tcPr>
            <w:tcW w:type="dxa" w:w="3024"/>
            <w:shd w:val="clear" w:color="auto" w:fill="EFF6FF"/>
          </w:tcPr>
          <w:p>
            <w:pPr>
              <w:spacing w:before="80" w:after="80"/>
            </w:pPr>
            <w:r>
              <w:rPr>
                <w:color w:val="2D3748"/>
                <w:sz w:val="19"/>
              </w:rPr>
              <w:t>"5 reasons your OFAC screening is generating too many false alarms"</w:t>
              <w:br/>
              <w:t>"How name transliteration causes 40% of false positives in UAE corridor payments"</w:t>
            </w:r>
          </w:p>
        </w:tc>
        <w:tc>
          <w:tcPr>
            <w:tcW w:type="dxa" w:w="3024"/>
            <w:shd w:val="clear" w:color="auto" w:fill="EFF6FF"/>
          </w:tcPr>
          <w:p>
            <w:pPr>
              <w:spacing w:before="80" w:after="80"/>
            </w:pPr>
            <w:r>
              <w:rPr>
                <w:color w:val="2D3748"/>
                <w:sz w:val="19"/>
              </w:rPr>
              <w:t>The #1 daily pain for analysts — anyone facing this will find and read it</w:t>
            </w:r>
          </w:p>
        </w:tc>
      </w:tr>
      <w:tr>
        <w:tc>
          <w:tcPr>
            <w:tcW w:type="dxa" w:w="3024"/>
            <w:shd w:val="clear" w:color="auto" w:fill="FFFFFF"/>
          </w:tcPr>
          <w:p>
            <w:pPr>
              <w:spacing w:before="80" w:after="80"/>
            </w:pPr>
            <w:r>
              <w:rPr>
                <w:b/>
                <w:color w:val="0F2140"/>
                <w:sz w:val="19"/>
              </w:rPr>
              <w:t>FIU-IND / RBI compliance</w:t>
            </w:r>
          </w:p>
        </w:tc>
        <w:tc>
          <w:tcPr>
            <w:tcW w:type="dxa" w:w="3024"/>
            <w:shd w:val="clear" w:color="auto" w:fill="FFFFFF"/>
          </w:tcPr>
          <w:p>
            <w:pPr>
              <w:spacing w:before="80" w:after="80"/>
            </w:pPr>
            <w:r>
              <w:rPr>
                <w:color w:val="2D3748"/>
                <w:sz w:val="19"/>
              </w:rPr>
              <w:t>"What FIU-IND actually looks for in a sanctions screening audit"</w:t>
              <w:br/>
              <w:t>"RBI AD Category-II licence: what your compliance programme needs to include"</w:t>
            </w:r>
          </w:p>
        </w:tc>
        <w:tc>
          <w:tcPr>
            <w:tcW w:type="dxa" w:w="3024"/>
            <w:shd w:val="clear" w:color="auto" w:fill="FFFFFF"/>
          </w:tcPr>
          <w:p>
            <w:pPr>
              <w:spacing w:before="80" w:after="80"/>
            </w:pPr>
            <w:r>
              <w:rPr>
                <w:color w:val="2D3748"/>
                <w:sz w:val="19"/>
              </w:rPr>
              <w:t>Specific regulatory context that generalist vendors do not cover — our India-native advantage</w:t>
            </w:r>
          </w:p>
        </w:tc>
      </w:tr>
      <w:tr>
        <w:tc>
          <w:tcPr>
            <w:tcW w:type="dxa" w:w="3024"/>
            <w:shd w:val="clear" w:color="auto" w:fill="EFF6FF"/>
          </w:tcPr>
          <w:p>
            <w:pPr>
              <w:spacing w:before="80" w:after="80"/>
            </w:pPr>
            <w:r>
              <w:rPr>
                <w:b/>
                <w:color w:val="0F2140"/>
                <w:sz w:val="19"/>
              </w:rPr>
              <w:t>AI in compliance</w:t>
            </w:r>
          </w:p>
        </w:tc>
        <w:tc>
          <w:tcPr>
            <w:tcW w:type="dxa" w:w="3024"/>
            <w:shd w:val="clear" w:color="auto" w:fill="EFF6FF"/>
          </w:tcPr>
          <w:p>
            <w:pPr>
              <w:spacing w:before="80" w:after="80"/>
            </w:pPr>
            <w:r>
              <w:rPr>
                <w:color w:val="2D3748"/>
                <w:sz w:val="19"/>
              </w:rPr>
              <w:t>"Why AI should never make a compliance decision — and what it should do instead"</w:t>
              <w:br/>
              <w:t>"The difference between an AI screening tool and an AI compliance copilot"</w:t>
            </w:r>
          </w:p>
        </w:tc>
        <w:tc>
          <w:tcPr>
            <w:tcW w:type="dxa" w:w="3024"/>
            <w:shd w:val="clear" w:color="auto" w:fill="EFF6FF"/>
          </w:tcPr>
          <w:p>
            <w:pPr>
              <w:spacing w:before="80" w:after="80"/>
            </w:pPr>
            <w:r>
              <w:rPr>
                <w:color w:val="2D3748"/>
                <w:sz w:val="19"/>
              </w:rPr>
              <w:t>We can own the "responsible AI in compliance" conversation in India before anyone else does</w:t>
            </w:r>
          </w:p>
        </w:tc>
      </w:tr>
      <w:tr>
        <w:tc>
          <w:tcPr>
            <w:tcW w:type="dxa" w:w="3024"/>
            <w:shd w:val="clear" w:color="auto" w:fill="FFFFFF"/>
          </w:tcPr>
          <w:p>
            <w:pPr>
              <w:spacing w:before="80" w:after="80"/>
            </w:pPr>
            <w:r>
              <w:rPr>
                <w:b/>
                <w:color w:val="0F2140"/>
                <w:sz w:val="19"/>
              </w:rPr>
              <w:t>Benchmarking</w:t>
            </w:r>
          </w:p>
        </w:tc>
        <w:tc>
          <w:tcPr>
            <w:tcW w:type="dxa" w:w="3024"/>
            <w:shd w:val="clear" w:color="auto" w:fill="FFFFFF"/>
          </w:tcPr>
          <w:p>
            <w:pPr>
              <w:spacing w:before="80" w:after="80"/>
            </w:pPr>
            <w:r>
              <w:rPr>
                <w:color w:val="2D3748"/>
                <w:sz w:val="19"/>
              </w:rPr>
              <w:t>"India Cross-Border Compliance Benchmarking Report — 2026"</w:t>
              <w:br/>
              <w:t>"How long does a sanctions screening alert actually take to disposition? India data."</w:t>
            </w:r>
          </w:p>
        </w:tc>
        <w:tc>
          <w:tcPr>
            <w:tcW w:type="dxa" w:w="3024"/>
            <w:shd w:val="clear" w:color="auto" w:fill="FFFFFF"/>
          </w:tcPr>
          <w:p>
            <w:pPr>
              <w:spacing w:before="80" w:after="80"/>
            </w:pPr>
            <w:r>
              <w:rPr>
                <w:color w:val="2D3748"/>
                <w:sz w:val="19"/>
              </w:rPr>
              <w:t>Original data from our customer base — impossible to replicate; becomes a must-read for compliance teams</w:t>
            </w:r>
          </w:p>
        </w:tc>
      </w:tr>
    </w:tbl>
    <w:p/>
    <w:p>
      <w:pPr>
        <w:spacing w:before="260" w:after="80"/>
      </w:pPr>
      <w:r>
        <w:rPr>
          <w:b/>
          <w:color w:val="0F2140"/>
          <w:sz w:val="25"/>
        </w:rPr>
        <w:t>Where We Publish</w:t>
      </w:r>
    </w:p>
    <w:p>
      <w:pPr>
        <w:pStyle w:val="ListBullet"/>
        <w:spacing w:before="20" w:after="80"/>
      </w:pPr>
      <w:r>
        <w:rPr>
          <w:b/>
          <w:color w:val="0F2140"/>
          <w:sz w:val="20"/>
        </w:rPr>
        <w:t xml:space="preserve">LinkedIn: </w:t>
      </w:r>
      <w:r>
        <w:rPr>
          <w:color w:val="2D3748"/>
          <w:sz w:val="20"/>
        </w:rPr>
        <w:t>Primary platform. Compliance officers are active on LinkedIn; they share articles, comment on regulation news, and follow industry voices. We post 3–4 times per week — short insights, not long essays.</w:t>
      </w:r>
    </w:p>
    <w:p>
      <w:pPr>
        <w:pStyle w:val="ListBullet"/>
        <w:spacing w:before="20" w:after="80"/>
      </w:pPr>
      <w:r>
        <w:rPr>
          <w:b/>
          <w:color w:val="0F2140"/>
          <w:sz w:val="20"/>
        </w:rPr>
        <w:t xml:space="preserve">ACAMS India Newsletter: </w:t>
      </w:r>
      <w:r>
        <w:rPr>
          <w:color w:val="2D3748"/>
          <w:sz w:val="20"/>
        </w:rPr>
        <w:t>Contribute one article per quarter. Reaches 500+ credentialed AML professionals directly in their inbox.</w:t>
      </w:r>
    </w:p>
    <w:p>
      <w:pPr>
        <w:pStyle w:val="ListBullet"/>
        <w:spacing w:before="20" w:after="80"/>
      </w:pPr>
      <w:r>
        <w:rPr>
          <w:b/>
          <w:color w:val="0F2140"/>
          <w:sz w:val="20"/>
        </w:rPr>
        <w:t xml:space="preserve">Company blog (tradepe.in/blog): </w:t>
      </w:r>
      <w:r>
        <w:rPr>
          <w:color w:val="2D3748"/>
          <w:sz w:val="20"/>
        </w:rPr>
        <w:t>Home for longer pieces — 1,000–1,500 word deep dives that rank on Google and can be shared with prospects during sales conversations.</w:t>
      </w:r>
    </w:p>
    <w:p>
      <w:pPr>
        <w:pStyle w:val="ListBullet"/>
        <w:spacing w:before="20" w:after="80"/>
      </w:pPr>
      <w:r>
        <w:rPr>
          <w:b/>
          <w:color w:val="0F2140"/>
          <w:sz w:val="20"/>
        </w:rPr>
        <w:t xml:space="preserve">Annual Benchmarking Report: </w:t>
      </w:r>
      <w:r>
        <w:rPr>
          <w:color w:val="2D3748"/>
          <w:sz w:val="20"/>
        </w:rPr>
        <w:t>Published free, promoted through ACAMS and IFF. This one asset does more for brand credibility than 12 months of ads.</w:t>
      </w:r>
    </w:p>
    <w:p>
      <w:pPr>
        <w:spacing w:before="260" w:after="80"/>
      </w:pPr>
      <w:r>
        <w:rPr>
          <w:b/>
          <w:color w:val="0F2140"/>
          <w:sz w:val="25"/>
        </w:rPr>
        <w:t>Inbound Targets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2140"/>
          </w:tcPr>
          <w:p>
            <w:pPr>
              <w:spacing w:before="100" w:after="100"/>
            </w:pPr>
            <w:r>
              <w:rPr>
                <w:b/>
                <w:color w:val="FFFFFF"/>
                <w:sz w:val="19"/>
              </w:rPr>
              <w:t>Metric</w:t>
            </w:r>
          </w:p>
        </w:tc>
        <w:tc>
          <w:tcPr>
            <w:tcW w:type="dxa" w:w="2268"/>
            <w:shd w:val="clear" w:color="auto" w:fill="0F2140"/>
          </w:tcPr>
          <w:p>
            <w:pPr>
              <w:spacing w:before="100" w:after="100"/>
            </w:pPr>
            <w:r>
              <w:rPr>
                <w:b/>
                <w:color w:val="FFFFFF"/>
                <w:sz w:val="19"/>
              </w:rPr>
              <w:t>Month 3 Target</w:t>
            </w:r>
          </w:p>
        </w:tc>
        <w:tc>
          <w:tcPr>
            <w:tcW w:type="dxa" w:w="2268"/>
            <w:shd w:val="clear" w:color="auto" w:fill="0F2140"/>
          </w:tcPr>
          <w:p>
            <w:pPr>
              <w:spacing w:before="100" w:after="100"/>
            </w:pPr>
            <w:r>
              <w:rPr>
                <w:b/>
                <w:color w:val="FFFFFF"/>
                <w:sz w:val="19"/>
              </w:rPr>
              <w:t>Month 6 Target</w:t>
            </w:r>
          </w:p>
        </w:tc>
        <w:tc>
          <w:tcPr>
            <w:tcW w:type="dxa" w:w="2268"/>
            <w:shd w:val="clear" w:color="auto" w:fill="0F2140"/>
          </w:tcPr>
          <w:p>
            <w:pPr>
              <w:spacing w:before="100" w:after="100"/>
            </w:pPr>
            <w:r>
              <w:rPr>
                <w:b/>
                <w:color w:val="FFFFFF"/>
                <w:sz w:val="19"/>
              </w:rPr>
              <w:t>Month 12 Target</w:t>
            </w:r>
          </w:p>
        </w:tc>
      </w:tr>
      <w:tr>
        <w:tc>
          <w:tcPr>
            <w:tcW w:type="dxa" w:w="2268"/>
            <w:shd w:val="clear" w:color="auto" w:fill="EFF6FF"/>
          </w:tcPr>
          <w:p>
            <w:pPr>
              <w:spacing w:before="80" w:after="80"/>
            </w:pPr>
            <w:r>
              <w:rPr>
                <w:b/>
                <w:color w:val="0F2140"/>
                <w:sz w:val="19"/>
              </w:rPr>
              <w:t>LinkedIn followers (company page)</w:t>
            </w:r>
          </w:p>
        </w:tc>
        <w:tc>
          <w:tcPr>
            <w:tcW w:type="dxa" w:w="2268"/>
            <w:shd w:val="clear" w:color="auto" w:fill="EFF6FF"/>
          </w:tcPr>
          <w:p>
            <w:pPr>
              <w:spacing w:before="80" w:after="80"/>
            </w:pPr>
            <w:r>
              <w:rPr>
                <w:color w:val="2D3748"/>
                <w:sz w:val="19"/>
              </w:rPr>
              <w:t>200</w:t>
            </w:r>
          </w:p>
        </w:tc>
        <w:tc>
          <w:tcPr>
            <w:tcW w:type="dxa" w:w="2268"/>
            <w:shd w:val="clear" w:color="auto" w:fill="EFF6FF"/>
          </w:tcPr>
          <w:p>
            <w:pPr>
              <w:spacing w:before="80" w:after="80"/>
            </w:pPr>
            <w:r>
              <w:rPr>
                <w:color w:val="2D3748"/>
                <w:sz w:val="19"/>
              </w:rPr>
              <w:t>500</w:t>
            </w:r>
          </w:p>
        </w:tc>
        <w:tc>
          <w:tcPr>
            <w:tcW w:type="dxa" w:w="2268"/>
            <w:shd w:val="clear" w:color="auto" w:fill="EFF6FF"/>
          </w:tcPr>
          <w:p>
            <w:pPr>
              <w:spacing w:before="80" w:after="80"/>
            </w:pPr>
            <w:r>
              <w:rPr>
                <w:color w:val="2D3748"/>
                <w:sz w:val="19"/>
              </w:rPr>
              <w:t>1,500</w:t>
            </w:r>
          </w:p>
        </w:tc>
      </w:tr>
      <w:tr>
        <w:tc>
          <w:tcPr>
            <w:tcW w:type="dxa" w:w="2268"/>
            <w:shd w:val="clear" w:color="auto" w:fill="FFFFFF"/>
          </w:tcPr>
          <w:p>
            <w:pPr>
              <w:spacing w:before="80" w:after="80"/>
            </w:pPr>
            <w:r>
              <w:rPr>
                <w:b/>
                <w:color w:val="0F2140"/>
                <w:sz w:val="19"/>
              </w:rPr>
              <w:t>Blog visitors per month</w:t>
            </w:r>
          </w:p>
        </w:tc>
        <w:tc>
          <w:tcPr>
            <w:tcW w:type="dxa" w:w="2268"/>
            <w:shd w:val="clear" w:color="auto" w:fill="FFFFFF"/>
          </w:tcPr>
          <w:p>
            <w:pPr>
              <w:spacing w:before="80" w:after="80"/>
            </w:pPr>
            <w:r>
              <w:rPr>
                <w:color w:val="2D3748"/>
                <w:sz w:val="19"/>
              </w:rPr>
              <w:t>100</w:t>
            </w:r>
          </w:p>
        </w:tc>
        <w:tc>
          <w:tcPr>
            <w:tcW w:type="dxa" w:w="2268"/>
            <w:shd w:val="clear" w:color="auto" w:fill="FFFFFF"/>
          </w:tcPr>
          <w:p>
            <w:pPr>
              <w:spacing w:before="80" w:after="80"/>
            </w:pPr>
            <w:r>
              <w:rPr>
                <w:color w:val="2D3748"/>
                <w:sz w:val="19"/>
              </w:rPr>
              <w:t>500</w:t>
            </w:r>
          </w:p>
        </w:tc>
        <w:tc>
          <w:tcPr>
            <w:tcW w:type="dxa" w:w="2268"/>
            <w:shd w:val="clear" w:color="auto" w:fill="FFFFFF"/>
          </w:tcPr>
          <w:p>
            <w:pPr>
              <w:spacing w:before="80" w:after="80"/>
            </w:pPr>
            <w:r>
              <w:rPr>
                <w:color w:val="2D3748"/>
                <w:sz w:val="19"/>
              </w:rPr>
              <w:t>2,000</w:t>
            </w:r>
          </w:p>
        </w:tc>
      </w:tr>
      <w:tr>
        <w:tc>
          <w:tcPr>
            <w:tcW w:type="dxa" w:w="2268"/>
            <w:shd w:val="clear" w:color="auto" w:fill="EFF6FF"/>
          </w:tcPr>
          <w:p>
            <w:pPr>
              <w:spacing w:before="80" w:after="80"/>
            </w:pPr>
            <w:r>
              <w:rPr>
                <w:b/>
                <w:color w:val="0F2140"/>
                <w:sz w:val="19"/>
              </w:rPr>
              <w:t>Inbound leads per month</w:t>
            </w:r>
          </w:p>
        </w:tc>
        <w:tc>
          <w:tcPr>
            <w:tcW w:type="dxa" w:w="2268"/>
            <w:shd w:val="clear" w:color="auto" w:fill="EFF6FF"/>
          </w:tcPr>
          <w:p>
            <w:pPr>
              <w:spacing w:before="80" w:after="80"/>
            </w:pPr>
            <w:r>
              <w:rPr>
                <w:color w:val="2D3748"/>
                <w:sz w:val="19"/>
              </w:rPr>
              <w:t>0–1</w:t>
            </w:r>
          </w:p>
        </w:tc>
        <w:tc>
          <w:tcPr>
            <w:tcW w:type="dxa" w:w="2268"/>
            <w:shd w:val="clear" w:color="auto" w:fill="EFF6FF"/>
          </w:tcPr>
          <w:p>
            <w:pPr>
              <w:spacing w:before="80" w:after="80"/>
            </w:pPr>
            <w:r>
              <w:rPr>
                <w:color w:val="2D3748"/>
                <w:sz w:val="19"/>
              </w:rPr>
              <w:t>2–3</w:t>
            </w:r>
          </w:p>
        </w:tc>
        <w:tc>
          <w:tcPr>
            <w:tcW w:type="dxa" w:w="2268"/>
            <w:shd w:val="clear" w:color="auto" w:fill="EFF6FF"/>
          </w:tcPr>
          <w:p>
            <w:pPr>
              <w:spacing w:before="80" w:after="80"/>
            </w:pPr>
            <w:r>
              <w:rPr>
                <w:color w:val="2D3748"/>
                <w:sz w:val="19"/>
              </w:rPr>
              <w:t>5–8</w:t>
            </w:r>
          </w:p>
        </w:tc>
      </w:tr>
      <w:tr>
        <w:tc>
          <w:tcPr>
            <w:tcW w:type="dxa" w:w="2268"/>
            <w:shd w:val="clear" w:color="auto" w:fill="FFFFFF"/>
          </w:tcPr>
          <w:p>
            <w:pPr>
              <w:spacing w:before="80" w:after="80"/>
            </w:pPr>
            <w:r>
              <w:rPr>
                <w:b/>
                <w:color w:val="0F2140"/>
                <w:sz w:val="19"/>
              </w:rPr>
              <w:t>Inbound-sourced customers</w:t>
            </w:r>
          </w:p>
        </w:tc>
        <w:tc>
          <w:tcPr>
            <w:tcW w:type="dxa" w:w="2268"/>
            <w:shd w:val="clear" w:color="auto" w:fill="FFFFFF"/>
          </w:tcPr>
          <w:p>
            <w:pPr>
              <w:spacing w:before="80" w:after="80"/>
            </w:pPr>
            <w:r>
              <w:rPr>
                <w:color w:val="2D3748"/>
                <w:sz w:val="19"/>
              </w:rPr>
              <w:t>0</w:t>
            </w:r>
          </w:p>
        </w:tc>
        <w:tc>
          <w:tcPr>
            <w:tcW w:type="dxa" w:w="2268"/>
            <w:shd w:val="clear" w:color="auto" w:fill="FFFFFF"/>
          </w:tcPr>
          <w:p>
            <w:pPr>
              <w:spacing w:before="80" w:after="80"/>
            </w:pPr>
            <w:r>
              <w:rPr>
                <w:color w:val="2D3748"/>
                <w:sz w:val="19"/>
              </w:rPr>
              <w:t>0–1</w:t>
            </w:r>
          </w:p>
        </w:tc>
        <w:tc>
          <w:tcPr>
            <w:tcW w:type="dxa" w:w="2268"/>
            <w:shd w:val="clear" w:color="auto" w:fill="FFFFFF"/>
          </w:tcPr>
          <w:p>
            <w:pPr>
              <w:spacing w:before="80" w:after="80"/>
            </w:pPr>
            <w:r>
              <w:rPr>
                <w:color w:val="2D3748"/>
                <w:sz w:val="19"/>
              </w:rPr>
              <w:t>2–3</w:t>
            </w:r>
          </w:p>
        </w:tc>
      </w:tr>
      <w:tr>
        <w:tc>
          <w:tcPr>
            <w:tcW w:type="dxa" w:w="2268"/>
            <w:shd w:val="clear" w:color="auto" w:fill="EFF6FF"/>
          </w:tcPr>
          <w:p>
            <w:pPr>
              <w:spacing w:before="80" w:after="80"/>
            </w:pPr>
            <w:r>
              <w:rPr>
                <w:b/>
                <w:color w:val="0F2140"/>
                <w:sz w:val="19"/>
              </w:rPr>
              <w:t>Benchmarking report downloads</w:t>
            </w:r>
          </w:p>
        </w:tc>
        <w:tc>
          <w:tcPr>
            <w:tcW w:type="dxa" w:w="2268"/>
            <w:shd w:val="clear" w:color="auto" w:fill="EFF6FF"/>
          </w:tcPr>
          <w:p>
            <w:pPr>
              <w:spacing w:before="80" w:after="80"/>
            </w:pPr>
            <w:r>
              <w:rPr>
                <w:color w:val="2D3748"/>
                <w:sz w:val="19"/>
              </w:rPr>
              <w:t>N/A</w:t>
            </w:r>
          </w:p>
        </w:tc>
        <w:tc>
          <w:tcPr>
            <w:tcW w:type="dxa" w:w="2268"/>
            <w:shd w:val="clear" w:color="auto" w:fill="EFF6FF"/>
          </w:tcPr>
          <w:p>
            <w:pPr>
              <w:spacing w:before="80" w:after="80"/>
            </w:pPr>
            <w:r>
              <w:rPr>
                <w:color w:val="2D3748"/>
                <w:sz w:val="19"/>
              </w:rPr>
              <w:t>100+</w:t>
            </w:r>
          </w:p>
        </w:tc>
        <w:tc>
          <w:tcPr>
            <w:tcW w:type="dxa" w:w="2268"/>
            <w:shd w:val="clear" w:color="auto" w:fill="EFF6FF"/>
          </w:tcPr>
          <w:p>
            <w:pPr>
              <w:spacing w:before="80" w:after="80"/>
            </w:pPr>
            <w:r>
              <w:rPr>
                <w:color w:val="2D3748"/>
                <w:sz w:val="19"/>
              </w:rPr>
              <w:t>500+</w:t>
            </w:r>
          </w:p>
        </w:tc>
      </w:tr>
    </w:tbl>
    <w:p/>
    <w:p>
      <w:pPr>
        <w:spacing w:before="20" w:after="100"/>
      </w:pPr>
      <w:r>
        <w:rPr>
          <w:color w:val="2D3748"/>
          <w:sz w:val="19"/>
        </w:rPr>
        <w:t>Note: Inbound is a Year 2+ revenue driver. In Year 1 it is a brand-building and credibility investment. We track it, but we do not depend on it for the first 9 months of revenue.</w:t>
      </w:r>
    </w:p>
    <w:p>
      <w:r>
        <w:br w:type="page"/>
      </w:r>
    </w:p>
    <w:tbl>
      <w:tblPr>
        <w:tblW w:type="auto" w:w="0"/>
        <w:jc w:val="center"/>
        <w:tblLook w:firstColumn="1" w:firstRow="1" w:lastColumn="0" w:lastRow="0" w:noHBand="0" w:noVBand="1" w:val="04A0"/>
      </w:tblPr>
      <w:tblGrid>
        <w:gridCol w:w="9072"/>
      </w:tblGrid>
      <w:tr>
        <w:tc>
          <w:tcPr>
            <w:tcW w:type="dxa" w:w="9072"/>
            <w:shd w:val="clear" w:color="auto" w:fill="7F1D1D"/>
          </w:tcPr>
          <w:p>
            <w:pPr>
              <w:spacing w:before="200" w:after="60"/>
            </w:pPr>
            <w:r>
              <w:rPr>
                <w:b/>
                <w:color w:val="00C2A8"/>
                <w:sz w:val="18"/>
              </w:rPr>
              <w:t xml:space="preserve">Section 2   </w:t>
            </w:r>
            <w:r>
              <w:rPr>
                <w:b/>
                <w:color w:val="FFFFFF"/>
                <w:sz w:val="30"/>
              </w:rPr>
              <w:t>Launch Plan</w:t>
            </w:r>
          </w:p>
          <w:p>
            <w:pPr>
              <w:spacing w:before="40" w:after="200"/>
              <w:ind w:left="72"/>
            </w:pPr>
            <w:r>
              <w:rPr>
                <w:color w:val="CCEEE8"/>
                <w:sz w:val="20"/>
              </w:rPr>
              <w:t>The step-by-step timeline from prototype to first commercial revenue.</w:t>
            </w:r>
          </w:p>
        </w:tc>
      </w:tr>
    </w:tbl>
    <w:p/>
    <w:p>
      <w:pPr>
        <w:spacing w:before="260" w:after="80"/>
      </w:pPr>
      <w:r>
        <w:rPr>
          <w:b/>
          <w:color w:val="0F2140"/>
          <w:sz w:val="25"/>
        </w:rPr>
        <w:t>The Launch in Three Phases</w:t>
      </w:r>
    </w:p>
    <w:p>
      <w:pPr>
        <w:spacing w:before="20" w:after="100"/>
      </w:pPr>
      <w:r>
        <w:rPr>
          <w:color w:val="2D3748"/>
          <w:sz w:val="20"/>
        </w:rPr>
        <w:t>We do not launch with a press release and a pricing page. We launch by signing three design-partner pilots, delivering measurable value, and converting them to paid customers. Only after that do we make any public market announcement.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F2140"/>
          </w:tcPr>
          <w:p>
            <w:pPr>
              <w:spacing w:before="100" w:after="100"/>
            </w:pPr>
            <w:r>
              <w:rPr>
                <w:b/>
                <w:color w:val="FFFFFF"/>
                <w:sz w:val="19"/>
              </w:rPr>
              <w:t>Phase</w:t>
            </w:r>
          </w:p>
        </w:tc>
        <w:tc>
          <w:tcPr>
            <w:tcW w:type="dxa" w:w="1814"/>
            <w:shd w:val="clear" w:color="auto" w:fill="0F2140"/>
          </w:tcPr>
          <w:p>
            <w:pPr>
              <w:spacing w:before="100" w:after="100"/>
            </w:pPr>
            <w:r>
              <w:rPr>
                <w:b/>
                <w:color w:val="FFFFFF"/>
                <w:sz w:val="19"/>
              </w:rPr>
              <w:t>Name</w:t>
            </w:r>
          </w:p>
        </w:tc>
        <w:tc>
          <w:tcPr>
            <w:tcW w:type="dxa" w:w="1814"/>
            <w:shd w:val="clear" w:color="auto" w:fill="0F2140"/>
          </w:tcPr>
          <w:p>
            <w:pPr>
              <w:spacing w:before="100" w:after="100"/>
            </w:pPr>
            <w:r>
              <w:rPr>
                <w:b/>
                <w:color w:val="FFFFFF"/>
                <w:sz w:val="19"/>
              </w:rPr>
              <w:t>Duration</w:t>
            </w:r>
          </w:p>
        </w:tc>
        <w:tc>
          <w:tcPr>
            <w:tcW w:type="dxa" w:w="1814"/>
            <w:shd w:val="clear" w:color="auto" w:fill="0F2140"/>
          </w:tcPr>
          <w:p>
            <w:pPr>
              <w:spacing w:before="100" w:after="100"/>
            </w:pPr>
            <w:r>
              <w:rPr>
                <w:b/>
                <w:color w:val="FFFFFF"/>
                <w:sz w:val="19"/>
              </w:rPr>
              <w:t>Goal</w:t>
            </w:r>
          </w:p>
        </w:tc>
        <w:tc>
          <w:tcPr>
            <w:tcW w:type="dxa" w:w="1814"/>
            <w:shd w:val="clear" w:color="auto" w:fill="0F2140"/>
          </w:tcPr>
          <w:p>
            <w:pPr>
              <w:spacing w:before="100" w:after="100"/>
            </w:pPr>
            <w:r>
              <w:rPr>
                <w:b/>
                <w:color w:val="FFFFFF"/>
                <w:sz w:val="19"/>
              </w:rPr>
              <w:t>Revenue</w:t>
            </w:r>
          </w:p>
        </w:tc>
      </w:tr>
      <w:tr>
        <w:tc>
          <w:tcPr>
            <w:tcW w:type="dxa" w:w="1814"/>
            <w:shd w:val="clear" w:color="auto" w:fill="EFF6FF"/>
          </w:tcPr>
          <w:p>
            <w:pPr>
              <w:spacing w:before="80" w:after="80"/>
            </w:pPr>
            <w:r>
              <w:rPr>
                <w:b/>
                <w:color w:val="0F2140"/>
                <w:sz w:val="19"/>
              </w:rPr>
              <w:t>Phase 0</w:t>
            </w:r>
          </w:p>
        </w:tc>
        <w:tc>
          <w:tcPr>
            <w:tcW w:type="dxa" w:w="1814"/>
            <w:shd w:val="clear" w:color="auto" w:fill="EFF6FF"/>
          </w:tcPr>
          <w:p>
            <w:pPr>
              <w:spacing w:before="80" w:after="80"/>
            </w:pPr>
            <w:r>
              <w:rPr>
                <w:color w:val="2D3748"/>
                <w:sz w:val="19"/>
              </w:rPr>
              <w:t>Pre-Launch — Fix the Blockers</w:t>
            </w:r>
          </w:p>
        </w:tc>
        <w:tc>
          <w:tcPr>
            <w:tcW w:type="dxa" w:w="1814"/>
            <w:shd w:val="clear" w:color="auto" w:fill="EFF6FF"/>
          </w:tcPr>
          <w:p>
            <w:pPr>
              <w:spacing w:before="80" w:after="80"/>
            </w:pPr>
            <w:r>
              <w:rPr>
                <w:color w:val="2D3748"/>
                <w:sz w:val="19"/>
              </w:rPr>
              <w:t>Now → Launch Day (4–6 weeks)</w:t>
            </w:r>
          </w:p>
        </w:tc>
        <w:tc>
          <w:tcPr>
            <w:tcW w:type="dxa" w:w="1814"/>
            <w:shd w:val="clear" w:color="auto" w:fill="EFF6FF"/>
          </w:tcPr>
          <w:p>
            <w:pPr>
              <w:spacing w:before="80" w:after="80"/>
            </w:pPr>
            <w:r>
              <w:rPr>
                <w:color w:val="2D3748"/>
                <w:sz w:val="19"/>
              </w:rPr>
              <w:t>Resolve all three technical launch blockers</w:t>
            </w:r>
          </w:p>
        </w:tc>
        <w:tc>
          <w:tcPr>
            <w:tcW w:type="dxa" w:w="1814"/>
            <w:shd w:val="clear" w:color="auto" w:fill="EFF6FF"/>
          </w:tcPr>
          <w:p>
            <w:pPr>
              <w:spacing w:before="80" w:after="80"/>
            </w:pPr>
            <w:r>
              <w:rPr>
                <w:color w:val="2D3748"/>
                <w:sz w:val="19"/>
              </w:rPr>
              <w:t>₹0 — no customers yet</w:t>
            </w:r>
          </w:p>
        </w:tc>
      </w:tr>
      <w:tr>
        <w:tc>
          <w:tcPr>
            <w:tcW w:type="dxa" w:w="1814"/>
            <w:shd w:val="clear" w:color="auto" w:fill="FFFFFF"/>
          </w:tcPr>
          <w:p>
            <w:pPr>
              <w:spacing w:before="80" w:after="80"/>
            </w:pPr>
            <w:r>
              <w:rPr>
                <w:b/>
                <w:color w:val="0F2140"/>
                <w:sz w:val="19"/>
              </w:rPr>
              <w:t>Phase 1</w:t>
            </w:r>
          </w:p>
        </w:tc>
        <w:tc>
          <w:tcPr>
            <w:tcW w:type="dxa" w:w="1814"/>
            <w:shd w:val="clear" w:color="auto" w:fill="FFFFFF"/>
          </w:tcPr>
          <w:p>
            <w:pPr>
              <w:spacing w:before="80" w:after="80"/>
            </w:pPr>
            <w:r>
              <w:rPr>
                <w:color w:val="2D3748"/>
                <w:sz w:val="19"/>
              </w:rPr>
              <w:t>Design Partner Pilots</w:t>
            </w:r>
          </w:p>
        </w:tc>
        <w:tc>
          <w:tcPr>
            <w:tcW w:type="dxa" w:w="1814"/>
            <w:shd w:val="clear" w:color="auto" w:fill="FFFFFF"/>
          </w:tcPr>
          <w:p>
            <w:pPr>
              <w:spacing w:before="80" w:after="80"/>
            </w:pPr>
            <w:r>
              <w:rPr>
                <w:color w:val="2D3748"/>
                <w:sz w:val="19"/>
              </w:rPr>
              <w:t>Months 1–3</w:t>
            </w:r>
          </w:p>
        </w:tc>
        <w:tc>
          <w:tcPr>
            <w:tcW w:type="dxa" w:w="1814"/>
            <w:shd w:val="clear" w:color="auto" w:fill="FFFFFF"/>
          </w:tcPr>
          <w:p>
            <w:pPr>
              <w:spacing w:before="80" w:after="80"/>
            </w:pPr>
            <w:r>
              <w:rPr>
                <w:color w:val="2D3748"/>
                <w:sz w:val="19"/>
              </w:rPr>
              <w:t>Run 3 pilots; prove the product delivers value</w:t>
            </w:r>
          </w:p>
        </w:tc>
        <w:tc>
          <w:tcPr>
            <w:tcW w:type="dxa" w:w="1814"/>
            <w:shd w:val="clear" w:color="auto" w:fill="FFFFFF"/>
          </w:tcPr>
          <w:p>
            <w:pPr>
              <w:spacing w:before="80" w:after="80"/>
            </w:pPr>
            <w:r>
              <w:rPr>
                <w:color w:val="2D3748"/>
                <w:sz w:val="19"/>
              </w:rPr>
              <w:t>₹0 — pilots are free</w:t>
            </w:r>
          </w:p>
        </w:tc>
      </w:tr>
      <w:tr>
        <w:tc>
          <w:tcPr>
            <w:tcW w:type="dxa" w:w="1814"/>
            <w:shd w:val="clear" w:color="auto" w:fill="EFF6FF"/>
          </w:tcPr>
          <w:p>
            <w:pPr>
              <w:spacing w:before="80" w:after="80"/>
            </w:pPr>
            <w:r>
              <w:rPr>
                <w:b/>
                <w:color w:val="0F2140"/>
                <w:sz w:val="19"/>
              </w:rPr>
              <w:t>Phase 2</w:t>
            </w:r>
          </w:p>
        </w:tc>
        <w:tc>
          <w:tcPr>
            <w:tcW w:type="dxa" w:w="1814"/>
            <w:shd w:val="clear" w:color="auto" w:fill="EFF6FF"/>
          </w:tcPr>
          <w:p>
            <w:pPr>
              <w:spacing w:before="80" w:after="80"/>
            </w:pPr>
            <w:r>
              <w:rPr>
                <w:color w:val="2D3748"/>
                <w:sz w:val="19"/>
              </w:rPr>
              <w:t>Paid Conversion &amp; Market Entry</w:t>
            </w:r>
          </w:p>
        </w:tc>
        <w:tc>
          <w:tcPr>
            <w:tcW w:type="dxa" w:w="1814"/>
            <w:shd w:val="clear" w:color="auto" w:fill="EFF6FF"/>
          </w:tcPr>
          <w:p>
            <w:pPr>
              <w:spacing w:before="80" w:after="80"/>
            </w:pPr>
            <w:r>
              <w:rPr>
                <w:color w:val="2D3748"/>
                <w:sz w:val="19"/>
              </w:rPr>
              <w:t>Months 3–6</w:t>
            </w:r>
          </w:p>
        </w:tc>
        <w:tc>
          <w:tcPr>
            <w:tcW w:type="dxa" w:w="1814"/>
            <w:shd w:val="clear" w:color="auto" w:fill="EFF6FF"/>
          </w:tcPr>
          <w:p>
            <w:pPr>
              <w:spacing w:before="80" w:after="80"/>
            </w:pPr>
            <w:r>
              <w:rPr>
                <w:color w:val="2D3748"/>
                <w:sz w:val="19"/>
              </w:rPr>
              <w:t>Convert 2 of 3 pilots; publish first case study</w:t>
            </w:r>
          </w:p>
        </w:tc>
        <w:tc>
          <w:tcPr>
            <w:tcW w:type="dxa" w:w="1814"/>
            <w:shd w:val="clear" w:color="auto" w:fill="EFF6FF"/>
          </w:tcPr>
          <w:p>
            <w:pPr>
              <w:spacing w:before="80" w:after="80"/>
            </w:pPr>
            <w:r>
              <w:rPr>
                <w:color w:val="2D3748"/>
                <w:sz w:val="19"/>
              </w:rPr>
              <w:t>₹5–10L MRR</w:t>
            </w:r>
          </w:p>
        </w:tc>
      </w:tr>
      <w:tr>
        <w:tc>
          <w:tcPr>
            <w:tcW w:type="dxa" w:w="1814"/>
            <w:shd w:val="clear" w:color="auto" w:fill="FFFFFF"/>
          </w:tcPr>
          <w:p>
            <w:pPr>
              <w:spacing w:before="80" w:after="80"/>
            </w:pPr>
            <w:r>
              <w:rPr>
                <w:b/>
                <w:color w:val="0F2140"/>
                <w:sz w:val="19"/>
              </w:rPr>
              <w:t>Phase 3</w:t>
            </w:r>
          </w:p>
        </w:tc>
        <w:tc>
          <w:tcPr>
            <w:tcW w:type="dxa" w:w="1814"/>
            <w:shd w:val="clear" w:color="auto" w:fill="FFFFFF"/>
          </w:tcPr>
          <w:p>
            <w:pPr>
              <w:spacing w:before="80" w:after="80"/>
            </w:pPr>
            <w:r>
              <w:rPr>
                <w:color w:val="2D3748"/>
                <w:sz w:val="19"/>
              </w:rPr>
              <w:t>Scale</w:t>
            </w:r>
          </w:p>
        </w:tc>
        <w:tc>
          <w:tcPr>
            <w:tcW w:type="dxa" w:w="1814"/>
            <w:shd w:val="clear" w:color="auto" w:fill="FFFFFF"/>
          </w:tcPr>
          <w:p>
            <w:pPr>
              <w:spacing w:before="80" w:after="80"/>
            </w:pPr>
            <w:r>
              <w:rPr>
                <w:color w:val="2D3748"/>
                <w:sz w:val="19"/>
              </w:rPr>
              <w:t>Months 6–12</w:t>
            </w:r>
          </w:p>
        </w:tc>
        <w:tc>
          <w:tcPr>
            <w:tcW w:type="dxa" w:w="1814"/>
            <w:shd w:val="clear" w:color="auto" w:fill="FFFFFF"/>
          </w:tcPr>
          <w:p>
            <w:pPr>
              <w:spacing w:before="80" w:after="80"/>
            </w:pPr>
            <w:r>
              <w:rPr>
                <w:color w:val="2D3748"/>
                <w:sz w:val="19"/>
              </w:rPr>
              <w:t>8–12 paying customers; activate partner channel</w:t>
            </w:r>
          </w:p>
        </w:tc>
        <w:tc>
          <w:tcPr>
            <w:tcW w:type="dxa" w:w="1814"/>
            <w:shd w:val="clear" w:color="auto" w:fill="FFFFFF"/>
          </w:tcPr>
          <w:p>
            <w:pPr>
              <w:spacing w:before="80" w:after="80"/>
            </w:pPr>
            <w:r>
              <w:rPr>
                <w:color w:val="2D3748"/>
                <w:sz w:val="19"/>
              </w:rPr>
              <w:t>₹15–20L ARR run rate</w:t>
            </w:r>
          </w:p>
        </w:tc>
      </w:tr>
    </w:tbl>
    <w:p/>
    <w:p>
      <w:r>
        <w:br w:type="page"/>
      </w:r>
    </w:p>
    <w:tbl>
      <w:tblPr>
        <w:tblStyle w:val="TableGrid"/>
        <w:tblW w:type="auto" w:w="0"/>
        <w:jc w:val="center"/>
        <w:tblLook w:firstColumn="1" w:firstRow="1" w:lastColumn="0" w:lastRow="0" w:noHBand="0" w:noVBand="1" w:val="04A0"/>
      </w:tblPr>
      <w:tblGrid>
        <w:gridCol w:w="9072"/>
      </w:tblGrid>
      <w:tr>
        <w:tc>
          <w:tcPr>
            <w:tcW w:type="dxa" w:w="9072"/>
            <w:shd w:val="clear" w:color="auto" w:fill="0F2140"/>
          </w:tcPr>
          <w:p>
            <w:pPr>
              <w:spacing w:before="140" w:after="140"/>
            </w:pPr>
            <w:r>
              <w:rPr>
                <w:b/>
                <w:color w:val="00C2A8"/>
                <w:sz w:val="18"/>
              </w:rPr>
              <w:t xml:space="preserve">PHASE 0  </w:t>
            </w:r>
            <w:r>
              <w:rPr>
                <w:b/>
                <w:color w:val="FFFFFF"/>
                <w:sz w:val="24"/>
              </w:rPr>
              <w:t>Pre-Launch — Fix the Blockers</w:t>
            </w:r>
            <w:r>
              <w:rPr>
                <w:color w:val="9AA5B4"/>
                <w:sz w:val="18"/>
              </w:rPr>
              <w:t xml:space="preserve">   Now → Launch Day  (estimated 4–6 weeks)</w:t>
            </w:r>
          </w:p>
        </w:tc>
      </w:tr>
      <w:tr>
        <w:tc>
          <w:tcPr>
            <w:tcW w:type="dxa" w:w="9072"/>
            <w:shd w:val="clear" w:color="auto" w:fill="FFFFFF"/>
          </w:tcPr>
          <w:p/>
          <w:p>
            <w:pPr>
              <w:spacing w:before="60" w:after="60"/>
              <w:ind w:left="216"/>
            </w:pPr>
            <w:r>
              <w:rPr>
                <w:b/>
                <w:color w:val="00C2A8"/>
                <w:sz w:val="18"/>
              </w:rPr>
              <w:t xml:space="preserve">▶  </w:t>
            </w:r>
            <w:r>
              <w:rPr>
                <w:color w:val="2D3748"/>
                <w:sz w:val="19"/>
              </w:rPr>
              <w:t>Fix Blocker 1: Connect live watchlist feeds (OFAC, UN, EU, PEP) with daily refresh</w:t>
            </w:r>
          </w:p>
          <w:p>
            <w:pPr>
              <w:spacing w:before="60" w:after="60"/>
              <w:ind w:left="216"/>
            </w:pPr>
            <w:r>
              <w:rPr>
                <w:b/>
                <w:color w:val="00C2A8"/>
                <w:sz w:val="18"/>
              </w:rPr>
              <w:t xml:space="preserve">▶  </w:t>
            </w:r>
            <w:r>
              <w:rPr>
                <w:color w:val="2D3748"/>
                <w:sz w:val="19"/>
              </w:rPr>
              <w:t>Fix Blocker 2: Build login system with 3 roles (Analyst, Compliance Officer, MLRO)</w:t>
            </w:r>
          </w:p>
          <w:p>
            <w:pPr>
              <w:spacing w:before="60" w:after="60"/>
              <w:ind w:left="216"/>
            </w:pPr>
            <w:r>
              <w:rPr>
                <w:b/>
                <w:color w:val="00C2A8"/>
                <w:sz w:val="18"/>
              </w:rPr>
              <w:t xml:space="preserve">▶  </w:t>
            </w:r>
            <w:r>
              <w:rPr>
                <w:color w:val="2D3748"/>
                <w:sz w:val="19"/>
              </w:rPr>
              <w:t>Fix Blocker 3: Switch to production web server (Gunicorn + Nginx + HTTPS)</w:t>
            </w:r>
          </w:p>
          <w:p>
            <w:pPr>
              <w:spacing w:before="60" w:after="60"/>
              <w:ind w:left="216"/>
            </w:pPr>
            <w:r>
              <w:rPr>
                <w:b/>
                <w:color w:val="00C2A8"/>
                <w:sz w:val="18"/>
              </w:rPr>
              <w:t xml:space="preserve">▶  </w:t>
            </w:r>
            <w:r>
              <w:rPr>
                <w:color w:val="2D3748"/>
                <w:sz w:val="19"/>
              </w:rPr>
              <w:t>Prepare a one-page pilot agreement template (legal review required)</w:t>
            </w:r>
          </w:p>
          <w:p>
            <w:pPr>
              <w:spacing w:before="60" w:after="60"/>
              <w:ind w:left="216"/>
            </w:pPr>
            <w:r>
              <w:rPr>
                <w:b/>
                <w:color w:val="00C2A8"/>
                <w:sz w:val="18"/>
              </w:rPr>
              <w:t xml:space="preserve">▶  </w:t>
            </w:r>
            <w:r>
              <w:rPr>
                <w:color w:val="2D3748"/>
                <w:sz w:val="19"/>
              </w:rPr>
              <w:t>Build the baseline measurement template: current MTD, alert volume, rationale coverage</w:t>
            </w:r>
          </w:p>
          <w:p>
            <w:pPr>
              <w:spacing w:before="60" w:after="60"/>
              <w:ind w:left="216"/>
            </w:pPr>
            <w:r>
              <w:rPr>
                <w:b/>
                <w:color w:val="00C2A8"/>
                <w:sz w:val="18"/>
              </w:rPr>
              <w:t xml:space="preserve">▶  </w:t>
            </w:r>
            <w:r>
              <w:rPr>
                <w:color w:val="2D3748"/>
                <w:sz w:val="19"/>
              </w:rPr>
              <w:t>Identify and shortlist 10 design-partner candidates from the warm intro network</w:t>
            </w:r>
          </w:p>
          <w:p>
            <w:pPr>
              <w:spacing w:before="60" w:after="60"/>
              <w:ind w:left="216"/>
            </w:pPr>
            <w:r>
              <w:rPr>
                <w:b/>
                <w:color w:val="00C2A8"/>
                <w:sz w:val="18"/>
              </w:rPr>
              <w:t xml:space="preserve">▶  </w:t>
            </w:r>
            <w:r>
              <w:rPr>
                <w:color w:val="2D3748"/>
                <w:sz w:val="19"/>
              </w:rPr>
              <w:t>Prepare the demo environment: 3 realistic scenarios for UAE corridor, trade finance, PEP screening</w:t>
            </w:r>
          </w:p>
          <w:p>
            <w:pPr>
              <w:spacing w:before="60" w:after="60"/>
              <w:ind w:left="216"/>
            </w:pPr>
            <w:r>
              <w:rPr>
                <w:b/>
                <w:color w:val="00C2A8"/>
                <w:sz w:val="18"/>
              </w:rPr>
              <w:t xml:space="preserve">▶  </w:t>
            </w:r>
            <w:r>
              <w:rPr>
                <w:color w:val="2D3748"/>
                <w:sz w:val="19"/>
              </w:rPr>
              <w:t>Set up the customer success workflow: onboarding checklist, week 4 check-in template, week 8 review template</w:t>
            </w:r>
          </w:p>
          <w:p>
            <w:pPr>
              <w:spacing w:before="80" w:after="0"/>
            </w:pPr>
          </w:p>
        </w:tc>
      </w:tr>
    </w:tbl>
    <w:p/>
    <w:p>
      <w:pPr>
        <w:spacing w:before="260" w:after="80"/>
      </w:pPr>
      <w:r>
        <w:rPr>
          <w:b/>
          <w:color w:val="0F2140"/>
          <w:sz w:val="25"/>
        </w:rPr>
        <w:t>Pre-Launch Checklist — Nothing Ships Without These</w:t>
      </w:r>
    </w:p>
    <w:tbl>
      <w:tblPr>
        <w:tblStyle w:val="TableGrid"/>
        <w:tblW w:type="auto" w:w="0"/>
        <w:jc w:val="center"/>
        <w:tblLook w:firstColumn="1" w:firstRow="1" w:lastColumn="0" w:lastRow="0" w:noHBand="0" w:noVBand="1" w:val="04A0"/>
      </w:tblPr>
      <w:tblGrid>
        <w:gridCol w:w="4536"/>
        <w:gridCol w:w="4536"/>
      </w:tblGrid>
      <w:tr>
        <w:tc>
          <w:tcPr>
            <w:tcW w:type="dxa" w:w="9072"/>
            <w:gridSpan w:val="2"/>
            <w:shd w:val="clear" w:color="auto" w:fill="003D78"/>
          </w:tcPr>
          <w:p>
            <w:pPr>
              <w:spacing w:before="100" w:after="100"/>
            </w:pPr>
            <w:r>
              <w:rPr>
                <w:b/>
                <w:color w:val="FFFFFF"/>
                <w:sz w:val="20"/>
              </w:rPr>
              <w:t>Technical Readiness</w:t>
            </w:r>
          </w:p>
        </w:tc>
      </w:tr>
      <w:tr>
        <w:tc>
          <w:tcPr>
            <w:tcW w:type="dxa" w:w="4536"/>
            <w:shd w:val="clear" w:color="auto" w:fill="EFF6FF"/>
          </w:tcPr>
          <w:p>
            <w:pPr>
              <w:spacing w:before="80" w:after="80"/>
            </w:pPr>
            <w:r>
              <w:rPr>
                <w:color w:val="2D3748"/>
                <w:sz w:val="19"/>
              </w:rPr>
              <w:t>Live OFAC SDN watchlist connected and refreshing daily</w:t>
            </w:r>
          </w:p>
        </w:tc>
        <w:tc>
          <w:tcPr>
            <w:tcW w:type="dxa" w:w="4536"/>
            <w:shd w:val="clear" w:color="auto" w:fill="EFF6FF"/>
          </w:tcPr>
          <w:p>
            <w:pPr>
              <w:spacing w:before="80" w:after="80"/>
            </w:pPr>
            <w:r>
              <w:rPr>
                <w:b/>
                <w:color w:val="F59E0B"/>
                <w:sz w:val="18"/>
              </w:rPr>
              <w:t>BLOCKER — must complete</w:t>
            </w:r>
          </w:p>
        </w:tc>
      </w:tr>
      <w:tr>
        <w:tc>
          <w:tcPr>
            <w:tcW w:type="dxa" w:w="4536"/>
            <w:shd w:val="clear" w:color="auto" w:fill="FFFFFF"/>
          </w:tcPr>
          <w:p>
            <w:pPr>
              <w:spacing w:before="80" w:after="80"/>
            </w:pPr>
            <w:r>
              <w:rPr>
                <w:color w:val="2D3748"/>
                <w:sz w:val="19"/>
              </w:rPr>
              <w:t>Live UN Consolidated Sanctions List connected</w:t>
            </w:r>
          </w:p>
        </w:tc>
        <w:tc>
          <w:tcPr>
            <w:tcW w:type="dxa" w:w="4536"/>
            <w:shd w:val="clear" w:color="auto" w:fill="FFFFFF"/>
          </w:tcPr>
          <w:p>
            <w:pPr>
              <w:spacing w:before="80" w:after="80"/>
            </w:pPr>
            <w:r>
              <w:rPr>
                <w:b/>
                <w:color w:val="F59E0B"/>
                <w:sz w:val="18"/>
              </w:rPr>
              <w:t>BLOCKER — must complete</w:t>
            </w:r>
          </w:p>
        </w:tc>
      </w:tr>
      <w:tr>
        <w:tc>
          <w:tcPr>
            <w:tcW w:type="dxa" w:w="4536"/>
            <w:shd w:val="clear" w:color="auto" w:fill="EFF6FF"/>
          </w:tcPr>
          <w:p>
            <w:pPr>
              <w:spacing w:before="80" w:after="80"/>
            </w:pPr>
            <w:r>
              <w:rPr>
                <w:color w:val="2D3748"/>
                <w:sz w:val="19"/>
              </w:rPr>
              <w:t>Live EU Financial Sanctions Files connected</w:t>
            </w:r>
          </w:p>
        </w:tc>
        <w:tc>
          <w:tcPr>
            <w:tcW w:type="dxa" w:w="4536"/>
            <w:shd w:val="clear" w:color="auto" w:fill="EFF6FF"/>
          </w:tcPr>
          <w:p>
            <w:pPr>
              <w:spacing w:before="80" w:after="80"/>
            </w:pPr>
            <w:r>
              <w:rPr>
                <w:b/>
                <w:color w:val="F59E0B"/>
                <w:sz w:val="18"/>
              </w:rPr>
              <w:t>BLOCKER — must complete</w:t>
            </w:r>
          </w:p>
        </w:tc>
      </w:tr>
      <w:tr>
        <w:tc>
          <w:tcPr>
            <w:tcW w:type="dxa" w:w="4536"/>
            <w:shd w:val="clear" w:color="auto" w:fill="FFFFFF"/>
          </w:tcPr>
          <w:p>
            <w:pPr>
              <w:spacing w:before="80" w:after="80"/>
            </w:pPr>
            <w:r>
              <w:rPr>
                <w:color w:val="2D3748"/>
                <w:sz w:val="19"/>
              </w:rPr>
              <w:t>Commercial PEP database integrated (Dow Jones / LexisNexis)</w:t>
            </w:r>
          </w:p>
        </w:tc>
        <w:tc>
          <w:tcPr>
            <w:tcW w:type="dxa" w:w="4536"/>
            <w:shd w:val="clear" w:color="auto" w:fill="FFFFFF"/>
          </w:tcPr>
          <w:p>
            <w:pPr>
              <w:spacing w:before="80" w:after="80"/>
            </w:pPr>
            <w:r>
              <w:rPr>
                <w:b/>
                <w:color w:val="F59E0B"/>
                <w:sz w:val="18"/>
              </w:rPr>
              <w:t>BLOCKER — must complete</w:t>
            </w:r>
          </w:p>
        </w:tc>
      </w:tr>
      <w:tr>
        <w:tc>
          <w:tcPr>
            <w:tcW w:type="dxa" w:w="4536"/>
            <w:shd w:val="clear" w:color="auto" w:fill="EFF6FF"/>
          </w:tcPr>
          <w:p>
            <w:pPr>
              <w:spacing w:before="80" w:after="80"/>
            </w:pPr>
            <w:r>
              <w:rPr>
                <w:color w:val="2D3748"/>
                <w:sz w:val="19"/>
              </w:rPr>
              <w:t>Watchlist freshness monitor active (MLRO alert if list &gt; 24h stale)</w:t>
            </w:r>
          </w:p>
        </w:tc>
        <w:tc>
          <w:tcPr>
            <w:tcW w:type="dxa" w:w="4536"/>
            <w:shd w:val="clear" w:color="auto" w:fill="EFF6FF"/>
          </w:tcPr>
          <w:p>
            <w:pPr>
              <w:spacing w:before="80" w:after="80"/>
            </w:pPr>
            <w:r>
              <w:rPr>
                <w:b/>
                <w:color w:val="F59E0B"/>
                <w:sz w:val="18"/>
              </w:rPr>
              <w:t>BLOCKER — must complete</w:t>
            </w:r>
          </w:p>
        </w:tc>
      </w:tr>
      <w:tr>
        <w:tc>
          <w:tcPr>
            <w:tcW w:type="dxa" w:w="4536"/>
            <w:shd w:val="clear" w:color="auto" w:fill="FFFFFF"/>
          </w:tcPr>
          <w:p>
            <w:pPr>
              <w:spacing w:before="80" w:after="80"/>
            </w:pPr>
            <w:r>
              <w:rPr>
                <w:color w:val="2D3748"/>
                <w:sz w:val="19"/>
              </w:rPr>
              <w:t>Login system live: Analyst / Officer / MLRO roles</w:t>
            </w:r>
          </w:p>
        </w:tc>
        <w:tc>
          <w:tcPr>
            <w:tcW w:type="dxa" w:w="4536"/>
            <w:shd w:val="clear" w:color="auto" w:fill="FFFFFF"/>
          </w:tcPr>
          <w:p>
            <w:pPr>
              <w:spacing w:before="80" w:after="80"/>
            </w:pPr>
            <w:r>
              <w:rPr>
                <w:b/>
                <w:color w:val="F59E0B"/>
                <w:sz w:val="18"/>
              </w:rPr>
              <w:t>BLOCKER — must complete</w:t>
            </w:r>
          </w:p>
        </w:tc>
      </w:tr>
      <w:tr>
        <w:tc>
          <w:tcPr>
            <w:tcW w:type="dxa" w:w="4536"/>
            <w:shd w:val="clear" w:color="auto" w:fill="EFF6FF"/>
          </w:tcPr>
          <w:p>
            <w:pPr>
              <w:spacing w:before="80" w:after="80"/>
            </w:pPr>
            <w:r>
              <w:rPr>
                <w:color w:val="2D3748"/>
                <w:sz w:val="19"/>
              </w:rPr>
              <w:t>Production web server (Gunicorn + Nginx, HTTPS, debug=False)</w:t>
            </w:r>
          </w:p>
        </w:tc>
        <w:tc>
          <w:tcPr>
            <w:tcW w:type="dxa" w:w="4536"/>
            <w:shd w:val="clear" w:color="auto" w:fill="EFF6FF"/>
          </w:tcPr>
          <w:p>
            <w:pPr>
              <w:spacing w:before="80" w:after="80"/>
            </w:pPr>
            <w:r>
              <w:rPr>
                <w:b/>
                <w:color w:val="F59E0B"/>
                <w:sz w:val="18"/>
              </w:rPr>
              <w:t>BLOCKER — must complete</w:t>
            </w:r>
          </w:p>
        </w:tc>
      </w:tr>
      <w:tr>
        <w:tc>
          <w:tcPr>
            <w:tcW w:type="dxa" w:w="4536"/>
            <w:shd w:val="clear" w:color="auto" w:fill="FFFFFF"/>
          </w:tcPr>
          <w:p>
            <w:pPr>
              <w:spacing w:before="80" w:after="80"/>
            </w:pPr>
            <w:r>
              <w:rPr>
                <w:color w:val="2D3748"/>
                <w:sz w:val="19"/>
              </w:rPr>
              <w:t>IP allowlist configured for each customer environment</w:t>
            </w:r>
          </w:p>
        </w:tc>
        <w:tc>
          <w:tcPr>
            <w:tcW w:type="dxa" w:w="4536"/>
            <w:shd w:val="clear" w:color="auto" w:fill="FFFFFF"/>
          </w:tcPr>
          <w:p>
            <w:pPr>
              <w:spacing w:before="80" w:after="80"/>
            </w:pPr>
            <w:r>
              <w:rPr>
                <w:b/>
                <w:color w:val="F59E0B"/>
                <w:sz w:val="18"/>
              </w:rPr>
              <w:t>Pre-launch required</w:t>
            </w:r>
          </w:p>
        </w:tc>
      </w:tr>
      <w:tr>
        <w:tc>
          <w:tcPr>
            <w:tcW w:type="dxa" w:w="4536"/>
            <w:shd w:val="clear" w:color="auto" w:fill="EFF6FF"/>
          </w:tcPr>
          <w:p>
            <w:pPr>
              <w:spacing w:before="80" w:after="80"/>
            </w:pPr>
            <w:r>
              <w:rPr>
                <w:color w:val="2D3748"/>
                <w:sz w:val="19"/>
              </w:rPr>
              <w:t>Environment-managed secrets (no API keys in source code)</w:t>
            </w:r>
          </w:p>
        </w:tc>
        <w:tc>
          <w:tcPr>
            <w:tcW w:type="dxa" w:w="4536"/>
            <w:shd w:val="clear" w:color="auto" w:fill="EFF6FF"/>
          </w:tcPr>
          <w:p>
            <w:pPr>
              <w:spacing w:before="80" w:after="80"/>
            </w:pPr>
            <w:r>
              <w:rPr>
                <w:b/>
                <w:color w:val="F59E0B"/>
                <w:sz w:val="18"/>
              </w:rPr>
              <w:t>Pre-launch required</w:t>
            </w:r>
          </w:p>
        </w:tc>
      </w:tr>
      <w:tr>
        <w:tc>
          <w:tcPr>
            <w:tcW w:type="dxa" w:w="4536"/>
            <w:shd w:val="clear" w:color="auto" w:fill="FFFFFF"/>
          </w:tcPr>
          <w:p>
            <w:pPr>
              <w:spacing w:before="80" w:after="80"/>
            </w:pPr>
            <w:r>
              <w:rPr>
                <w:color w:val="2D3748"/>
                <w:sz w:val="19"/>
              </w:rPr>
              <w:t>All 155 automated tests passing on production build</w:t>
            </w:r>
          </w:p>
        </w:tc>
        <w:tc>
          <w:tcPr>
            <w:tcW w:type="dxa" w:w="4536"/>
            <w:shd w:val="clear" w:color="auto" w:fill="FFFFFF"/>
          </w:tcPr>
          <w:p>
            <w:pPr>
              <w:spacing w:before="80" w:after="80"/>
            </w:pPr>
            <w:r>
              <w:rPr>
                <w:b/>
                <w:color w:val="F59E0B"/>
                <w:sz w:val="18"/>
              </w:rPr>
              <w:t>Pre-launch required</w:t>
            </w:r>
          </w:p>
        </w:tc>
      </w:tr>
    </w:tbl>
    <w:p/>
    <w:tbl>
      <w:tblPr>
        <w:tblStyle w:val="TableGrid"/>
        <w:tblW w:type="auto" w:w="0"/>
        <w:jc w:val="center"/>
        <w:tblLook w:firstColumn="1" w:firstRow="1" w:lastColumn="0" w:lastRow="0" w:noHBand="0" w:noVBand="1" w:val="04A0"/>
      </w:tblPr>
      <w:tblGrid>
        <w:gridCol w:w="4536"/>
        <w:gridCol w:w="4536"/>
      </w:tblGrid>
      <w:tr>
        <w:tc>
          <w:tcPr>
            <w:tcW w:type="dxa" w:w="9072"/>
            <w:gridSpan w:val="2"/>
            <w:shd w:val="clear" w:color="auto" w:fill="003D78"/>
          </w:tcPr>
          <w:p>
            <w:pPr>
              <w:spacing w:before="100" w:after="100"/>
            </w:pPr>
            <w:r>
              <w:rPr>
                <w:b/>
                <w:color w:val="FFFFFF"/>
                <w:sz w:val="20"/>
              </w:rPr>
              <w:t>Sales &amp; Legal Readiness</w:t>
            </w:r>
          </w:p>
        </w:tc>
      </w:tr>
      <w:tr>
        <w:tc>
          <w:tcPr>
            <w:tcW w:type="dxa" w:w="4536"/>
            <w:shd w:val="clear" w:color="auto" w:fill="EFF6FF"/>
          </w:tcPr>
          <w:p>
            <w:pPr>
              <w:spacing w:before="80" w:after="80"/>
            </w:pPr>
            <w:r>
              <w:rPr>
                <w:color w:val="2D3748"/>
                <w:sz w:val="19"/>
              </w:rPr>
              <w:t>Pilot agreement template reviewed by a lawyer</w:t>
            </w:r>
          </w:p>
        </w:tc>
        <w:tc>
          <w:tcPr>
            <w:tcW w:type="dxa" w:w="4536"/>
            <w:shd w:val="clear" w:color="auto" w:fill="EFF6FF"/>
          </w:tcPr>
          <w:p>
            <w:pPr>
              <w:spacing w:before="80" w:after="80"/>
            </w:pPr>
            <w:r>
              <w:rPr>
                <w:b/>
                <w:color w:val="F59E0B"/>
                <w:sz w:val="18"/>
              </w:rPr>
              <w:t>Pre-launch required</w:t>
            </w:r>
          </w:p>
        </w:tc>
      </w:tr>
      <w:tr>
        <w:tc>
          <w:tcPr>
            <w:tcW w:type="dxa" w:w="4536"/>
            <w:shd w:val="clear" w:color="auto" w:fill="FFFFFF"/>
          </w:tcPr>
          <w:p>
            <w:pPr>
              <w:spacing w:before="80" w:after="80"/>
            </w:pPr>
            <w:r>
              <w:rPr>
                <w:color w:val="2D3748"/>
                <w:sz w:val="19"/>
              </w:rPr>
              <w:t>Master Services Agreement (MSA) template with liability clause ready</w:t>
            </w:r>
          </w:p>
        </w:tc>
        <w:tc>
          <w:tcPr>
            <w:tcW w:type="dxa" w:w="4536"/>
            <w:shd w:val="clear" w:color="auto" w:fill="FFFFFF"/>
          </w:tcPr>
          <w:p>
            <w:pPr>
              <w:spacing w:before="80" w:after="80"/>
            </w:pPr>
            <w:r>
              <w:rPr>
                <w:b/>
                <w:color w:val="F59E0B"/>
                <w:sz w:val="18"/>
              </w:rPr>
              <w:t>Pre-launch required</w:t>
            </w:r>
          </w:p>
        </w:tc>
      </w:tr>
      <w:tr>
        <w:tc>
          <w:tcPr>
            <w:tcW w:type="dxa" w:w="4536"/>
            <w:shd w:val="clear" w:color="auto" w:fill="EFF6FF"/>
          </w:tcPr>
          <w:p>
            <w:pPr>
              <w:spacing w:before="80" w:after="80"/>
            </w:pPr>
            <w:r>
              <w:rPr>
                <w:color w:val="2D3748"/>
                <w:sz w:val="19"/>
              </w:rPr>
              <w:t>Data processing agreement (for any customer personal data)</w:t>
            </w:r>
          </w:p>
        </w:tc>
        <w:tc>
          <w:tcPr>
            <w:tcW w:type="dxa" w:w="4536"/>
            <w:shd w:val="clear" w:color="auto" w:fill="EFF6FF"/>
          </w:tcPr>
          <w:p>
            <w:pPr>
              <w:spacing w:before="80" w:after="80"/>
            </w:pPr>
            <w:r>
              <w:rPr>
                <w:b/>
                <w:color w:val="F59E0B"/>
                <w:sz w:val="18"/>
              </w:rPr>
              <w:t>Pre-launch required</w:t>
            </w:r>
          </w:p>
        </w:tc>
      </w:tr>
      <w:tr>
        <w:tc>
          <w:tcPr>
            <w:tcW w:type="dxa" w:w="4536"/>
            <w:shd w:val="clear" w:color="auto" w:fill="FFFFFF"/>
          </w:tcPr>
          <w:p>
            <w:pPr>
              <w:spacing w:before="80" w:after="80"/>
            </w:pPr>
            <w:r>
              <w:rPr>
                <w:color w:val="2D3748"/>
                <w:sz w:val="19"/>
              </w:rPr>
              <w:t>Demo environment with 3 realistic scenarios prepared</w:t>
            </w:r>
          </w:p>
        </w:tc>
        <w:tc>
          <w:tcPr>
            <w:tcW w:type="dxa" w:w="4536"/>
            <w:shd w:val="clear" w:color="auto" w:fill="FFFFFF"/>
          </w:tcPr>
          <w:p>
            <w:pPr>
              <w:spacing w:before="80" w:after="80"/>
            </w:pPr>
            <w:r>
              <w:rPr>
                <w:b/>
                <w:color w:val="F59E0B"/>
                <w:sz w:val="18"/>
              </w:rPr>
              <w:t>Pre-launch required</w:t>
            </w:r>
          </w:p>
        </w:tc>
      </w:tr>
      <w:tr>
        <w:tc>
          <w:tcPr>
            <w:tcW w:type="dxa" w:w="4536"/>
            <w:shd w:val="clear" w:color="auto" w:fill="EFF6FF"/>
          </w:tcPr>
          <w:p>
            <w:pPr>
              <w:spacing w:before="80" w:after="80"/>
            </w:pPr>
            <w:r>
              <w:rPr>
                <w:color w:val="2D3748"/>
                <w:sz w:val="19"/>
              </w:rPr>
              <w:t>Onboarding checklist and user guide written (Analyst + MLRO versions)</w:t>
            </w:r>
          </w:p>
        </w:tc>
        <w:tc>
          <w:tcPr>
            <w:tcW w:type="dxa" w:w="4536"/>
            <w:shd w:val="clear" w:color="auto" w:fill="EFF6FF"/>
          </w:tcPr>
          <w:p>
            <w:pPr>
              <w:spacing w:before="80" w:after="80"/>
            </w:pPr>
            <w:r>
              <w:rPr>
                <w:b/>
                <w:color w:val="F59E0B"/>
                <w:sz w:val="18"/>
              </w:rPr>
              <w:t>Pre-launch required</w:t>
            </w:r>
          </w:p>
        </w:tc>
      </w:tr>
      <w:tr>
        <w:tc>
          <w:tcPr>
            <w:tcW w:type="dxa" w:w="4536"/>
            <w:shd w:val="clear" w:color="auto" w:fill="FFFFFF"/>
          </w:tcPr>
          <w:p>
            <w:pPr>
              <w:spacing w:before="80" w:after="80"/>
            </w:pPr>
            <w:r>
              <w:rPr>
                <w:color w:val="2D3748"/>
                <w:sz w:val="19"/>
              </w:rPr>
              <w:t>Baseline measurement template prepared for each pilot customer</w:t>
            </w:r>
          </w:p>
        </w:tc>
        <w:tc>
          <w:tcPr>
            <w:tcW w:type="dxa" w:w="4536"/>
            <w:shd w:val="clear" w:color="auto" w:fill="FFFFFF"/>
          </w:tcPr>
          <w:p>
            <w:pPr>
              <w:spacing w:before="80" w:after="80"/>
            </w:pPr>
            <w:r>
              <w:rPr>
                <w:b/>
                <w:color w:val="F59E0B"/>
                <w:sz w:val="18"/>
              </w:rPr>
              <w:t>Pre-launch required</w:t>
            </w:r>
          </w:p>
        </w:tc>
      </w:tr>
      <w:tr>
        <w:tc>
          <w:tcPr>
            <w:tcW w:type="dxa" w:w="4536"/>
            <w:shd w:val="clear" w:color="auto" w:fill="EFF6FF"/>
          </w:tcPr>
          <w:p>
            <w:pPr>
              <w:spacing w:before="80" w:after="80"/>
            </w:pPr>
            <w:r>
              <w:rPr>
                <w:color w:val="2D3748"/>
                <w:sz w:val="19"/>
              </w:rPr>
              <w:t>3 design-partner candidates identified and intro calls booked</w:t>
            </w:r>
          </w:p>
        </w:tc>
        <w:tc>
          <w:tcPr>
            <w:tcW w:type="dxa" w:w="4536"/>
            <w:shd w:val="clear" w:color="auto" w:fill="EFF6FF"/>
          </w:tcPr>
          <w:p>
            <w:pPr>
              <w:spacing w:before="80" w:after="80"/>
            </w:pPr>
            <w:r>
              <w:rPr>
                <w:b/>
                <w:color w:val="F59E0B"/>
                <w:sz w:val="18"/>
              </w:rPr>
              <w:t>Pre-launch required</w:t>
            </w:r>
          </w:p>
        </w:tc>
      </w:tr>
    </w:tbl>
    <w:p/>
    <w:p>
      <w:r>
        <w:br w:type="page"/>
      </w:r>
    </w:p>
    <w:tbl>
      <w:tblPr>
        <w:tblStyle w:val="TableGrid"/>
        <w:tblW w:type="auto" w:w="0"/>
        <w:jc w:val="center"/>
        <w:tblLook w:firstColumn="1" w:firstRow="1" w:lastColumn="0" w:lastRow="0" w:noHBand="0" w:noVBand="1" w:val="04A0"/>
      </w:tblPr>
      <w:tblGrid>
        <w:gridCol w:w="9072"/>
      </w:tblGrid>
      <w:tr>
        <w:tc>
          <w:tcPr>
            <w:tcW w:type="dxa" w:w="9072"/>
            <w:shd w:val="clear" w:color="auto" w:fill="0F2140"/>
          </w:tcPr>
          <w:p>
            <w:pPr>
              <w:spacing w:before="140" w:after="140"/>
            </w:pPr>
            <w:r>
              <w:rPr>
                <w:b/>
                <w:color w:val="00C2A8"/>
                <w:sz w:val="18"/>
              </w:rPr>
              <w:t xml:space="preserve">PHASE 1  </w:t>
            </w:r>
            <w:r>
              <w:rPr>
                <w:b/>
                <w:color w:val="FFFFFF"/>
                <w:sz w:val="24"/>
              </w:rPr>
              <w:t>Design Partner Pilots</w:t>
            </w:r>
            <w:r>
              <w:rPr>
                <w:color w:val="9AA5B4"/>
                <w:sz w:val="18"/>
              </w:rPr>
              <w:t xml:space="preserve">   Months 1–3  |  Goal: 3 pilots running, producing real data</w:t>
            </w:r>
          </w:p>
        </w:tc>
      </w:tr>
      <w:tr>
        <w:tc>
          <w:tcPr>
            <w:tcW w:type="dxa" w:w="9072"/>
            <w:shd w:val="clear" w:color="auto" w:fill="FFFFFF"/>
          </w:tcPr>
          <w:p/>
          <w:p>
            <w:pPr>
              <w:spacing w:before="60" w:after="60"/>
              <w:ind w:left="216"/>
            </w:pPr>
            <w:r>
              <w:rPr>
                <w:b/>
                <w:color w:val="00C2A8"/>
                <w:sz w:val="18"/>
              </w:rPr>
              <w:t xml:space="preserve">▶  </w:t>
            </w:r>
            <w:r>
              <w:rPr>
                <w:color w:val="2D3748"/>
                <w:sz w:val="19"/>
              </w:rPr>
              <w:t>Launch 3 pilots simultaneously — not sequentially (parallel pilots reduce concentration risk)</w:t>
            </w:r>
          </w:p>
          <w:p>
            <w:pPr>
              <w:spacing w:before="60" w:after="60"/>
              <w:ind w:left="216"/>
            </w:pPr>
            <w:r>
              <w:rPr>
                <w:b/>
                <w:color w:val="00C2A8"/>
                <w:sz w:val="18"/>
              </w:rPr>
              <w:t xml:space="preserve">▶  </w:t>
            </w:r>
            <w:r>
              <w:rPr>
                <w:color w:val="2D3748"/>
                <w:sz w:val="19"/>
              </w:rPr>
              <w:t>Agree on success metrics with each pilot customer before go-live (baseline MTD and rationale coverage)</w:t>
            </w:r>
          </w:p>
          <w:p>
            <w:pPr>
              <w:spacing w:before="60" w:after="60"/>
              <w:ind w:left="216"/>
            </w:pPr>
            <w:r>
              <w:rPr>
                <w:b/>
                <w:color w:val="00C2A8"/>
                <w:sz w:val="18"/>
              </w:rPr>
              <w:t xml:space="preserve">▶  </w:t>
            </w:r>
            <w:r>
              <w:rPr>
                <w:color w:val="2D3748"/>
                <w:sz w:val="19"/>
              </w:rPr>
              <w:t>Conduct mandatory Week 1 onboarding session: analyst training + MLRO briefing on recommendation-vs-decision distinction</w:t>
            </w:r>
          </w:p>
          <w:p>
            <w:pPr>
              <w:spacing w:before="60" w:after="60"/>
              <w:ind w:left="216"/>
            </w:pPr>
            <w:r>
              <w:rPr>
                <w:b/>
                <w:color w:val="00C2A8"/>
                <w:sz w:val="18"/>
              </w:rPr>
              <w:t xml:space="preserve">▶  </w:t>
            </w:r>
            <w:r>
              <w:rPr>
                <w:color w:val="2D3748"/>
                <w:sz w:val="19"/>
              </w:rPr>
              <w:t>Track daily: alerts screened, mean time-to-disposition, AI rationale acceptance rate</w:t>
            </w:r>
          </w:p>
          <w:p>
            <w:pPr>
              <w:spacing w:before="60" w:after="60"/>
              <w:ind w:left="216"/>
            </w:pPr>
            <w:r>
              <w:rPr>
                <w:b/>
                <w:color w:val="00C2A8"/>
                <w:sz w:val="18"/>
              </w:rPr>
              <w:t xml:space="preserve">▶  </w:t>
            </w:r>
            <w:r>
              <w:rPr>
                <w:color w:val="2D3748"/>
                <w:sz w:val="19"/>
              </w:rPr>
              <w:t>Week 4 check-in with each customer: share metrics vs. baseline; diagnose any friction; fix immediately</w:t>
            </w:r>
          </w:p>
          <w:p>
            <w:pPr>
              <w:spacing w:before="60" w:after="60"/>
              <w:ind w:left="216"/>
            </w:pPr>
            <w:r>
              <w:rPr>
                <w:b/>
                <w:color w:val="00C2A8"/>
                <w:sz w:val="18"/>
              </w:rPr>
              <w:t xml:space="preserve">▶  </w:t>
            </w:r>
            <w:r>
              <w:rPr>
                <w:color w:val="2D3748"/>
                <w:sz w:val="19"/>
              </w:rPr>
              <w:t>Week 6: identify which pilots are tracking well for conversion; begin conversion conversation with MLRO</w:t>
            </w:r>
          </w:p>
          <w:p>
            <w:pPr>
              <w:spacing w:before="60" w:after="60"/>
              <w:ind w:left="216"/>
            </w:pPr>
            <w:r>
              <w:rPr>
                <w:b/>
                <w:color w:val="00C2A8"/>
                <w:sz w:val="18"/>
              </w:rPr>
              <w:t xml:space="preserve">▶  </w:t>
            </w:r>
            <w:r>
              <w:rPr>
                <w:color w:val="2D3748"/>
                <w:sz w:val="19"/>
              </w:rPr>
              <w:t>Week 8: formal review meeting with MLRO + Head of Compliance; present 8-week metrics summary</w:t>
            </w:r>
          </w:p>
          <w:p>
            <w:pPr>
              <w:spacing w:before="60" w:after="60"/>
              <w:ind w:left="216"/>
            </w:pPr>
            <w:r>
              <w:rPr>
                <w:b/>
                <w:color w:val="00C2A8"/>
                <w:sz w:val="18"/>
              </w:rPr>
              <w:t xml:space="preserve">▶  </w:t>
            </w:r>
            <w:r>
              <w:rPr>
                <w:color w:val="2D3748"/>
                <w:sz w:val="19"/>
              </w:rPr>
              <w:t>Begin second cohort outreach in Month 2 — do not wait for Phase 1 to close before building next pipeline</w:t>
            </w:r>
          </w:p>
          <w:p>
            <w:pPr>
              <w:spacing w:before="80" w:after="0"/>
            </w:pPr>
          </w:p>
        </w:tc>
      </w:tr>
    </w:tbl>
    <w:p/>
    <w:p>
      <w:pPr>
        <w:spacing w:before="260" w:after="80"/>
      </w:pPr>
      <w:r>
        <w:rPr>
          <w:b/>
          <w:color w:val="0F2140"/>
          <w:sz w:val="25"/>
        </w:rPr>
        <w:t>Design Partner Selection Criteria</w:t>
      </w:r>
    </w:p>
    <w:p>
      <w:pPr>
        <w:spacing w:before="20" w:after="100"/>
      </w:pPr>
      <w:r>
        <w:rPr>
          <w:color w:val="2D3748"/>
          <w:sz w:val="20"/>
        </w:rPr>
        <w:t>Not every fintech is a good design partner. We select carefully — a bad pilot wastes 90 days and produces no referenceable case study. We look for:</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0F2140"/>
          </w:tcPr>
          <w:p>
            <w:pPr>
              <w:spacing w:before="100" w:after="100"/>
            </w:pPr>
            <w:r>
              <w:rPr>
                <w:b/>
                <w:color w:val="FFFFFF"/>
                <w:sz w:val="19"/>
              </w:rPr>
              <w:t>Criterion</w:t>
            </w:r>
          </w:p>
        </w:tc>
        <w:tc>
          <w:tcPr>
            <w:tcW w:type="dxa" w:w="4536"/>
            <w:shd w:val="clear" w:color="auto" w:fill="0F2140"/>
          </w:tcPr>
          <w:p>
            <w:pPr>
              <w:spacing w:before="100" w:after="100"/>
            </w:pPr>
            <w:r>
              <w:rPr>
                <w:b/>
                <w:color w:val="FFFFFF"/>
                <w:sz w:val="19"/>
              </w:rPr>
              <w:t>Why It Matters</w:t>
            </w:r>
          </w:p>
        </w:tc>
      </w:tr>
      <w:tr>
        <w:tc>
          <w:tcPr>
            <w:tcW w:type="dxa" w:w="4536"/>
            <w:shd w:val="clear" w:color="auto" w:fill="EFF6FF"/>
          </w:tcPr>
          <w:p>
            <w:pPr>
              <w:spacing w:before="80" w:after="80"/>
            </w:pPr>
            <w:r>
              <w:rPr>
                <w:b/>
                <w:color w:val="0F2140"/>
                <w:sz w:val="19"/>
              </w:rPr>
              <w:t>Processes 40+ cross-border screening alerts per day</w:t>
            </w:r>
          </w:p>
        </w:tc>
        <w:tc>
          <w:tcPr>
            <w:tcW w:type="dxa" w:w="4536"/>
            <w:shd w:val="clear" w:color="auto" w:fill="EFF6FF"/>
          </w:tcPr>
          <w:p>
            <w:pPr>
              <w:spacing w:before="80" w:after="80"/>
            </w:pPr>
            <w:r>
              <w:rPr>
                <w:color w:val="2D3748"/>
                <w:sz w:val="19"/>
              </w:rPr>
              <w:t>Below this volume, the time savings are hard to measure convincingly</w:t>
            </w:r>
          </w:p>
        </w:tc>
      </w:tr>
      <w:tr>
        <w:tc>
          <w:tcPr>
            <w:tcW w:type="dxa" w:w="4536"/>
            <w:shd w:val="clear" w:color="auto" w:fill="FFFFFF"/>
          </w:tcPr>
          <w:p>
            <w:pPr>
              <w:spacing w:before="80" w:after="80"/>
            </w:pPr>
            <w:r>
              <w:rPr>
                <w:b/>
                <w:color w:val="0F2140"/>
                <w:sz w:val="19"/>
              </w:rPr>
              <w:t>Has a named MLRO or Head of Compliance who will sponsor the pilot</w:t>
            </w:r>
          </w:p>
        </w:tc>
        <w:tc>
          <w:tcPr>
            <w:tcW w:type="dxa" w:w="4536"/>
            <w:shd w:val="clear" w:color="auto" w:fill="FFFFFF"/>
          </w:tcPr>
          <w:p>
            <w:pPr>
              <w:spacing w:before="80" w:after="80"/>
            </w:pPr>
            <w:r>
              <w:rPr>
                <w:color w:val="2D3748"/>
                <w:sz w:val="19"/>
              </w:rPr>
              <w:t>Without a buyer sponsor, pilots stall at the analyst level and do not convert</w:t>
            </w:r>
          </w:p>
        </w:tc>
      </w:tr>
      <w:tr>
        <w:tc>
          <w:tcPr>
            <w:tcW w:type="dxa" w:w="4536"/>
            <w:shd w:val="clear" w:color="auto" w:fill="EFF6FF"/>
          </w:tcPr>
          <w:p>
            <w:pPr>
              <w:spacing w:before="80" w:after="80"/>
            </w:pPr>
            <w:r>
              <w:rPr>
                <w:b/>
                <w:color w:val="0F2140"/>
                <w:sz w:val="19"/>
              </w:rPr>
              <w:t>Currently using a manual or spreadsheet-based process</w:t>
            </w:r>
          </w:p>
        </w:tc>
        <w:tc>
          <w:tcPr>
            <w:tcW w:type="dxa" w:w="4536"/>
            <w:shd w:val="clear" w:color="auto" w:fill="EFF6FF"/>
          </w:tcPr>
          <w:p>
            <w:pPr>
              <w:spacing w:before="80" w:after="80"/>
            </w:pPr>
            <w:r>
              <w:rPr>
                <w:color w:val="2D3748"/>
                <w:sz w:val="19"/>
              </w:rPr>
              <w:t>Customers already using a (bad) tool need to uninstall it — more friction than starting fresh</w:t>
            </w:r>
          </w:p>
        </w:tc>
      </w:tr>
      <w:tr>
        <w:tc>
          <w:tcPr>
            <w:tcW w:type="dxa" w:w="4536"/>
            <w:shd w:val="clear" w:color="auto" w:fill="FFFFFF"/>
          </w:tcPr>
          <w:p>
            <w:pPr>
              <w:spacing w:before="80" w:after="80"/>
            </w:pPr>
            <w:r>
              <w:rPr>
                <w:b/>
                <w:color w:val="0F2140"/>
                <w:sz w:val="19"/>
              </w:rPr>
              <w:t>UAE, Singapore, or US corridor — not exclusively domestic payments</w:t>
            </w:r>
          </w:p>
        </w:tc>
        <w:tc>
          <w:tcPr>
            <w:tcW w:type="dxa" w:w="4536"/>
            <w:shd w:val="clear" w:color="auto" w:fill="FFFFFF"/>
          </w:tcPr>
          <w:p>
            <w:pPr>
              <w:spacing w:before="80" w:after="80"/>
            </w:pPr>
            <w:r>
              <w:rPr>
                <w:color w:val="2D3748"/>
                <w:sz w:val="19"/>
              </w:rPr>
              <w:t>Cross-border payments face the most complex sanctions screening requirements; this is where our value is highest</w:t>
            </w:r>
          </w:p>
        </w:tc>
      </w:tr>
      <w:tr>
        <w:tc>
          <w:tcPr>
            <w:tcW w:type="dxa" w:w="4536"/>
            <w:shd w:val="clear" w:color="auto" w:fill="EFF6FF"/>
          </w:tcPr>
          <w:p>
            <w:pPr>
              <w:spacing w:before="80" w:after="80"/>
            </w:pPr>
            <w:r>
              <w:rPr>
                <w:b/>
                <w:color w:val="0F2140"/>
                <w:sz w:val="19"/>
              </w:rPr>
              <w:t>Willing to share anonymised metrics for a case study after the pilot</w:t>
            </w:r>
          </w:p>
        </w:tc>
        <w:tc>
          <w:tcPr>
            <w:tcW w:type="dxa" w:w="4536"/>
            <w:shd w:val="clear" w:color="auto" w:fill="EFF6FF"/>
          </w:tcPr>
          <w:p>
            <w:pPr>
              <w:spacing w:before="80" w:after="80"/>
            </w:pPr>
            <w:r>
              <w:rPr>
                <w:color w:val="2D3748"/>
                <w:sz w:val="19"/>
              </w:rPr>
              <w:t>We need referenceable data to win the next customer</w:t>
            </w:r>
          </w:p>
        </w:tc>
      </w:tr>
      <w:tr>
        <w:tc>
          <w:tcPr>
            <w:tcW w:type="dxa" w:w="4536"/>
            <w:shd w:val="clear" w:color="auto" w:fill="FFFFFF"/>
          </w:tcPr>
          <w:p>
            <w:pPr>
              <w:spacing w:before="80" w:after="80"/>
            </w:pPr>
            <w:r>
              <w:rPr>
                <w:b/>
                <w:color w:val="0F2140"/>
                <w:sz w:val="19"/>
              </w:rPr>
              <w:t>RBI-licensed: PA (Payment Aggregator) or AD Category-II</w:t>
            </w:r>
          </w:p>
        </w:tc>
        <w:tc>
          <w:tcPr>
            <w:tcW w:type="dxa" w:w="4536"/>
            <w:shd w:val="clear" w:color="auto" w:fill="FFFFFF"/>
          </w:tcPr>
          <w:p>
            <w:pPr>
              <w:spacing w:before="80" w:after="80"/>
            </w:pPr>
            <w:r>
              <w:rPr>
                <w:color w:val="2D3748"/>
                <w:sz w:val="19"/>
              </w:rPr>
              <w:t>These are the regulated entities with a legal obligation to screen — the pain is regulatory, not optional</w:t>
            </w:r>
          </w:p>
        </w:tc>
      </w:tr>
    </w:tbl>
    <w:p/>
    <w:p>
      <w:pPr>
        <w:spacing w:before="260" w:after="80"/>
      </w:pPr>
      <w:r>
        <w:rPr>
          <w:b/>
          <w:color w:val="0F2140"/>
          <w:sz w:val="25"/>
        </w:rPr>
        <w:t>Week-by-Week Pilot Timeline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Timeframe</w:t>
            </w:r>
          </w:p>
        </w:tc>
        <w:tc>
          <w:tcPr>
            <w:tcW w:type="dxa" w:w="3024"/>
            <w:shd w:val="clear" w:color="auto" w:fill="0F2140"/>
          </w:tcPr>
          <w:p>
            <w:pPr>
              <w:spacing w:before="100" w:after="100"/>
            </w:pPr>
            <w:r>
              <w:rPr>
                <w:b/>
                <w:color w:val="FFFFFF"/>
                <w:sz w:val="19"/>
              </w:rPr>
              <w:t>Focus</w:t>
            </w:r>
          </w:p>
        </w:tc>
        <w:tc>
          <w:tcPr>
            <w:tcW w:type="dxa" w:w="3024"/>
            <w:shd w:val="clear" w:color="auto" w:fill="0F2140"/>
          </w:tcPr>
          <w:p>
            <w:pPr>
              <w:spacing w:before="100" w:after="100"/>
            </w:pPr>
            <w:r>
              <w:rPr>
                <w:b/>
                <w:color w:val="FFFFFF"/>
                <w:sz w:val="19"/>
              </w:rPr>
              <w:t>Key Milestone / Deliverable</w:t>
            </w:r>
          </w:p>
        </w:tc>
      </w:tr>
      <w:tr>
        <w:tc>
          <w:tcPr>
            <w:tcW w:type="dxa" w:w="3024"/>
            <w:shd w:val="clear" w:color="auto" w:fill="EFF6FF"/>
          </w:tcPr>
          <w:p>
            <w:pPr>
              <w:spacing w:before="80" w:after="80"/>
            </w:pPr>
            <w:r>
              <w:rPr>
                <w:b/>
                <w:color w:val="0F2140"/>
                <w:sz w:val="19"/>
              </w:rPr>
              <w:t>Week 1</w:t>
            </w:r>
          </w:p>
        </w:tc>
        <w:tc>
          <w:tcPr>
            <w:tcW w:type="dxa" w:w="3024"/>
            <w:shd w:val="clear" w:color="auto" w:fill="EFF6FF"/>
          </w:tcPr>
          <w:p>
            <w:pPr>
              <w:spacing w:before="80" w:after="80"/>
            </w:pPr>
            <w:r>
              <w:rPr>
                <w:color w:val="2D3748"/>
                <w:sz w:val="19"/>
              </w:rPr>
              <w:t>Onboarding</w:t>
            </w:r>
          </w:p>
        </w:tc>
        <w:tc>
          <w:tcPr>
            <w:tcW w:type="dxa" w:w="3024"/>
            <w:shd w:val="clear" w:color="auto" w:fill="EFF6FF"/>
          </w:tcPr>
          <w:p>
            <w:pPr>
              <w:spacing w:before="80" w:after="80"/>
            </w:pPr>
            <w:r>
              <w:rPr>
                <w:color w:val="2D3748"/>
                <w:sz w:val="19"/>
              </w:rPr>
              <w:t>All analysts trained; baseline MTD and rationale coverage recorded; go-live on live production build</w:t>
            </w:r>
          </w:p>
        </w:tc>
      </w:tr>
      <w:tr>
        <w:tc>
          <w:tcPr>
            <w:tcW w:type="dxa" w:w="3024"/>
            <w:shd w:val="clear" w:color="auto" w:fill="FFFFFF"/>
          </w:tcPr>
          <w:p>
            <w:pPr>
              <w:spacing w:before="80" w:after="80"/>
            </w:pPr>
            <w:r>
              <w:rPr>
                <w:b/>
                <w:color w:val="0F2140"/>
                <w:sz w:val="19"/>
              </w:rPr>
              <w:t>Week 2</w:t>
            </w:r>
          </w:p>
        </w:tc>
        <w:tc>
          <w:tcPr>
            <w:tcW w:type="dxa" w:w="3024"/>
            <w:shd w:val="clear" w:color="auto" w:fill="FFFFFF"/>
          </w:tcPr>
          <w:p>
            <w:pPr>
              <w:spacing w:before="80" w:after="80"/>
            </w:pPr>
            <w:r>
              <w:rPr>
                <w:color w:val="2D3748"/>
                <w:sz w:val="19"/>
              </w:rPr>
              <w:t>Early data collection</w:t>
            </w:r>
          </w:p>
        </w:tc>
        <w:tc>
          <w:tcPr>
            <w:tcW w:type="dxa" w:w="3024"/>
            <w:shd w:val="clear" w:color="auto" w:fill="FFFFFF"/>
          </w:tcPr>
          <w:p>
            <w:pPr>
              <w:spacing w:before="80" w:after="80"/>
            </w:pPr>
            <w:r>
              <w:rPr>
                <w:color w:val="2D3748"/>
                <w:sz w:val="19"/>
              </w:rPr>
              <w:t>First 5 days of screening data in system; any UI or workflow friction flagged and fixed</w:t>
            </w:r>
          </w:p>
        </w:tc>
      </w:tr>
      <w:tr>
        <w:tc>
          <w:tcPr>
            <w:tcW w:type="dxa" w:w="3024"/>
            <w:shd w:val="clear" w:color="auto" w:fill="EFF6FF"/>
          </w:tcPr>
          <w:p>
            <w:pPr>
              <w:spacing w:before="80" w:after="80"/>
            </w:pPr>
            <w:r>
              <w:rPr>
                <w:b/>
                <w:color w:val="0F2140"/>
                <w:sz w:val="19"/>
              </w:rPr>
              <w:t>Week 3</w:t>
            </w:r>
          </w:p>
        </w:tc>
        <w:tc>
          <w:tcPr>
            <w:tcW w:type="dxa" w:w="3024"/>
            <w:shd w:val="clear" w:color="auto" w:fill="EFF6FF"/>
          </w:tcPr>
          <w:p>
            <w:pPr>
              <w:spacing w:before="80" w:after="80"/>
            </w:pPr>
            <w:r>
              <w:rPr>
                <w:color w:val="2D3748"/>
                <w:sz w:val="19"/>
              </w:rPr>
              <w:t>Stabilisation</w:t>
            </w:r>
          </w:p>
        </w:tc>
        <w:tc>
          <w:tcPr>
            <w:tcW w:type="dxa" w:w="3024"/>
            <w:shd w:val="clear" w:color="auto" w:fill="EFF6FF"/>
          </w:tcPr>
          <w:p>
            <w:pPr>
              <w:spacing w:before="80" w:after="80"/>
            </w:pPr>
            <w:r>
              <w:rPr>
                <w:color w:val="2D3748"/>
                <w:sz w:val="19"/>
              </w:rPr>
              <w:t>False positive rate trending; analyst habits forming; MLRO reviews first dashboard summary</w:t>
            </w:r>
          </w:p>
        </w:tc>
      </w:tr>
      <w:tr>
        <w:tc>
          <w:tcPr>
            <w:tcW w:type="dxa" w:w="3024"/>
            <w:shd w:val="clear" w:color="auto" w:fill="FFFFFF"/>
          </w:tcPr>
          <w:p>
            <w:pPr>
              <w:spacing w:before="80" w:after="80"/>
            </w:pPr>
            <w:r>
              <w:rPr>
                <w:b/>
                <w:color w:val="0F2140"/>
                <w:sz w:val="19"/>
              </w:rPr>
              <w:t>Week 4</w:t>
            </w:r>
          </w:p>
        </w:tc>
        <w:tc>
          <w:tcPr>
            <w:tcW w:type="dxa" w:w="3024"/>
            <w:shd w:val="clear" w:color="auto" w:fill="FFFFFF"/>
          </w:tcPr>
          <w:p>
            <w:pPr>
              <w:spacing w:before="80" w:after="80"/>
            </w:pPr>
            <w:r>
              <w:rPr>
                <w:color w:val="2D3748"/>
                <w:sz w:val="19"/>
              </w:rPr>
              <w:t>Mid-pilot check-in (critical)</w:t>
            </w:r>
          </w:p>
        </w:tc>
        <w:tc>
          <w:tcPr>
            <w:tcW w:type="dxa" w:w="3024"/>
            <w:shd w:val="clear" w:color="auto" w:fill="FFFFFF"/>
          </w:tcPr>
          <w:p>
            <w:pPr>
              <w:spacing w:before="80" w:after="80"/>
            </w:pPr>
            <w:r>
              <w:rPr>
                <w:color w:val="2D3748"/>
                <w:sz w:val="19"/>
              </w:rPr>
              <w:t>Metrics review with MLRO and analyst lead; decision: continue, adjust thresholds, or escalate issues</w:t>
            </w:r>
          </w:p>
        </w:tc>
      </w:tr>
      <w:tr>
        <w:tc>
          <w:tcPr>
            <w:tcW w:type="dxa" w:w="3024"/>
            <w:shd w:val="clear" w:color="auto" w:fill="EFF6FF"/>
          </w:tcPr>
          <w:p>
            <w:pPr>
              <w:spacing w:before="80" w:after="80"/>
            </w:pPr>
            <w:r>
              <w:rPr>
                <w:b/>
                <w:color w:val="0F2140"/>
                <w:sz w:val="19"/>
              </w:rPr>
              <w:t>Week 5–6</w:t>
            </w:r>
          </w:p>
        </w:tc>
        <w:tc>
          <w:tcPr>
            <w:tcW w:type="dxa" w:w="3024"/>
            <w:shd w:val="clear" w:color="auto" w:fill="EFF6FF"/>
          </w:tcPr>
          <w:p>
            <w:pPr>
              <w:spacing w:before="80" w:after="80"/>
            </w:pPr>
            <w:r>
              <w:rPr>
                <w:color w:val="2D3748"/>
                <w:sz w:val="19"/>
              </w:rPr>
              <w:t>Deepening usage</w:t>
            </w:r>
          </w:p>
        </w:tc>
        <w:tc>
          <w:tcPr>
            <w:tcW w:type="dxa" w:w="3024"/>
            <w:shd w:val="clear" w:color="auto" w:fill="EFF6FF"/>
          </w:tcPr>
          <w:p>
            <w:pPr>
              <w:spacing w:before="80" w:after="80"/>
            </w:pPr>
            <w:r>
              <w:rPr>
                <w:color w:val="2D3748"/>
                <w:sz w:val="19"/>
              </w:rPr>
              <w:t>Analyst begins using AI-drafted rationales regularly; second screening scenario type introduced if ready</w:t>
            </w:r>
          </w:p>
        </w:tc>
      </w:tr>
      <w:tr>
        <w:tc>
          <w:tcPr>
            <w:tcW w:type="dxa" w:w="3024"/>
            <w:shd w:val="clear" w:color="auto" w:fill="FFFFFF"/>
          </w:tcPr>
          <w:p>
            <w:pPr>
              <w:spacing w:before="80" w:after="80"/>
            </w:pPr>
            <w:r>
              <w:rPr>
                <w:b/>
                <w:color w:val="0F2140"/>
                <w:sz w:val="19"/>
              </w:rPr>
              <w:t>Week 7</w:t>
            </w:r>
          </w:p>
        </w:tc>
        <w:tc>
          <w:tcPr>
            <w:tcW w:type="dxa" w:w="3024"/>
            <w:shd w:val="clear" w:color="auto" w:fill="FFFFFF"/>
          </w:tcPr>
          <w:p>
            <w:pPr>
              <w:spacing w:before="80" w:after="80"/>
            </w:pPr>
            <w:r>
              <w:rPr>
                <w:color w:val="2D3748"/>
                <w:sz w:val="19"/>
              </w:rPr>
              <w:t>Conversion conversation begins</w:t>
            </w:r>
          </w:p>
        </w:tc>
        <w:tc>
          <w:tcPr>
            <w:tcW w:type="dxa" w:w="3024"/>
            <w:shd w:val="clear" w:color="auto" w:fill="FFFFFF"/>
          </w:tcPr>
          <w:p>
            <w:pPr>
              <w:spacing w:before="80" w:after="80"/>
            </w:pPr>
            <w:r>
              <w:rPr>
                <w:color w:val="2D3748"/>
                <w:sz w:val="19"/>
              </w:rPr>
              <w:t>Informal conversation with MLRO: "What would it take to make this permanent?"</w:t>
            </w:r>
          </w:p>
        </w:tc>
      </w:tr>
      <w:tr>
        <w:tc>
          <w:tcPr>
            <w:tcW w:type="dxa" w:w="3024"/>
            <w:shd w:val="clear" w:color="auto" w:fill="EFF6FF"/>
          </w:tcPr>
          <w:p>
            <w:pPr>
              <w:spacing w:before="80" w:after="80"/>
            </w:pPr>
            <w:r>
              <w:rPr>
                <w:b/>
                <w:color w:val="0F2140"/>
                <w:sz w:val="19"/>
              </w:rPr>
              <w:t>Week 8</w:t>
            </w:r>
          </w:p>
        </w:tc>
        <w:tc>
          <w:tcPr>
            <w:tcW w:type="dxa" w:w="3024"/>
            <w:shd w:val="clear" w:color="auto" w:fill="EFF6FF"/>
          </w:tcPr>
          <w:p>
            <w:pPr>
              <w:spacing w:before="80" w:after="80"/>
            </w:pPr>
            <w:r>
              <w:rPr>
                <w:color w:val="2D3748"/>
                <w:sz w:val="19"/>
              </w:rPr>
              <w:t>Formal 8-week review</w:t>
            </w:r>
          </w:p>
        </w:tc>
        <w:tc>
          <w:tcPr>
            <w:tcW w:type="dxa" w:w="3024"/>
            <w:shd w:val="clear" w:color="auto" w:fill="EFF6FF"/>
          </w:tcPr>
          <w:p>
            <w:pPr>
              <w:spacing w:before="80" w:after="80"/>
            </w:pPr>
            <w:r>
              <w:rPr>
                <w:color w:val="2D3748"/>
                <w:sz w:val="19"/>
              </w:rPr>
              <w:t>Full metrics presentation: MTD improvement, false positive rate, rationale coverage, override rate vs. baseline</w:t>
            </w:r>
          </w:p>
        </w:tc>
      </w:tr>
      <w:tr>
        <w:tc>
          <w:tcPr>
            <w:tcW w:type="dxa" w:w="3024"/>
            <w:shd w:val="clear" w:color="auto" w:fill="FFFFFF"/>
          </w:tcPr>
          <w:p>
            <w:pPr>
              <w:spacing w:before="80" w:after="80"/>
            </w:pPr>
            <w:r>
              <w:rPr>
                <w:b/>
                <w:color w:val="0F2140"/>
                <w:sz w:val="19"/>
              </w:rPr>
              <w:t>Week 9–12</w:t>
            </w:r>
          </w:p>
        </w:tc>
        <w:tc>
          <w:tcPr>
            <w:tcW w:type="dxa" w:w="3024"/>
            <w:shd w:val="clear" w:color="auto" w:fill="FFFFFF"/>
          </w:tcPr>
          <w:p>
            <w:pPr>
              <w:spacing w:before="80" w:after="80"/>
            </w:pPr>
            <w:r>
              <w:rPr>
                <w:color w:val="2D3748"/>
                <w:sz w:val="19"/>
              </w:rPr>
              <w:t>Decision and conversion</w:t>
            </w:r>
          </w:p>
        </w:tc>
        <w:tc>
          <w:tcPr>
            <w:tcW w:type="dxa" w:w="3024"/>
            <w:shd w:val="clear" w:color="auto" w:fill="FFFFFF"/>
          </w:tcPr>
          <w:p>
            <w:pPr>
              <w:spacing w:before="80" w:after="80"/>
            </w:pPr>
            <w:r>
              <w:rPr>
                <w:color w:val="2D3748"/>
                <w:sz w:val="19"/>
              </w:rPr>
              <w:t>MLRO presents to Head of Compliance or CFO; contract negotiated; pilot either converts or extends</w:t>
            </w:r>
          </w:p>
        </w:tc>
      </w:tr>
    </w:tbl>
    <w:p/>
    <w:p>
      <w:r>
        <w:br w:type="page"/>
      </w:r>
    </w:p>
    <w:tbl>
      <w:tblPr>
        <w:tblStyle w:val="TableGrid"/>
        <w:tblW w:type="auto" w:w="0"/>
        <w:jc w:val="center"/>
        <w:tblLook w:firstColumn="1" w:firstRow="1" w:lastColumn="0" w:lastRow="0" w:noHBand="0" w:noVBand="1" w:val="04A0"/>
      </w:tblPr>
      <w:tblGrid>
        <w:gridCol w:w="9072"/>
      </w:tblGrid>
      <w:tr>
        <w:tc>
          <w:tcPr>
            <w:tcW w:type="dxa" w:w="9072"/>
            <w:shd w:val="clear" w:color="auto" w:fill="0F2140"/>
          </w:tcPr>
          <w:p>
            <w:pPr>
              <w:spacing w:before="140" w:after="140"/>
            </w:pPr>
            <w:r>
              <w:rPr>
                <w:b/>
                <w:color w:val="00C2A8"/>
                <w:sz w:val="18"/>
              </w:rPr>
              <w:t xml:space="preserve">PHASE 2  </w:t>
            </w:r>
            <w:r>
              <w:rPr>
                <w:b/>
                <w:color w:val="FFFFFF"/>
                <w:sz w:val="24"/>
              </w:rPr>
              <w:t>Paid Conversion &amp; Market Entry</w:t>
            </w:r>
            <w:r>
              <w:rPr>
                <w:color w:val="9AA5B4"/>
                <w:sz w:val="18"/>
              </w:rPr>
              <w:t xml:space="preserve">   Months 3–6  |  Goal: First paid revenue; first public case study; market presence established</w:t>
            </w:r>
          </w:p>
        </w:tc>
      </w:tr>
      <w:tr>
        <w:tc>
          <w:tcPr>
            <w:tcW w:type="dxa" w:w="9072"/>
            <w:shd w:val="clear" w:color="auto" w:fill="FFFFFF"/>
          </w:tcPr>
          <w:p/>
          <w:p>
            <w:pPr>
              <w:spacing w:before="60" w:after="60"/>
              <w:ind w:left="216"/>
            </w:pPr>
            <w:r>
              <w:rPr>
                <w:b/>
                <w:color w:val="00C2A8"/>
                <w:sz w:val="18"/>
              </w:rPr>
              <w:t xml:space="preserve">▶  </w:t>
            </w:r>
            <w:r>
              <w:rPr>
                <w:color w:val="2D3748"/>
                <w:sz w:val="19"/>
              </w:rPr>
              <w:t>Convert 2 of 3 Phase 1 pilots to paid contracts (target: Starter or Professional tier)</w:t>
            </w:r>
          </w:p>
          <w:p>
            <w:pPr>
              <w:spacing w:before="60" w:after="60"/>
              <w:ind w:left="216"/>
            </w:pPr>
            <w:r>
              <w:rPr>
                <w:b/>
                <w:color w:val="00C2A8"/>
                <w:sz w:val="18"/>
              </w:rPr>
              <w:t xml:space="preserve">▶  </w:t>
            </w:r>
            <w:r>
              <w:rPr>
                <w:color w:val="2D3748"/>
                <w:sz w:val="19"/>
              </w:rPr>
              <w:t>Start second cohort of 3 pilots in Month 4 (using lessons learned from Phase 1)</w:t>
            </w:r>
          </w:p>
          <w:p>
            <w:pPr>
              <w:spacing w:before="60" w:after="60"/>
              <w:ind w:left="216"/>
            </w:pPr>
            <w:r>
              <w:rPr>
                <w:b/>
                <w:color w:val="00C2A8"/>
                <w:sz w:val="18"/>
              </w:rPr>
              <w:t xml:space="preserve">▶  </w:t>
            </w:r>
            <w:r>
              <w:rPr>
                <w:color w:val="2D3748"/>
                <w:sz w:val="19"/>
              </w:rPr>
              <w:t>Publish first anonymised case study: MTD improvement % and rationale coverage improvement from Pilot 1</w:t>
            </w:r>
          </w:p>
          <w:p>
            <w:pPr>
              <w:spacing w:before="60" w:after="60"/>
              <w:ind w:left="216"/>
            </w:pPr>
            <w:r>
              <w:rPr>
                <w:b/>
                <w:color w:val="00C2A8"/>
                <w:sz w:val="18"/>
              </w:rPr>
              <w:t xml:space="preserve">▶  </w:t>
            </w:r>
            <w:r>
              <w:rPr>
                <w:color w:val="2D3748"/>
                <w:sz w:val="19"/>
              </w:rPr>
              <w:t>Attend ACAMS India chapter event as speaker or exhibitor; distribute benchmarking survey</w:t>
            </w:r>
          </w:p>
          <w:p>
            <w:pPr>
              <w:spacing w:before="60" w:after="60"/>
              <w:ind w:left="216"/>
            </w:pPr>
            <w:r>
              <w:rPr>
                <w:b/>
                <w:color w:val="00C2A8"/>
                <w:sz w:val="18"/>
              </w:rPr>
              <w:t xml:space="preserve">▶  </w:t>
            </w:r>
            <w:r>
              <w:rPr>
                <w:color w:val="2D3748"/>
                <w:sz w:val="19"/>
              </w:rPr>
              <w:t>Activate first consulting firm referral partnership (target: 1 joint pilot by Month 6)</w:t>
            </w:r>
          </w:p>
          <w:p>
            <w:pPr>
              <w:spacing w:before="60" w:after="60"/>
              <w:ind w:left="216"/>
            </w:pPr>
            <w:r>
              <w:rPr>
                <w:b/>
                <w:color w:val="00C2A8"/>
                <w:sz w:val="18"/>
              </w:rPr>
              <w:t xml:space="preserve">▶  </w:t>
            </w:r>
            <w:r>
              <w:rPr>
                <w:color w:val="2D3748"/>
                <w:sz w:val="19"/>
              </w:rPr>
              <w:t>Fintech association membership activated: IFF, NASSCOM Fintech (or equivalent)</w:t>
            </w:r>
          </w:p>
          <w:p>
            <w:pPr>
              <w:spacing w:before="60" w:after="60"/>
              <w:ind w:left="216"/>
            </w:pPr>
            <w:r>
              <w:rPr>
                <w:b/>
                <w:color w:val="00C2A8"/>
                <w:sz w:val="18"/>
              </w:rPr>
              <w:t xml:space="preserve">▶  </w:t>
            </w:r>
            <w:r>
              <w:rPr>
                <w:color w:val="2D3748"/>
                <w:sz w:val="19"/>
              </w:rPr>
              <w:t>Begin building the MLRO benchmarking dataset for the Year 1 annual report</w:t>
            </w:r>
          </w:p>
          <w:p>
            <w:pPr>
              <w:spacing w:before="60" w:after="60"/>
              <w:ind w:left="216"/>
            </w:pPr>
            <w:r>
              <w:rPr>
                <w:b/>
                <w:color w:val="00C2A8"/>
                <w:sz w:val="18"/>
              </w:rPr>
              <w:t xml:space="preserve">▶  </w:t>
            </w:r>
            <w:r>
              <w:rPr>
                <w:color w:val="2D3748"/>
                <w:sz w:val="19"/>
              </w:rPr>
              <w:t>Hire first Customer Success Manager (CSM) if MRR exceeds ₹5L — the founding team cannot run pilots and sales simultaneously at this scale</w:t>
            </w:r>
          </w:p>
          <w:p>
            <w:pPr>
              <w:spacing w:before="80" w:after="0"/>
            </w:pPr>
          </w:p>
        </w:tc>
      </w:tr>
    </w:tbl>
    <w:p/>
    <w:p>
      <w:pPr>
        <w:spacing w:before="260" w:after="80"/>
      </w:pPr>
      <w:r>
        <w:rPr>
          <w:b/>
          <w:color w:val="0F2140"/>
          <w:sz w:val="25"/>
        </w:rPr>
        <w:t>Pricing Conversation — How We Convert a Pilot to Paid</w:t>
      </w:r>
    </w:p>
    <w:p>
      <w:pPr>
        <w:spacing w:before="20" w:after="100"/>
      </w:pPr>
      <w:r>
        <w:rPr>
          <w:color w:val="2D3748"/>
          <w:sz w:val="20"/>
        </w:rPr>
        <w:t>The conversion conversation is always anchored to metrics, not features. We never say "here is what the product does." We say "here is what the last 8 weeks showed."</w:t>
      </w:r>
    </w:p>
    <w:tbl>
      <w:tblPr>
        <w:tblW w:type="auto" w:w="0"/>
        <w:jc w:val="center"/>
        <w:tblLook w:firstColumn="1" w:firstRow="1" w:lastColumn="0" w:lastRow="0" w:noHBand="0" w:noVBand="1" w:val="04A0"/>
      </w:tblPr>
      <w:tblGrid>
        <w:gridCol w:w="4536"/>
        <w:gridCol w:w="4536"/>
      </w:tblGrid>
      <w:tr>
        <w:tc>
          <w:tcPr>
            <w:tcW w:type="dxa" w:w="720"/>
            <w:shd w:val="clear" w:color="auto" w:fill="0F2140"/>
          </w:tcPr>
          <w:p>
            <w:pPr>
              <w:spacing w:before="280" w:after="280"/>
              <w:jc w:val="center"/>
            </w:pPr>
            <w:r>
              <w:rPr>
                <w:b/>
                <w:color w:val="FFFFFF"/>
                <w:sz w:val="36"/>
              </w:rPr>
              <w:t>1</w:t>
            </w:r>
          </w:p>
        </w:tc>
        <w:tc>
          <w:tcPr>
            <w:tcW w:type="dxa" w:w="4536"/>
            <w:shd w:val="clear" w:color="auto" w:fill="F0F9FF"/>
          </w:tcPr>
          <w:p>
            <w:pPr>
              <w:spacing w:before="160" w:after="40"/>
              <w:ind w:left="144"/>
            </w:pPr>
            <w:r>
              <w:rPr>
                <w:b/>
                <w:color w:val="0F2140"/>
                <w:sz w:val="21"/>
              </w:rPr>
              <w:t>Lead with the number that matters most to the MLRO</w:t>
            </w:r>
          </w:p>
          <w:p>
            <w:pPr>
              <w:spacing w:before="0" w:after="160"/>
              <w:ind w:left="144"/>
            </w:pPr>
            <w:r>
              <w:rPr>
                <w:color w:val="2D3748"/>
                <w:sz w:val="19"/>
              </w:rPr>
              <w:t>Rationale coverage rate. Before ScreenDesk: ~40% of decisions had a documented reason. After 8 weeks: 100%. That is the audit readiness improvement in one number. No MLRO who has been through an FIU-IND inspection will argue with that.</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03D78"/>
          </w:tcPr>
          <w:p>
            <w:pPr>
              <w:spacing w:before="280" w:after="280"/>
              <w:jc w:val="center"/>
            </w:pPr>
            <w:r>
              <w:rPr>
                <w:b/>
                <w:color w:val="FFFFFF"/>
                <w:sz w:val="36"/>
              </w:rPr>
              <w:t>2</w:t>
            </w:r>
          </w:p>
        </w:tc>
        <w:tc>
          <w:tcPr>
            <w:tcW w:type="dxa" w:w="4536"/>
            <w:shd w:val="clear" w:color="auto" w:fill="F0F9FF"/>
          </w:tcPr>
          <w:p>
            <w:pPr>
              <w:spacing w:before="160" w:after="40"/>
              <w:ind w:left="144"/>
            </w:pPr>
            <w:r>
              <w:rPr>
                <w:b/>
                <w:color w:val="0F2140"/>
                <w:sz w:val="21"/>
              </w:rPr>
              <w:t>Add the analyst productivity number</w:t>
            </w:r>
          </w:p>
          <w:p>
            <w:pPr>
              <w:spacing w:before="0" w:after="160"/>
              <w:ind w:left="144"/>
            </w:pPr>
            <w:r>
              <w:rPr>
                <w:color w:val="2D3748"/>
                <w:sz w:val="19"/>
              </w:rPr>
              <w:t>Mean time-to-disposition: from X minutes per alert to Y minutes. Multiply by daily alert volume and you get "hours per week saved." That is an easy cost-justification calculation for the Head of Compliance.</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0C2A8"/>
          </w:tcPr>
          <w:p>
            <w:pPr>
              <w:spacing w:before="280" w:after="280"/>
              <w:jc w:val="center"/>
            </w:pPr>
            <w:r>
              <w:rPr>
                <w:b/>
                <w:color w:val="FFFFFF"/>
                <w:sz w:val="36"/>
              </w:rPr>
              <w:t>3</w:t>
            </w:r>
          </w:p>
        </w:tc>
        <w:tc>
          <w:tcPr>
            <w:tcW w:type="dxa" w:w="4536"/>
            <w:shd w:val="clear" w:color="auto" w:fill="F0F9FF"/>
          </w:tcPr>
          <w:p>
            <w:pPr>
              <w:spacing w:before="160" w:after="40"/>
              <w:ind w:left="144"/>
            </w:pPr>
            <w:r>
              <w:rPr>
                <w:b/>
                <w:color w:val="0F2140"/>
                <w:sz w:val="21"/>
              </w:rPr>
              <w:t>Make the pricing feel small next to the alternative</w:t>
            </w:r>
          </w:p>
          <w:p>
            <w:pPr>
              <w:spacing w:before="0" w:after="160"/>
              <w:ind w:left="144"/>
            </w:pPr>
            <w:r>
              <w:rPr>
                <w:color w:val="2D3748"/>
                <w:sz w:val="19"/>
              </w:rPr>
              <w:t>₹12,000–14,000 per analyst per month is less than two days of a junior compliance hire's fully-loaded cost. Frame it that way: "You're getting a tool that makes your existing team twice as productive, for less than the cost of adding a part-time resource."</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F2140"/>
          </w:tcPr>
          <w:p>
            <w:pPr>
              <w:spacing w:before="280" w:after="280"/>
              <w:jc w:val="center"/>
            </w:pPr>
            <w:r>
              <w:rPr>
                <w:b/>
                <w:color w:val="FFFFFF"/>
                <w:sz w:val="36"/>
              </w:rPr>
              <w:t>4</w:t>
            </w:r>
          </w:p>
        </w:tc>
        <w:tc>
          <w:tcPr>
            <w:tcW w:type="dxa" w:w="4536"/>
            <w:shd w:val="clear" w:color="auto" w:fill="F0F9FF"/>
          </w:tcPr>
          <w:p>
            <w:pPr>
              <w:spacing w:before="160" w:after="40"/>
              <w:ind w:left="144"/>
            </w:pPr>
            <w:r>
              <w:rPr>
                <w:b/>
                <w:color w:val="0F2140"/>
                <w:sz w:val="21"/>
              </w:rPr>
              <w:t>Offer continuity, not a switch</w:t>
            </w:r>
          </w:p>
          <w:p>
            <w:pPr>
              <w:spacing w:before="0" w:after="160"/>
              <w:ind w:left="144"/>
            </w:pPr>
            <w:r>
              <w:rPr>
                <w:color w:val="2D3748"/>
                <w:sz w:val="19"/>
              </w:rPr>
              <w:t>The pilot data, the audit trail, and the case history all live in ScreenDesk. Walking away means losing 8 weeks of documented compliance history. That is a switching cost the MLRO will feel — use it gently but honestly.</w:t>
            </w:r>
          </w:p>
        </w:tc>
      </w:tr>
    </w:tbl>
    <w:p/>
    <w:p>
      <w:r>
        <w:br w:type="page"/>
      </w:r>
    </w:p>
    <w:tbl>
      <w:tblPr>
        <w:tblStyle w:val="TableGrid"/>
        <w:tblW w:type="auto" w:w="0"/>
        <w:jc w:val="center"/>
        <w:tblLook w:firstColumn="1" w:firstRow="1" w:lastColumn="0" w:lastRow="0" w:noHBand="0" w:noVBand="1" w:val="04A0"/>
      </w:tblPr>
      <w:tblGrid>
        <w:gridCol w:w="9072"/>
      </w:tblGrid>
      <w:tr>
        <w:tc>
          <w:tcPr>
            <w:tcW w:type="dxa" w:w="9072"/>
            <w:shd w:val="clear" w:color="auto" w:fill="0F2140"/>
          </w:tcPr>
          <w:p>
            <w:pPr>
              <w:spacing w:before="140" w:after="140"/>
            </w:pPr>
            <w:r>
              <w:rPr>
                <w:b/>
                <w:color w:val="00C2A8"/>
                <w:sz w:val="18"/>
              </w:rPr>
              <w:t xml:space="preserve">PHASE 3  </w:t>
            </w:r>
            <w:r>
              <w:rPr>
                <w:b/>
                <w:color w:val="FFFFFF"/>
                <w:sz w:val="24"/>
              </w:rPr>
              <w:t>Scale</w:t>
            </w:r>
            <w:r>
              <w:rPr>
                <w:color w:val="9AA5B4"/>
                <w:sz w:val="18"/>
              </w:rPr>
              <w:t xml:space="preserve">   Months 6–12  |  Goal: 8–12 paying customers, partner channel active, Phase 2 segment entered</w:t>
            </w:r>
          </w:p>
        </w:tc>
      </w:tr>
      <w:tr>
        <w:tc>
          <w:tcPr>
            <w:tcW w:type="dxa" w:w="9072"/>
            <w:shd w:val="clear" w:color="auto" w:fill="FFFFFF"/>
          </w:tcPr>
          <w:p/>
          <w:p>
            <w:pPr>
              <w:spacing w:before="60" w:after="60"/>
              <w:ind w:left="216"/>
            </w:pPr>
            <w:r>
              <w:rPr>
                <w:b/>
                <w:color w:val="00C2A8"/>
                <w:sz w:val="18"/>
              </w:rPr>
              <w:t xml:space="preserve">▶  </w:t>
            </w:r>
            <w:r>
              <w:rPr>
                <w:color w:val="2D3748"/>
                <w:sz w:val="19"/>
              </w:rPr>
              <w:t>Launch Phase 2 segment outreach: trade-finance NBFCs and commodity exporters (larger deal size, longer cycle)</w:t>
            </w:r>
          </w:p>
          <w:p>
            <w:pPr>
              <w:spacing w:before="60" w:after="60"/>
              <w:ind w:left="216"/>
            </w:pPr>
            <w:r>
              <w:rPr>
                <w:b/>
                <w:color w:val="00C2A8"/>
                <w:sz w:val="18"/>
              </w:rPr>
              <w:t xml:space="preserve">▶  </w:t>
            </w:r>
            <w:r>
              <w:rPr>
                <w:color w:val="2D3748"/>
                <w:sz w:val="19"/>
              </w:rPr>
              <w:t>Formalise the partner programme: signed referral agreements with 2–3 consulting firms</w:t>
            </w:r>
          </w:p>
          <w:p>
            <w:pPr>
              <w:spacing w:before="60" w:after="60"/>
              <w:ind w:left="216"/>
            </w:pPr>
            <w:r>
              <w:rPr>
                <w:b/>
                <w:color w:val="00C2A8"/>
                <w:sz w:val="18"/>
              </w:rPr>
              <w:t xml:space="preserve">▶  </w:t>
            </w:r>
            <w:r>
              <w:rPr>
                <w:color w:val="2D3748"/>
                <w:sz w:val="19"/>
              </w:rPr>
              <w:t>Begin the RBI Regulatory Sandbox application process</w:t>
            </w:r>
          </w:p>
          <w:p>
            <w:pPr>
              <w:spacing w:before="60" w:after="60"/>
              <w:ind w:left="216"/>
            </w:pPr>
            <w:r>
              <w:rPr>
                <w:b/>
                <w:color w:val="00C2A8"/>
                <w:sz w:val="18"/>
              </w:rPr>
              <w:t xml:space="preserve">▶  </w:t>
            </w:r>
            <w:r>
              <w:rPr>
                <w:color w:val="2D3748"/>
                <w:sz w:val="19"/>
              </w:rPr>
              <w:t>Publish the first India Cross-Border Compliance Benchmarking Report (anonymised from customer data)</w:t>
            </w:r>
          </w:p>
          <w:p>
            <w:pPr>
              <w:spacing w:before="60" w:after="60"/>
              <w:ind w:left="216"/>
            </w:pPr>
            <w:r>
              <w:rPr>
                <w:b/>
                <w:color w:val="00C2A8"/>
                <w:sz w:val="18"/>
              </w:rPr>
              <w:t xml:space="preserve">▶  </w:t>
            </w:r>
            <w:r>
              <w:rPr>
                <w:color w:val="2D3748"/>
                <w:sz w:val="19"/>
              </w:rPr>
              <w:t>Hire dedicated sales head (if MRR &gt; ₹10L) — founder transitions from selling to supporting sales</w:t>
            </w:r>
          </w:p>
          <w:p>
            <w:pPr>
              <w:spacing w:before="60" w:after="60"/>
              <w:ind w:left="216"/>
            </w:pPr>
            <w:r>
              <w:rPr>
                <w:b/>
                <w:color w:val="00C2A8"/>
                <w:sz w:val="18"/>
              </w:rPr>
              <w:t xml:space="preserve">▶  </w:t>
            </w:r>
            <w:r>
              <w:rPr>
                <w:color w:val="2D3748"/>
                <w:sz w:val="19"/>
              </w:rPr>
              <w:t>First "bank-adjacent" pilot: AD Category-I bank remittance division or large NBFC with 10+ analysts</w:t>
            </w:r>
          </w:p>
          <w:p>
            <w:pPr>
              <w:spacing w:before="60" w:after="60"/>
              <w:ind w:left="216"/>
            </w:pPr>
            <w:r>
              <w:rPr>
                <w:b/>
                <w:color w:val="00C2A8"/>
                <w:sz w:val="18"/>
              </w:rPr>
              <w:t xml:space="preserve">▶  </w:t>
            </w:r>
            <w:r>
              <w:rPr>
                <w:color w:val="2D3748"/>
                <w:sz w:val="19"/>
              </w:rPr>
              <w:t>Product expansion: FEMA outward remittance workflow, IEC verification, GST-PAN cross-referencing</w:t>
            </w:r>
          </w:p>
          <w:p>
            <w:pPr>
              <w:spacing w:before="60" w:after="60"/>
              <w:ind w:left="216"/>
            </w:pPr>
            <w:r>
              <w:rPr>
                <w:b/>
                <w:color w:val="00C2A8"/>
                <w:sz w:val="18"/>
              </w:rPr>
              <w:t xml:space="preserve">▶  </w:t>
            </w:r>
            <w:r>
              <w:rPr>
                <w:color w:val="2D3748"/>
                <w:sz w:val="19"/>
              </w:rPr>
              <w:t>Evaluate Series A fundraise timing based on NRR and pipeline velocity</w:t>
            </w:r>
          </w:p>
          <w:p>
            <w:pPr>
              <w:spacing w:before="80" w:after="0"/>
            </w:pPr>
          </w:p>
        </w:tc>
      </w:tr>
    </w:tbl>
    <w:p/>
    <w:p>
      <w:pPr>
        <w:spacing w:before="260" w:after="80"/>
      </w:pPr>
      <w:r>
        <w:rPr>
          <w:b/>
          <w:color w:val="0F2140"/>
          <w:sz w:val="25"/>
        </w:rPr>
        <w:t>Phase 3 — What Good Looks Like at Month 12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Metric</w:t>
            </w:r>
          </w:p>
        </w:tc>
        <w:tc>
          <w:tcPr>
            <w:tcW w:type="dxa" w:w="3024"/>
            <w:shd w:val="clear" w:color="auto" w:fill="0F2140"/>
          </w:tcPr>
          <w:p>
            <w:pPr>
              <w:spacing w:before="100" w:after="100"/>
            </w:pPr>
            <w:r>
              <w:rPr>
                <w:b/>
                <w:color w:val="FFFFFF"/>
                <w:sz w:val="19"/>
              </w:rPr>
              <w:t>Month 12 Target</w:t>
            </w:r>
          </w:p>
        </w:tc>
        <w:tc>
          <w:tcPr>
            <w:tcW w:type="dxa" w:w="3024"/>
            <w:shd w:val="clear" w:color="auto" w:fill="0F2140"/>
          </w:tcPr>
          <w:p>
            <w:pPr>
              <w:spacing w:before="100" w:after="100"/>
            </w:pPr>
            <w:r>
              <w:rPr>
                <w:b/>
                <w:color w:val="FFFFFF"/>
                <w:sz w:val="19"/>
              </w:rPr>
              <w:t>What It Signals</w:t>
            </w:r>
          </w:p>
        </w:tc>
      </w:tr>
      <w:tr>
        <w:tc>
          <w:tcPr>
            <w:tcW w:type="dxa" w:w="3024"/>
            <w:shd w:val="clear" w:color="auto" w:fill="EFF6FF"/>
          </w:tcPr>
          <w:p>
            <w:pPr>
              <w:spacing w:before="80" w:after="80"/>
            </w:pPr>
            <w:r>
              <w:rPr>
                <w:b/>
                <w:color w:val="0F2140"/>
                <w:sz w:val="19"/>
              </w:rPr>
              <w:t>Paying customers</w:t>
            </w:r>
          </w:p>
        </w:tc>
        <w:tc>
          <w:tcPr>
            <w:tcW w:type="dxa" w:w="3024"/>
            <w:shd w:val="clear" w:color="auto" w:fill="EFF6FF"/>
          </w:tcPr>
          <w:p>
            <w:pPr>
              <w:spacing w:before="80" w:after="80"/>
            </w:pPr>
            <w:r>
              <w:rPr>
                <w:color w:val="2D3748"/>
                <w:sz w:val="19"/>
              </w:rPr>
              <w:t>8–12</w:t>
            </w:r>
          </w:p>
        </w:tc>
        <w:tc>
          <w:tcPr>
            <w:tcW w:type="dxa" w:w="3024"/>
            <w:shd w:val="clear" w:color="auto" w:fill="EFF6FF"/>
          </w:tcPr>
          <w:p>
            <w:pPr>
              <w:spacing w:before="80" w:after="80"/>
            </w:pPr>
            <w:r>
              <w:rPr>
                <w:color w:val="2D3748"/>
                <w:sz w:val="19"/>
              </w:rPr>
              <w:t>Enough for statistical NRR measurement and genuine word-of-mouth</w:t>
            </w:r>
          </w:p>
        </w:tc>
      </w:tr>
      <w:tr>
        <w:tc>
          <w:tcPr>
            <w:tcW w:type="dxa" w:w="3024"/>
            <w:shd w:val="clear" w:color="auto" w:fill="FFFFFF"/>
          </w:tcPr>
          <w:p>
            <w:pPr>
              <w:spacing w:before="80" w:after="80"/>
            </w:pPr>
            <w:r>
              <w:rPr>
                <w:b/>
                <w:color w:val="0F2140"/>
                <w:sz w:val="19"/>
              </w:rPr>
              <w:t>ARR run rate</w:t>
            </w:r>
          </w:p>
        </w:tc>
        <w:tc>
          <w:tcPr>
            <w:tcW w:type="dxa" w:w="3024"/>
            <w:shd w:val="clear" w:color="auto" w:fill="FFFFFF"/>
          </w:tcPr>
          <w:p>
            <w:pPr>
              <w:spacing w:before="80" w:after="80"/>
            </w:pPr>
            <w:r>
              <w:rPr>
                <w:color w:val="2D3748"/>
                <w:sz w:val="19"/>
              </w:rPr>
              <w:t>₹15–20L</w:t>
            </w:r>
          </w:p>
        </w:tc>
        <w:tc>
          <w:tcPr>
            <w:tcW w:type="dxa" w:w="3024"/>
            <w:shd w:val="clear" w:color="auto" w:fill="FFFFFF"/>
          </w:tcPr>
          <w:p>
            <w:pPr>
              <w:spacing w:before="80" w:after="80"/>
            </w:pPr>
            <w:r>
              <w:rPr>
                <w:color w:val="2D3748"/>
                <w:sz w:val="19"/>
              </w:rPr>
              <w:t>Viable commercial business; Series A fundraise timing window opens</w:t>
            </w:r>
          </w:p>
        </w:tc>
      </w:tr>
      <w:tr>
        <w:tc>
          <w:tcPr>
            <w:tcW w:type="dxa" w:w="3024"/>
            <w:shd w:val="clear" w:color="auto" w:fill="EFF6FF"/>
          </w:tcPr>
          <w:p>
            <w:pPr>
              <w:spacing w:before="80" w:after="80"/>
            </w:pPr>
            <w:r>
              <w:rPr>
                <w:b/>
                <w:color w:val="0F2140"/>
                <w:sz w:val="19"/>
              </w:rPr>
              <w:t>Net Revenue Retention</w:t>
            </w:r>
          </w:p>
        </w:tc>
        <w:tc>
          <w:tcPr>
            <w:tcW w:type="dxa" w:w="3024"/>
            <w:shd w:val="clear" w:color="auto" w:fill="EFF6FF"/>
          </w:tcPr>
          <w:p>
            <w:pPr>
              <w:spacing w:before="80" w:after="80"/>
            </w:pPr>
            <w:r>
              <w:rPr>
                <w:color w:val="2D3748"/>
                <w:sz w:val="19"/>
              </w:rPr>
              <w:t>&gt; 110%</w:t>
            </w:r>
          </w:p>
        </w:tc>
        <w:tc>
          <w:tcPr>
            <w:tcW w:type="dxa" w:w="3024"/>
            <w:shd w:val="clear" w:color="auto" w:fill="EFF6FF"/>
          </w:tcPr>
          <w:p>
            <w:pPr>
              <w:spacing w:before="80" w:after="80"/>
            </w:pPr>
            <w:r>
              <w:rPr>
                <w:color w:val="2D3748"/>
                <w:sz w:val="19"/>
              </w:rPr>
              <w:t>Customers are expanding seats and upgrading plans — the product has real stickiness</w:t>
            </w:r>
          </w:p>
        </w:tc>
      </w:tr>
      <w:tr>
        <w:tc>
          <w:tcPr>
            <w:tcW w:type="dxa" w:w="3024"/>
            <w:shd w:val="clear" w:color="auto" w:fill="FFFFFF"/>
          </w:tcPr>
          <w:p>
            <w:pPr>
              <w:spacing w:before="80" w:after="80"/>
            </w:pPr>
            <w:r>
              <w:rPr>
                <w:b/>
                <w:color w:val="0F2140"/>
                <w:sz w:val="19"/>
              </w:rPr>
              <w:t>Partner-sourced revenue</w:t>
            </w:r>
          </w:p>
        </w:tc>
        <w:tc>
          <w:tcPr>
            <w:tcW w:type="dxa" w:w="3024"/>
            <w:shd w:val="clear" w:color="auto" w:fill="FFFFFF"/>
          </w:tcPr>
          <w:p>
            <w:pPr>
              <w:spacing w:before="80" w:after="80"/>
            </w:pPr>
            <w:r>
              <w:rPr>
                <w:color w:val="2D3748"/>
                <w:sz w:val="19"/>
              </w:rPr>
              <w:t>15–20% of new ARR</w:t>
            </w:r>
          </w:p>
        </w:tc>
        <w:tc>
          <w:tcPr>
            <w:tcW w:type="dxa" w:w="3024"/>
            <w:shd w:val="clear" w:color="auto" w:fill="FFFFFF"/>
          </w:tcPr>
          <w:p>
            <w:pPr>
              <w:spacing w:before="80" w:after="80"/>
            </w:pPr>
            <w:r>
              <w:rPr>
                <w:color w:val="2D3748"/>
                <w:sz w:val="19"/>
              </w:rPr>
              <w:t>Partner channel is working; direct sales is not the only growth engine</w:t>
            </w:r>
          </w:p>
        </w:tc>
      </w:tr>
      <w:tr>
        <w:tc>
          <w:tcPr>
            <w:tcW w:type="dxa" w:w="3024"/>
            <w:shd w:val="clear" w:color="auto" w:fill="EFF6FF"/>
          </w:tcPr>
          <w:p>
            <w:pPr>
              <w:spacing w:before="80" w:after="80"/>
            </w:pPr>
            <w:r>
              <w:rPr>
                <w:b/>
                <w:color w:val="0F2140"/>
                <w:sz w:val="19"/>
              </w:rPr>
              <w:t>Referenceable customers</w:t>
            </w:r>
          </w:p>
        </w:tc>
        <w:tc>
          <w:tcPr>
            <w:tcW w:type="dxa" w:w="3024"/>
            <w:shd w:val="clear" w:color="auto" w:fill="EFF6FF"/>
          </w:tcPr>
          <w:p>
            <w:pPr>
              <w:spacing w:before="80" w:after="80"/>
            </w:pPr>
            <w:r>
              <w:rPr>
                <w:color w:val="2D3748"/>
                <w:sz w:val="19"/>
              </w:rPr>
              <w:t>3+</w:t>
            </w:r>
          </w:p>
        </w:tc>
        <w:tc>
          <w:tcPr>
            <w:tcW w:type="dxa" w:w="3024"/>
            <w:shd w:val="clear" w:color="auto" w:fill="EFF6FF"/>
          </w:tcPr>
          <w:p>
            <w:pPr>
              <w:spacing w:before="80" w:after="80"/>
            </w:pPr>
            <w:r>
              <w:rPr>
                <w:color w:val="2D3748"/>
                <w:sz w:val="19"/>
              </w:rPr>
              <w:t>Can give investor or prospect references on request</w:t>
            </w:r>
          </w:p>
        </w:tc>
      </w:tr>
      <w:tr>
        <w:tc>
          <w:tcPr>
            <w:tcW w:type="dxa" w:w="3024"/>
            <w:shd w:val="clear" w:color="auto" w:fill="FFFFFF"/>
          </w:tcPr>
          <w:p>
            <w:pPr>
              <w:spacing w:before="80" w:after="80"/>
            </w:pPr>
            <w:r>
              <w:rPr>
                <w:b/>
                <w:color w:val="0F2140"/>
                <w:sz w:val="19"/>
              </w:rPr>
              <w:t>Case studies published</w:t>
            </w:r>
          </w:p>
        </w:tc>
        <w:tc>
          <w:tcPr>
            <w:tcW w:type="dxa" w:w="3024"/>
            <w:shd w:val="clear" w:color="auto" w:fill="FFFFFF"/>
          </w:tcPr>
          <w:p>
            <w:pPr>
              <w:spacing w:before="80" w:after="80"/>
            </w:pPr>
            <w:r>
              <w:rPr>
                <w:color w:val="2D3748"/>
                <w:sz w:val="19"/>
              </w:rPr>
              <w:t>2 (anonymised)</w:t>
            </w:r>
          </w:p>
        </w:tc>
        <w:tc>
          <w:tcPr>
            <w:tcW w:type="dxa" w:w="3024"/>
            <w:shd w:val="clear" w:color="auto" w:fill="FFFFFF"/>
          </w:tcPr>
          <w:p>
            <w:pPr>
              <w:spacing w:before="80" w:after="80"/>
            </w:pPr>
            <w:r>
              <w:rPr>
                <w:color w:val="2D3748"/>
                <w:sz w:val="19"/>
              </w:rPr>
              <w:t>Sales tool that converts cold interest into pilot requests</w:t>
            </w:r>
          </w:p>
        </w:tc>
      </w:tr>
      <w:tr>
        <w:tc>
          <w:tcPr>
            <w:tcW w:type="dxa" w:w="3024"/>
            <w:shd w:val="clear" w:color="auto" w:fill="EFF6FF"/>
          </w:tcPr>
          <w:p>
            <w:pPr>
              <w:spacing w:before="80" w:after="80"/>
            </w:pPr>
            <w:r>
              <w:rPr>
                <w:b/>
                <w:color w:val="0F2140"/>
                <w:sz w:val="19"/>
              </w:rPr>
              <w:t>Inbound leads per month</w:t>
            </w:r>
          </w:p>
        </w:tc>
        <w:tc>
          <w:tcPr>
            <w:tcW w:type="dxa" w:w="3024"/>
            <w:shd w:val="clear" w:color="auto" w:fill="EFF6FF"/>
          </w:tcPr>
          <w:p>
            <w:pPr>
              <w:spacing w:before="80" w:after="80"/>
            </w:pPr>
            <w:r>
              <w:rPr>
                <w:color w:val="2D3748"/>
                <w:sz w:val="19"/>
              </w:rPr>
              <w:t>3–5</w:t>
            </w:r>
          </w:p>
        </w:tc>
        <w:tc>
          <w:tcPr>
            <w:tcW w:type="dxa" w:w="3024"/>
            <w:shd w:val="clear" w:color="auto" w:fill="EFF6FF"/>
          </w:tcPr>
          <w:p>
            <w:pPr>
              <w:spacing w:before="80" w:after="80"/>
            </w:pPr>
            <w:r>
              <w:rPr>
                <w:color w:val="2D3748"/>
                <w:sz w:val="19"/>
              </w:rPr>
              <w:t>Content is starting to generate its own pipeline</w:t>
            </w:r>
          </w:p>
        </w:tc>
      </w:tr>
    </w:tbl>
    <w:p/>
    <w:p>
      <w:r>
        <w:br w:type="page"/>
      </w:r>
    </w:p>
    <w:p>
      <w:pPr>
        <w:spacing w:before="260" w:after="80"/>
      </w:pPr>
      <w:r>
        <w:rPr>
          <w:b/>
          <w:color w:val="0F2140"/>
          <w:sz w:val="28"/>
        </w:rPr>
        <w:t>Channel &amp; Launch — Five Things to Remember</w:t>
      </w:r>
    </w:p>
    <w:p>
      <w:pPr>
        <w:pBdr>
          <w:bottom w:val="single" w:sz="6" w:space="1" w:color="00C2A8"/>
        </w:pBdr>
        <w:spacing w:before="60" w:after="100"/>
      </w:pPr>
    </w:p>
    <w:tbl>
      <w:tblPr>
        <w:tblW w:type="auto" w:w="0"/>
        <w:jc w:val="center"/>
        <w:tblLook w:firstColumn="1" w:firstRow="1" w:lastColumn="0" w:lastRow="0" w:noHBand="0" w:noVBand="1" w:val="04A0"/>
      </w:tblPr>
      <w:tblGrid>
        <w:gridCol w:w="4536"/>
        <w:gridCol w:w="4536"/>
      </w:tblGrid>
      <w:tr>
        <w:tc>
          <w:tcPr>
            <w:tcW w:type="dxa" w:w="720"/>
            <w:shd w:val="clear" w:color="auto" w:fill="0F2140"/>
          </w:tcPr>
          <w:p>
            <w:pPr>
              <w:spacing w:before="280" w:after="280"/>
              <w:jc w:val="center"/>
            </w:pPr>
            <w:r>
              <w:rPr>
                <w:b/>
                <w:color w:val="FFFFFF"/>
                <w:sz w:val="36"/>
              </w:rPr>
              <w:t>1</w:t>
            </w:r>
          </w:p>
        </w:tc>
        <w:tc>
          <w:tcPr>
            <w:tcW w:type="dxa" w:w="4536"/>
            <w:shd w:val="clear" w:color="auto" w:fill="F0F9FF"/>
          </w:tcPr>
          <w:p>
            <w:pPr>
              <w:spacing w:before="160" w:after="40"/>
              <w:ind w:left="144"/>
            </w:pPr>
            <w:r>
              <w:rPr>
                <w:b/>
                <w:color w:val="0F2140"/>
                <w:sz w:val="21"/>
              </w:rPr>
              <w:t>In Year 1, the founders sell. That is the plan — not a gap in the plan.</w:t>
            </w:r>
          </w:p>
          <w:p>
            <w:pPr>
              <w:spacing w:before="0" w:after="160"/>
              <w:ind w:left="144"/>
            </w:pPr>
            <w:r>
              <w:rPr>
                <w:color w:val="2D3748"/>
                <w:sz w:val="19"/>
              </w:rPr>
              <w:t>The first 10 customers need someone who can answer hard technical and regulatory questions. A sales hire comes after the first 5 customers prove the value proposition in the market. Hiring sales too early wastes money and produces weak results.</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03D78"/>
          </w:tcPr>
          <w:p>
            <w:pPr>
              <w:spacing w:before="280" w:after="280"/>
              <w:jc w:val="center"/>
            </w:pPr>
            <w:r>
              <w:rPr>
                <w:b/>
                <w:color w:val="FFFFFF"/>
                <w:sz w:val="36"/>
              </w:rPr>
              <w:t>2</w:t>
            </w:r>
          </w:p>
        </w:tc>
        <w:tc>
          <w:tcPr>
            <w:tcW w:type="dxa" w:w="4536"/>
            <w:shd w:val="clear" w:color="auto" w:fill="F0F9FF"/>
          </w:tcPr>
          <w:p>
            <w:pPr>
              <w:spacing w:before="160" w:after="40"/>
              <w:ind w:left="144"/>
            </w:pPr>
            <w:r>
              <w:rPr>
                <w:b/>
                <w:color w:val="0F2140"/>
                <w:sz w:val="21"/>
              </w:rPr>
              <w:t>Warm introductions are the channel. Cold outreach is the fallback.</w:t>
            </w:r>
          </w:p>
          <w:p>
            <w:pPr>
              <w:spacing w:before="0" w:after="160"/>
              <w:ind w:left="144"/>
            </w:pPr>
            <w:r>
              <w:rPr>
                <w:color w:val="2D3748"/>
                <w:sz w:val="19"/>
              </w:rPr>
              <w:t>Every sales conversation should start from a mutual introduction — IIM alumni network, shared investor, fintech association contact. We track our warm intro pipeline before we build anything else.</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0C2A8"/>
          </w:tcPr>
          <w:p>
            <w:pPr>
              <w:spacing w:before="280" w:after="280"/>
              <w:jc w:val="center"/>
            </w:pPr>
            <w:r>
              <w:rPr>
                <w:b/>
                <w:color w:val="FFFFFF"/>
                <w:sz w:val="36"/>
              </w:rPr>
              <w:t>3</w:t>
            </w:r>
          </w:p>
        </w:tc>
        <w:tc>
          <w:tcPr>
            <w:tcW w:type="dxa" w:w="4536"/>
            <w:shd w:val="clear" w:color="auto" w:fill="F0F9FF"/>
          </w:tcPr>
          <w:p>
            <w:pPr>
              <w:spacing w:before="160" w:after="40"/>
              <w:ind w:left="144"/>
            </w:pPr>
            <w:r>
              <w:rPr>
                <w:b/>
                <w:color w:val="0F2140"/>
                <w:sz w:val="21"/>
              </w:rPr>
              <w:t>Run three pilots simultaneously, not one at a time.</w:t>
            </w:r>
          </w:p>
          <w:p>
            <w:pPr>
              <w:spacing w:before="0" w:after="160"/>
              <w:ind w:left="144"/>
            </w:pPr>
            <w:r>
              <w:rPr>
                <w:color w:val="2D3748"/>
                <w:sz w:val="19"/>
              </w:rPr>
              <w:t>Sequential pilots mean 9 months to get 3 data points. Simultaneous pilots mean 3 months. We can absorb the operational load — three free pilots at 1–5 analysts each is manageable. And if one does not convert, we have two others moving forward.</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0F2140"/>
          </w:tcPr>
          <w:p>
            <w:pPr>
              <w:spacing w:before="280" w:after="280"/>
              <w:jc w:val="center"/>
            </w:pPr>
            <w:r>
              <w:rPr>
                <w:b/>
                <w:color w:val="FFFFFF"/>
                <w:sz w:val="36"/>
              </w:rPr>
              <w:t>4</w:t>
            </w:r>
          </w:p>
        </w:tc>
        <w:tc>
          <w:tcPr>
            <w:tcW w:type="dxa" w:w="4536"/>
            <w:shd w:val="clear" w:color="auto" w:fill="F0F9FF"/>
          </w:tcPr>
          <w:p>
            <w:pPr>
              <w:spacing w:before="160" w:after="40"/>
              <w:ind w:left="144"/>
            </w:pPr>
            <w:r>
              <w:rPr>
                <w:b/>
                <w:color w:val="0F2140"/>
                <w:sz w:val="21"/>
              </w:rPr>
              <w:t>The Week 4 check-in is the most important meeting in the pilot.</w:t>
            </w:r>
          </w:p>
          <w:p>
            <w:pPr>
              <w:spacing w:before="0" w:after="160"/>
              <w:ind w:left="144"/>
            </w:pPr>
            <w:r>
              <w:rPr>
                <w:color w:val="2D3748"/>
                <w:sz w:val="19"/>
              </w:rPr>
              <w:t>If a pilot is going wrong, Week 4 is when we can still fix it. Week 8 is too late to change habits. The MLRO must be in the Week 4 meeting — not just the analyst.</w:t>
            </w:r>
          </w:p>
        </w:tc>
      </w:tr>
    </w:tbl>
    <w:p/>
    <w:tbl>
      <w:tblPr>
        <w:tblW w:type="auto" w:w="0"/>
        <w:jc w:val="center"/>
        <w:tblLook w:firstColumn="1" w:firstRow="1" w:lastColumn="0" w:lastRow="0" w:noHBand="0" w:noVBand="1" w:val="04A0"/>
      </w:tblPr>
      <w:tblGrid>
        <w:gridCol w:w="4536"/>
        <w:gridCol w:w="4536"/>
      </w:tblGrid>
      <w:tr>
        <w:tc>
          <w:tcPr>
            <w:tcW w:type="dxa" w:w="720"/>
            <w:shd w:val="clear" w:color="auto" w:fill="7F1D1D"/>
          </w:tcPr>
          <w:p>
            <w:pPr>
              <w:spacing w:before="280" w:after="280"/>
              <w:jc w:val="center"/>
            </w:pPr>
            <w:r>
              <w:rPr>
                <w:b/>
                <w:color w:val="FFFFFF"/>
                <w:sz w:val="36"/>
              </w:rPr>
              <w:t>5</w:t>
            </w:r>
          </w:p>
        </w:tc>
        <w:tc>
          <w:tcPr>
            <w:tcW w:type="dxa" w:w="4536"/>
            <w:shd w:val="clear" w:color="auto" w:fill="F0F9FF"/>
          </w:tcPr>
          <w:p>
            <w:pPr>
              <w:spacing w:before="160" w:after="40"/>
              <w:ind w:left="144"/>
            </w:pPr>
            <w:r>
              <w:rPr>
                <w:b/>
                <w:color w:val="0F2140"/>
                <w:sz w:val="21"/>
              </w:rPr>
              <w:t>Nothing goes to market before the three technical blockers are resolved.</w:t>
            </w:r>
          </w:p>
          <w:p>
            <w:pPr>
              <w:spacing w:before="0" w:after="160"/>
              <w:ind w:left="144"/>
            </w:pPr>
            <w:r>
              <w:rPr>
                <w:color w:val="2D3748"/>
                <w:sz w:val="19"/>
              </w:rPr>
              <w:t>No live watchlist feeds, no production login system, no secure web server — these are not "nice to haves before launch." They are conditions without which ScreenDesk is a demo, not a product. The launch date is determined by when these three things are done, not by a calendar.</w:t>
            </w:r>
          </w:p>
        </w:tc>
      </w:tr>
    </w:tbl>
    <w:p/>
    <w:p>
      <w:pPr>
        <w:pBdr>
          <w:bottom w:val="single" w:sz="6" w:space="1" w:color="00C2A8"/>
        </w:pBdr>
        <w:spacing w:before="60" w:after="100"/>
      </w:pPr>
    </w:p>
    <w:p>
      <w:pPr>
        <w:jc w:val="center"/>
      </w:pPr>
      <w:r>
        <w:rPr>
          <w:color w:val="9AA5B4"/>
          <w:sz w:val="16"/>
        </w:rPr>
        <w:t>TradePe / ScreenDesk — Channel Plan &amp; Launch Plan. Part of the Go-to-Market Strategy document set. All data is synthetic; no real individuals, entities, or financial transactions are represented. IIM Calcutta Group 2 Capstone, July 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