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72"/>
      </w:tblGrid>
      <w:tr>
        <w:tc>
          <w:tcPr>
            <w:tcW w:type="dxa" w:w="9072"/>
            <w:shd w:val="clear" w:color="auto" w:fill="0F2140"/>
          </w:tcPr>
          <w:p/>
          <w:p>
            <w:pPr>
              <w:spacing w:before="560" w:after="0"/>
              <w:jc w:val="center"/>
            </w:pPr>
            <w:r>
              <w:rPr>
                <w:b w:val="0"/>
                <w:color w:val="FFFFFF"/>
                <w:sz w:val="16"/>
              </w:rPr>
            </w:r>
          </w:p>
          <w:p>
            <w:pPr>
              <w:spacing w:before="80" w:after="40"/>
              <w:jc w:val="center"/>
            </w:pPr>
            <w:r>
              <w:rPr>
                <w:b/>
                <w:color w:val="00C2A8"/>
                <w:sz w:val="52"/>
              </w:rPr>
              <w:t>TradePe / ScreenDesk</w:t>
            </w:r>
          </w:p>
          <w:p>
            <w:pPr>
              <w:spacing w:before="80" w:after="40"/>
              <w:jc w:val="center"/>
            </w:pPr>
            <w:r>
              <w:rPr>
                <w:b w:val="0"/>
                <w:color w:val="FFFFFF"/>
                <w:sz w:val="30"/>
              </w:rPr>
              <w:t>Go-to-Market &amp; Branding Strategy</w:t>
            </w:r>
          </w:p>
          <w:p>
            <w:pPr>
              <w:spacing w:before="120" w:after="40"/>
              <w:jc w:val="center"/>
            </w:pPr>
            <w:r>
              <w:rPr>
                <w:b w:val="0"/>
                <w:color w:val="CCEEE8"/>
                <w:sz w:val="24"/>
              </w:rPr>
              <w:t>Executive Summary</w:t>
            </w:r>
          </w:p>
          <w:p>
            <w:pPr>
              <w:spacing w:before="0" w:after="0"/>
              <w:jc w:val="center"/>
            </w:pPr>
            <w:r>
              <w:rPr>
                <w:b w:val="0"/>
                <w:color w:val="FFFFFF"/>
                <w:sz w:val="12"/>
              </w:rPr>
            </w:r>
          </w:p>
          <w:p>
            <w:pPr>
              <w:spacing w:before="80" w:after="40"/>
              <w:jc w:val="center"/>
            </w:pPr>
            <w:r>
              <w:rPr>
                <w:b w:val="0"/>
                <w:color w:val="9AA5B4"/>
                <w:sz w:val="18"/>
              </w:rPr>
              <w:t>IIM Calcutta  ·  Group 2 Capstone  ·  July 2026</w:t>
            </w:r>
          </w:p>
          <w:p>
            <w:pPr>
              <w:spacing w:before="0" w:after="0"/>
              <w:jc w:val="center"/>
            </w:pPr>
            <w:r>
              <w:rPr>
                <w:b w:val="0"/>
                <w:color w:val="FFFFFF"/>
                <w:sz w:val="44"/>
              </w:rPr>
            </w:r>
          </w:p>
        </w:tc>
      </w:tr>
    </w:tbl>
    <w:p/>
    <w:tbl>
      <w:tblPr>
        <w:tblW w:type="auto" w:w="0"/>
        <w:jc w:val="center"/>
        <w:tblLook w:firstColumn="1" w:firstRow="1" w:lastColumn="0" w:lastRow="0" w:noHBand="0" w:noVBand="1" w:val="04A0"/>
      </w:tblPr>
      <w:tblGrid>
        <w:gridCol w:w="9072"/>
      </w:tblGrid>
      <w:tr>
        <w:tc>
          <w:tcPr>
            <w:tcW w:type="dxa" w:w="9072"/>
            <w:shd w:val="clear" w:color="auto" w:fill="003D78"/>
          </w:tcPr>
          <w:p>
            <w:pPr>
              <w:spacing w:before="200" w:after="200"/>
              <w:ind w:left="288" w:right="288"/>
            </w:pPr>
            <w:r>
              <w:rPr>
                <w:b/>
                <w:color w:val="FFFFFF"/>
                <w:sz w:val="20"/>
              </w:rPr>
              <w:t>What is ScreenDesk?</w:t>
              <w:br/>
              <w:br/>
              <w:t>When an Indian fintech sends money abroad, it must check whether the recipient is on a sanctions list (a banned entity list maintained by governments). Today, a compliance analyst does this manually — searching databases, comparing names, writing justifications in emails.</w:t>
              <w:br/>
              <w:br/>
              <w:t>ScreenDesk automates that workflow. It checks the name, scores the risk, surfaces the evidence, and drafts a justification — all in one place. The analyst still makes the final call. The system just makes sure every decision is documented, explainable, and auditable.</w:t>
            </w:r>
          </w:p>
        </w:tc>
      </w:tr>
    </w:tbl>
    <w:p/>
    <w:tbl>
      <w:tblPr>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0F2140"/>
          </w:tcPr>
          <w:p>
            <w:pPr>
              <w:spacing w:before="200" w:after="80"/>
              <w:jc w:val="center"/>
            </w:pPr>
            <w:r>
              <w:rPr>
                <w:b/>
                <w:color w:val="00C2A8"/>
                <w:sz w:val="36"/>
              </w:rPr>
              <w:t>40+</w:t>
              <w:br/>
            </w:r>
          </w:p>
          <w:p>
            <w:pPr>
              <w:spacing w:before="0" w:after="200"/>
              <w:jc w:val="center"/>
            </w:pPr>
            <w:r>
              <w:rPr>
                <w:color w:val="FFFFFF"/>
                <w:sz w:val="17"/>
              </w:rPr>
              <w:t>alerts a compliance</w:t>
              <w:br/>
              <w:t>analyst handles daily</w:t>
            </w:r>
          </w:p>
        </w:tc>
        <w:tc>
          <w:tcPr>
            <w:tcW w:type="dxa" w:w="1814"/>
            <w:shd w:val="clear" w:color="auto" w:fill="003D78"/>
          </w:tcPr>
          <w:p>
            <w:pPr>
              <w:spacing w:before="200" w:after="80"/>
              <w:jc w:val="center"/>
            </w:pPr>
            <w:r>
              <w:rPr>
                <w:b/>
                <w:color w:val="00C2A8"/>
                <w:sz w:val="36"/>
              </w:rPr>
              <w:t>3–5%</w:t>
              <w:br/>
            </w:r>
          </w:p>
          <w:p>
            <w:pPr>
              <w:spacing w:before="0" w:after="200"/>
              <w:jc w:val="center"/>
            </w:pPr>
            <w:r>
              <w:rPr>
                <w:color w:val="FFFFFF"/>
                <w:sz w:val="17"/>
              </w:rPr>
              <w:t>are real matches;</w:t>
              <w:br/>
              <w:t>the rest are false alarms</w:t>
            </w:r>
          </w:p>
        </w:tc>
        <w:tc>
          <w:tcPr>
            <w:tcW w:type="dxa" w:w="1814"/>
            <w:shd w:val="clear" w:color="auto" w:fill="0F2140"/>
          </w:tcPr>
          <w:p>
            <w:pPr>
              <w:spacing w:before="200" w:after="80"/>
              <w:jc w:val="center"/>
            </w:pPr>
            <w:r>
              <w:rPr>
                <w:b/>
                <w:color w:val="00C2A8"/>
                <w:sz w:val="36"/>
              </w:rPr>
              <w:t>8–12</w:t>
              <w:br/>
              <w:t>min</w:t>
              <w:br/>
            </w:r>
          </w:p>
          <w:p>
            <w:pPr>
              <w:spacing w:before="0" w:after="200"/>
              <w:jc w:val="center"/>
            </w:pPr>
            <w:r>
              <w:rPr>
                <w:color w:val="FFFFFF"/>
                <w:sz w:val="17"/>
              </w:rPr>
              <w:t>spent per alert</w:t>
              <w:br/>
              <w:t>without ScreenDesk</w:t>
            </w:r>
          </w:p>
        </w:tc>
        <w:tc>
          <w:tcPr>
            <w:tcW w:type="dxa" w:w="1814"/>
            <w:shd w:val="clear" w:color="auto" w:fill="003D78"/>
          </w:tcPr>
          <w:p>
            <w:pPr>
              <w:spacing w:before="200" w:after="80"/>
              <w:jc w:val="center"/>
            </w:pPr>
            <w:r>
              <w:rPr>
                <w:b/>
                <w:color w:val="00C2A8"/>
                <w:sz w:val="36"/>
              </w:rPr>
              <w:t>&lt; 4</w:t>
              <w:br/>
              <w:t>min</w:t>
              <w:br/>
            </w:r>
          </w:p>
          <w:p>
            <w:pPr>
              <w:spacing w:before="0" w:after="200"/>
              <w:jc w:val="center"/>
            </w:pPr>
            <w:r>
              <w:rPr>
                <w:color w:val="FFFFFF"/>
                <w:sz w:val="17"/>
              </w:rPr>
              <w:t>target time</w:t>
              <w:br/>
              <w:t>with ScreenDesk</w:t>
            </w:r>
          </w:p>
        </w:tc>
        <w:tc>
          <w:tcPr>
            <w:tcW w:type="dxa" w:w="1814"/>
            <w:shd w:val="clear" w:color="auto" w:fill="0F2140"/>
          </w:tcPr>
          <w:p>
            <w:pPr>
              <w:spacing w:before="200" w:after="80"/>
              <w:jc w:val="center"/>
            </w:pPr>
            <w:r>
              <w:rPr>
                <w:b/>
                <w:color w:val="00C2A8"/>
                <w:sz w:val="36"/>
              </w:rPr>
              <w:t>100%</w:t>
              <w:br/>
            </w:r>
          </w:p>
          <w:p>
            <w:pPr>
              <w:spacing w:before="0" w:after="200"/>
              <w:jc w:val="center"/>
            </w:pPr>
            <w:r>
              <w:rPr>
                <w:color w:val="FFFFFF"/>
                <w:sz w:val="17"/>
              </w:rPr>
              <w:t>of decisions get</w:t>
              <w:br/>
              <w:t>a documented rationale</w:t>
            </w:r>
          </w:p>
        </w:tc>
      </w:tr>
    </w:tbl>
    <w:p/>
    <w:p>
      <w:pPr>
        <w:spacing w:before="20" w:after="100"/>
      </w:pPr>
      <w:r>
        <w:rPr>
          <w:color w:val="2D3748"/>
          <w:sz w:val="20"/>
        </w:rPr>
        <w:t>This summary covers three strategy documents in one place: (1) who we sell to and how we talk about the product, (2) what we charge and how we measure success, and (3) what could go wrong and how we are handling it.</w:t>
      </w:r>
    </w:p>
    <w:p>
      <w:r>
        <w:br w:type="page"/>
      </w:r>
    </w:p>
    <w:tbl>
      <w:tblPr>
        <w:tblW w:type="auto" w:w="0"/>
        <w:jc w:val="center"/>
        <w:tblLook w:firstColumn="1" w:firstRow="1" w:lastColumn="0" w:lastRow="0" w:noHBand="0" w:noVBand="1" w:val="04A0"/>
      </w:tblPr>
      <w:tblGrid>
        <w:gridCol w:w="9072"/>
      </w:tblGrid>
      <w:tr>
        <w:tc>
          <w:tcPr>
            <w:tcW w:type="dxa" w:w="9072"/>
            <w:shd w:val="clear" w:color="auto" w:fill="0F2140"/>
          </w:tcPr>
          <w:p>
            <w:pPr>
              <w:spacing w:before="200" w:after="200"/>
              <w:jc w:val="left"/>
            </w:pPr>
            <w:r>
              <w:rPr>
                <w:b/>
                <w:color w:val="00C2A8"/>
                <w:sz w:val="18"/>
              </w:rPr>
              <w:t xml:space="preserve">Section 1  </w:t>
            </w:r>
            <w:r>
              <w:rPr>
                <w:b/>
                <w:color w:val="FFFFFF"/>
                <w:sz w:val="30"/>
              </w:rPr>
              <w:t>Market &amp; Branding Strategy</w:t>
            </w:r>
          </w:p>
          <w:p>
            <w:pPr>
              <w:spacing w:before="40" w:after="160"/>
              <w:ind w:left="72"/>
            </w:pPr>
            <w:r>
              <w:rPr>
                <w:color w:val="CCEEE8"/>
                <w:sz w:val="20"/>
              </w:rPr>
              <w:t>Who we sell to, how we position the product, and what we say.</w:t>
            </w:r>
          </w:p>
        </w:tc>
      </w:tr>
    </w:tbl>
    <w:p/>
    <w:p>
      <w:pPr>
        <w:spacing w:before="240" w:after="80"/>
      </w:pPr>
      <w:r>
        <w:rPr>
          <w:b/>
          <w:color w:val="0F2140"/>
          <w:sz w:val="24"/>
        </w:rPr>
        <w:t>The Problem We Solve</w:t>
      </w:r>
    </w:p>
    <w:p>
      <w:pPr>
        <w:spacing w:before="20" w:after="100"/>
      </w:pPr>
      <w:r>
        <w:rPr>
          <w:color w:val="2D3748"/>
          <w:sz w:val="20"/>
        </w:rPr>
        <w:t>Compliance analysts at small Indian fintechs are drowning in alerts. Most of these alerts are false alarms — a name that looks similar to a banned entity but is actually a legitimate business. Clearing a false alarm today means: searching three different watchlist websites, copying names into a spreadsheet, writing a justification email, and hoping it is saved somewhere if a regulator asks.</w:t>
      </w:r>
    </w:p>
    <w:p>
      <w:pPr>
        <w:spacing w:before="20" w:after="100"/>
      </w:pPr>
      <w:r>
        <w:rPr>
          <w:color w:val="2D3748"/>
          <w:sz w:val="20"/>
        </w:rPr>
        <w:t>The result: analysts spend most of their day on admin, not judgment. Genuine risks get missed because the process is exhausting. And when a regulator asks "why did you clear this?", the answer is buried in a 6-month-old email thread.</w:t>
      </w:r>
    </w:p>
    <w:tbl>
      <w:tblPr>
        <w:tblW w:type="auto" w:w="0"/>
        <w:jc w:val="center"/>
        <w:tblLook w:firstColumn="1" w:firstRow="1" w:lastColumn="0" w:lastRow="0" w:noHBand="0" w:noVBand="1" w:val="04A0"/>
      </w:tblPr>
      <w:tblGrid>
        <w:gridCol w:w="9072"/>
      </w:tblGrid>
      <w:tr>
        <w:tc>
          <w:tcPr>
            <w:tcW w:type="dxa" w:w="9072"/>
            <w:shd w:val="clear" w:color="auto" w:fill="0F2140"/>
          </w:tcPr>
          <w:p>
            <w:pPr>
              <w:spacing w:before="200" w:after="200"/>
              <w:ind w:left="288" w:right="288"/>
            </w:pPr>
            <w:r>
              <w:rPr>
                <w:b/>
                <w:color w:val="FFFFFF"/>
                <w:sz w:val="20"/>
              </w:rPr>
              <w:t>"I know 95% of these are false alarms. But I cannot clear them without checking every single one,</w:t>
              <w:br/>
              <w:t>and I cannot prove I checked unless I write it down somewhere."</w:t>
            </w:r>
          </w:p>
        </w:tc>
      </w:tr>
    </w:tbl>
    <w:p/>
    <w:p>
      <w:pPr>
        <w:spacing w:before="240" w:after="80"/>
      </w:pPr>
      <w:r>
        <w:rPr>
          <w:b/>
          <w:color w:val="0F2140"/>
          <w:sz w:val="24"/>
        </w:rPr>
        <w:t>Where ScreenDesk Sits in the Market</w:t>
      </w:r>
    </w:p>
    <w:p>
      <w:pPr>
        <w:spacing w:before="20" w:after="100"/>
      </w:pPr>
      <w:r>
        <w:rPr>
          <w:color w:val="2D3748"/>
          <w:sz w:val="20"/>
        </w:rPr>
        <w:t>There are already big players in this space. But they serve different needs: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0F2140"/>
          </w:tcPr>
          <w:p>
            <w:pPr>
              <w:spacing w:before="100" w:after="100"/>
            </w:pPr>
            <w:r>
              <w:rPr>
                <w:b/>
                <w:color w:val="FFFFFF"/>
                <w:sz w:val="19"/>
              </w:rPr>
              <w:t>Type of Tool</w:t>
            </w:r>
          </w:p>
        </w:tc>
        <w:tc>
          <w:tcPr>
            <w:tcW w:type="dxa" w:w="2268"/>
            <w:shd w:val="clear" w:color="auto" w:fill="0F2140"/>
          </w:tcPr>
          <w:p>
            <w:pPr>
              <w:spacing w:before="100" w:after="100"/>
            </w:pPr>
            <w:r>
              <w:rPr>
                <w:b/>
                <w:color w:val="FFFFFF"/>
                <w:sz w:val="19"/>
              </w:rPr>
              <w:t>What It Does</w:t>
            </w:r>
          </w:p>
        </w:tc>
        <w:tc>
          <w:tcPr>
            <w:tcW w:type="dxa" w:w="2268"/>
            <w:shd w:val="clear" w:color="auto" w:fill="0F2140"/>
          </w:tcPr>
          <w:p>
            <w:pPr>
              <w:spacing w:before="100" w:after="100"/>
            </w:pPr>
            <w:r>
              <w:rPr>
                <w:b/>
                <w:color w:val="FFFFFF"/>
                <w:sz w:val="19"/>
              </w:rPr>
              <w:t>Who It Is For</w:t>
            </w:r>
          </w:p>
        </w:tc>
        <w:tc>
          <w:tcPr>
            <w:tcW w:type="dxa" w:w="2268"/>
            <w:shd w:val="clear" w:color="auto" w:fill="0F2140"/>
          </w:tcPr>
          <w:p>
            <w:pPr>
              <w:spacing w:before="100" w:after="100"/>
            </w:pPr>
            <w:r>
              <w:rPr>
                <w:b/>
                <w:color w:val="FFFFFF"/>
                <w:sz w:val="19"/>
              </w:rPr>
              <w:t>Gap It Leaves</w:t>
            </w:r>
          </w:p>
        </w:tc>
      </w:tr>
      <w:tr>
        <w:tc>
          <w:tcPr>
            <w:tcW w:type="dxa" w:w="2268"/>
            <w:shd w:val="clear" w:color="auto" w:fill="EFF6FF"/>
          </w:tcPr>
          <w:p>
            <w:pPr>
              <w:spacing w:before="80" w:after="80"/>
            </w:pPr>
            <w:r>
              <w:rPr>
                <w:b/>
                <w:color w:val="0F2140"/>
                <w:sz w:val="19"/>
              </w:rPr>
              <w:t>Watchlist Databases</w:t>
              <w:br/>
              <w:t>(e.g. Refinitiv, Dow Jones)</w:t>
            </w:r>
          </w:p>
        </w:tc>
        <w:tc>
          <w:tcPr>
            <w:tcW w:type="dxa" w:w="2268"/>
            <w:shd w:val="clear" w:color="auto" w:fill="EFF6FF"/>
          </w:tcPr>
          <w:p>
            <w:pPr>
              <w:spacing w:before="80" w:after="80"/>
            </w:pPr>
            <w:r>
              <w:rPr>
                <w:color w:val="2D3748"/>
                <w:sz w:val="19"/>
              </w:rPr>
              <w:t>Provides the list of banned entities</w:t>
            </w:r>
          </w:p>
        </w:tc>
        <w:tc>
          <w:tcPr>
            <w:tcW w:type="dxa" w:w="2268"/>
            <w:shd w:val="clear" w:color="auto" w:fill="EFF6FF"/>
          </w:tcPr>
          <w:p>
            <w:pPr>
              <w:spacing w:before="80" w:after="80"/>
            </w:pPr>
            <w:r>
              <w:rPr>
                <w:color w:val="2D3748"/>
                <w:sz w:val="19"/>
              </w:rPr>
              <w:t>Any bank or fintech worldwide</w:t>
            </w:r>
          </w:p>
        </w:tc>
        <w:tc>
          <w:tcPr>
            <w:tcW w:type="dxa" w:w="2268"/>
            <w:shd w:val="clear" w:color="auto" w:fill="EFF6FF"/>
          </w:tcPr>
          <w:p>
            <w:pPr>
              <w:spacing w:before="80" w:after="80"/>
            </w:pPr>
            <w:r>
              <w:rPr>
                <w:color w:val="2D3748"/>
                <w:sz w:val="19"/>
              </w:rPr>
              <w:t>Raw data only — no workflow, no documentation, no audit trail</w:t>
            </w:r>
          </w:p>
        </w:tc>
      </w:tr>
      <w:tr>
        <w:tc>
          <w:tcPr>
            <w:tcW w:type="dxa" w:w="2268"/>
            <w:shd w:val="clear" w:color="auto" w:fill="FFFFFF"/>
          </w:tcPr>
          <w:p>
            <w:pPr>
              <w:spacing w:before="80" w:after="80"/>
            </w:pPr>
            <w:r>
              <w:rPr>
                <w:b/>
                <w:color w:val="0F2140"/>
                <w:sz w:val="19"/>
              </w:rPr>
              <w:t>Enterprise AML Suites</w:t>
              <w:br/>
              <w:t>(e.g. Oracle FCCM)</w:t>
            </w:r>
          </w:p>
        </w:tc>
        <w:tc>
          <w:tcPr>
            <w:tcW w:type="dxa" w:w="2268"/>
            <w:shd w:val="clear" w:color="auto" w:fill="FFFFFF"/>
          </w:tcPr>
          <w:p>
            <w:pPr>
              <w:spacing w:before="80" w:after="80"/>
            </w:pPr>
            <w:r>
              <w:rPr>
                <w:color w:val="2D3748"/>
                <w:sz w:val="19"/>
              </w:rPr>
              <w:t>Monitors transactions for money laundering patterns</w:t>
            </w:r>
          </w:p>
        </w:tc>
        <w:tc>
          <w:tcPr>
            <w:tcW w:type="dxa" w:w="2268"/>
            <w:shd w:val="clear" w:color="auto" w:fill="FFFFFF"/>
          </w:tcPr>
          <w:p>
            <w:pPr>
              <w:spacing w:before="80" w:after="80"/>
            </w:pPr>
            <w:r>
              <w:rPr>
                <w:color w:val="2D3748"/>
                <w:sz w:val="19"/>
              </w:rPr>
              <w:t>Large banks with big compliance teams</w:t>
            </w:r>
          </w:p>
        </w:tc>
        <w:tc>
          <w:tcPr>
            <w:tcW w:type="dxa" w:w="2268"/>
            <w:shd w:val="clear" w:color="auto" w:fill="FFFFFF"/>
          </w:tcPr>
          <w:p>
            <w:pPr>
              <w:spacing w:before="80" w:after="80"/>
            </w:pPr>
            <w:r>
              <w:rPr>
                <w:color w:val="2D3748"/>
                <w:sz w:val="19"/>
              </w:rPr>
              <w:t>Too expensive and complex for a 2-person fintech compliance team</w:t>
            </w:r>
          </w:p>
        </w:tc>
      </w:tr>
      <w:tr>
        <w:tc>
          <w:tcPr>
            <w:tcW w:type="dxa" w:w="2268"/>
            <w:shd w:val="clear" w:color="auto" w:fill="EFF6FF"/>
          </w:tcPr>
          <w:p>
            <w:pPr>
              <w:spacing w:before="80" w:after="80"/>
            </w:pPr>
            <w:r>
              <w:rPr>
                <w:b/>
                <w:color w:val="0F2140"/>
                <w:sz w:val="19"/>
              </w:rPr>
              <w:t>ScreenDesk</w:t>
              <w:br/>
              <w:t>(what we are building)</w:t>
            </w:r>
          </w:p>
        </w:tc>
        <w:tc>
          <w:tcPr>
            <w:tcW w:type="dxa" w:w="2268"/>
            <w:shd w:val="clear" w:color="auto" w:fill="EFF6FF"/>
          </w:tcPr>
          <w:p>
            <w:pPr>
              <w:spacing w:before="80" w:after="80"/>
            </w:pPr>
            <w:r>
              <w:rPr>
                <w:color w:val="2D3748"/>
                <w:sz w:val="19"/>
              </w:rPr>
              <w:t>Sits between the two — takes the watchlist data and makes the analyst's workflow fast, structured, and documented</w:t>
            </w:r>
          </w:p>
        </w:tc>
        <w:tc>
          <w:tcPr>
            <w:tcW w:type="dxa" w:w="2268"/>
            <w:shd w:val="clear" w:color="auto" w:fill="EFF6FF"/>
          </w:tcPr>
          <w:p>
            <w:pPr>
              <w:spacing w:before="80" w:after="80"/>
            </w:pPr>
            <w:r>
              <w:rPr>
                <w:color w:val="2D3748"/>
                <w:sz w:val="19"/>
              </w:rPr>
              <w:t>1–5 person compliance teams at Indian cross-border payment fintechs</w:t>
            </w:r>
          </w:p>
        </w:tc>
        <w:tc>
          <w:tcPr>
            <w:tcW w:type="dxa" w:w="2268"/>
            <w:shd w:val="clear" w:color="auto" w:fill="EFF6FF"/>
          </w:tcPr>
          <w:p>
            <w:pPr>
              <w:spacing w:before="80" w:after="80"/>
            </w:pPr>
            <w:r>
              <w:rPr>
                <w:color w:val="2D3748"/>
                <w:sz w:val="19"/>
              </w:rPr>
              <w:t>This is the gap we fill</w:t>
            </w:r>
          </w:p>
        </w:tc>
      </w:tr>
    </w:tbl>
    <w:p/>
    <w:p>
      <w:pPr>
        <w:spacing w:before="20" w:after="100"/>
      </w:pPr>
      <w:r>
        <w:rPr>
          <w:color w:val="2D3748"/>
          <w:sz w:val="20"/>
        </w:rPr>
        <w:t>We call this category the "Evidence-First Compliance Workbench." It is a simple idea: every compliance decision should be backed by visible evidence and a written rationale — not a gut feel and a cleared checkbox.</w:t>
      </w:r>
    </w:p>
    <w:p>
      <w:pPr>
        <w:spacing w:before="240" w:after="80"/>
      </w:pPr>
      <w:r>
        <w:rPr>
          <w:b/>
          <w:color w:val="0F2140"/>
          <w:sz w:val="24"/>
        </w:rPr>
        <w:t>Who We Sell To — and in What Order</w:t>
      </w:r>
    </w:p>
    <w:p>
      <w:pPr>
        <w:spacing w:before="160" w:after="60"/>
      </w:pPr>
      <w:r>
        <w:rPr>
          <w:b/>
          <w:color w:val="00C2A8"/>
          <w:sz w:val="21"/>
        </w:rPr>
        <w:t>Our First Customers (Months 1–9)</w:t>
      </w:r>
    </w:p>
    <w:p>
      <w:pPr>
        <w:spacing w:before="20" w:after="100"/>
      </w:pPr>
      <w:r>
        <w:rPr>
          <w:color w:val="2D3748"/>
          <w:sz w:val="20"/>
        </w:rPr>
        <w:t>Indian fintechs that process cross-border payments — companies sending money to the UAE, Singapore, US, or Europe. They typically have 1–5 compliance analysts, hold an RBI Payment Aggregator or AD Category-II licence, and handle 40+ screening alerts every day with no dedicated tooling.</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0F2140"/>
          </w:tcPr>
          <w:p>
            <w:pPr>
              <w:spacing w:before="100" w:after="100"/>
            </w:pPr>
            <w:r>
              <w:rPr>
                <w:b/>
                <w:color w:val="FFFFFF"/>
                <w:sz w:val="19"/>
              </w:rPr>
              <w:t>Person</w:t>
            </w:r>
          </w:p>
        </w:tc>
        <w:tc>
          <w:tcPr>
            <w:tcW w:type="dxa" w:w="3024"/>
            <w:shd w:val="clear" w:color="auto" w:fill="0F2140"/>
          </w:tcPr>
          <w:p>
            <w:pPr>
              <w:spacing w:before="100" w:after="100"/>
            </w:pPr>
            <w:r>
              <w:rPr>
                <w:b/>
                <w:color w:val="FFFFFF"/>
                <w:sz w:val="19"/>
              </w:rPr>
              <w:t>Their Role</w:t>
            </w:r>
          </w:p>
        </w:tc>
        <w:tc>
          <w:tcPr>
            <w:tcW w:type="dxa" w:w="3024"/>
            <w:shd w:val="clear" w:color="auto" w:fill="0F2140"/>
          </w:tcPr>
          <w:p>
            <w:pPr>
              <w:spacing w:before="100" w:after="100"/>
            </w:pPr>
            <w:r>
              <w:rPr>
                <w:b/>
                <w:color w:val="FFFFFF"/>
                <w:sz w:val="19"/>
              </w:rPr>
              <w:t>What They Care About</w:t>
            </w:r>
          </w:p>
        </w:tc>
      </w:tr>
      <w:tr>
        <w:tc>
          <w:tcPr>
            <w:tcW w:type="dxa" w:w="3024"/>
            <w:shd w:val="clear" w:color="auto" w:fill="EFF6FF"/>
          </w:tcPr>
          <w:p>
            <w:pPr>
              <w:spacing w:before="80" w:after="80"/>
            </w:pPr>
            <w:r>
              <w:rPr>
                <w:b/>
                <w:color w:val="0F2140"/>
                <w:sz w:val="19"/>
              </w:rPr>
              <w:t>Priya Nair</w:t>
              <w:br/>
              <w:t>(the analyst)</w:t>
            </w:r>
          </w:p>
        </w:tc>
        <w:tc>
          <w:tcPr>
            <w:tcW w:type="dxa" w:w="3024"/>
            <w:shd w:val="clear" w:color="auto" w:fill="EFF6FF"/>
          </w:tcPr>
          <w:p>
            <w:pPr>
              <w:spacing w:before="80" w:after="80"/>
            </w:pPr>
            <w:r>
              <w:rPr>
                <w:color w:val="2D3748"/>
                <w:sz w:val="19"/>
              </w:rPr>
              <w:t>Screens 40+ counterparty names every day; dispositions alerts</w:t>
            </w:r>
          </w:p>
        </w:tc>
        <w:tc>
          <w:tcPr>
            <w:tcW w:type="dxa" w:w="3024"/>
            <w:shd w:val="clear" w:color="auto" w:fill="EFF6FF"/>
          </w:tcPr>
          <w:p>
            <w:pPr>
              <w:spacing w:before="80" w:after="80"/>
            </w:pPr>
            <w:r>
              <w:rPr>
                <w:color w:val="2D3748"/>
                <w:sz w:val="19"/>
              </w:rPr>
              <w:t>"I need to clear the queue faster without making a mistake"</w:t>
            </w:r>
          </w:p>
        </w:tc>
      </w:tr>
      <w:tr>
        <w:tc>
          <w:tcPr>
            <w:tcW w:type="dxa" w:w="3024"/>
            <w:shd w:val="clear" w:color="auto" w:fill="FFFFFF"/>
          </w:tcPr>
          <w:p>
            <w:pPr>
              <w:spacing w:before="80" w:after="80"/>
            </w:pPr>
            <w:r>
              <w:rPr>
                <w:b/>
                <w:color w:val="0F2140"/>
                <w:sz w:val="19"/>
              </w:rPr>
              <w:t>MLRO / Head of Compliance</w:t>
              <w:br/>
              <w:t>(the buyer)</w:t>
            </w:r>
          </w:p>
        </w:tc>
        <w:tc>
          <w:tcPr>
            <w:tcW w:type="dxa" w:w="3024"/>
            <w:shd w:val="clear" w:color="auto" w:fill="FFFFFF"/>
          </w:tcPr>
          <w:p>
            <w:pPr>
              <w:spacing w:before="80" w:after="80"/>
            </w:pPr>
            <w:r>
              <w:rPr>
                <w:color w:val="2D3748"/>
                <w:sz w:val="19"/>
              </w:rPr>
              <w:t>Signs off on the tool; faces regulators if something goes wrong</w:t>
            </w:r>
          </w:p>
        </w:tc>
        <w:tc>
          <w:tcPr>
            <w:tcW w:type="dxa" w:w="3024"/>
            <w:shd w:val="clear" w:color="auto" w:fill="FFFFFF"/>
          </w:tcPr>
          <w:p>
            <w:pPr>
              <w:spacing w:before="80" w:after="80"/>
            </w:pPr>
            <w:r>
              <w:rPr>
                <w:color w:val="2D3748"/>
                <w:sz w:val="19"/>
              </w:rPr>
              <w:t>"I need a clean audit trail and fewer sleepless nights before an inspection"</w:t>
            </w:r>
          </w:p>
        </w:tc>
      </w:tr>
    </w:tbl>
    <w:p/>
    <w:p>
      <w:pPr>
        <w:spacing w:before="160" w:after="60"/>
      </w:pPr>
      <w:r>
        <w:rPr>
          <w:b/>
          <w:color w:val="00C2A8"/>
          <w:sz w:val="21"/>
        </w:rPr>
        <w:t>Our Expansion Plan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0F2140"/>
          </w:tcPr>
          <w:p>
            <w:pPr>
              <w:spacing w:before="100" w:after="100"/>
            </w:pPr>
            <w:r>
              <w:rPr>
                <w:b/>
                <w:color w:val="FFFFFF"/>
                <w:sz w:val="19"/>
              </w:rPr>
              <w:t>Phase</w:t>
            </w:r>
          </w:p>
        </w:tc>
        <w:tc>
          <w:tcPr>
            <w:tcW w:type="dxa" w:w="2268"/>
            <w:shd w:val="clear" w:color="auto" w:fill="0F2140"/>
          </w:tcPr>
          <w:p>
            <w:pPr>
              <w:spacing w:before="100" w:after="100"/>
            </w:pPr>
            <w:r>
              <w:rPr>
                <w:b/>
                <w:color w:val="FFFFFF"/>
                <w:sz w:val="19"/>
              </w:rPr>
              <w:t>Who</w:t>
            </w:r>
          </w:p>
        </w:tc>
        <w:tc>
          <w:tcPr>
            <w:tcW w:type="dxa" w:w="2268"/>
            <w:shd w:val="clear" w:color="auto" w:fill="0F2140"/>
          </w:tcPr>
          <w:p>
            <w:pPr>
              <w:spacing w:before="100" w:after="100"/>
            </w:pPr>
            <w:r>
              <w:rPr>
                <w:b/>
                <w:color w:val="FFFFFF"/>
                <w:sz w:val="19"/>
              </w:rPr>
              <w:t>When</w:t>
            </w:r>
          </w:p>
        </w:tc>
        <w:tc>
          <w:tcPr>
            <w:tcW w:type="dxa" w:w="2268"/>
            <w:shd w:val="clear" w:color="auto" w:fill="0F2140"/>
          </w:tcPr>
          <w:p>
            <w:pPr>
              <w:spacing w:before="100" w:after="100"/>
            </w:pPr>
            <w:r>
              <w:rPr>
                <w:b/>
                <w:color w:val="FFFFFF"/>
                <w:sz w:val="19"/>
              </w:rPr>
              <w:t>Revenue Target</w:t>
            </w:r>
          </w:p>
        </w:tc>
      </w:tr>
      <w:tr>
        <w:tc>
          <w:tcPr>
            <w:tcW w:type="dxa" w:w="2268"/>
            <w:shd w:val="clear" w:color="auto" w:fill="EFF6FF"/>
          </w:tcPr>
          <w:p>
            <w:pPr>
              <w:spacing w:before="80" w:after="80"/>
            </w:pPr>
            <w:r>
              <w:rPr>
                <w:b/>
                <w:color w:val="0F2140"/>
                <w:sz w:val="19"/>
              </w:rPr>
              <w:t>Phase 1</w:t>
            </w:r>
          </w:p>
        </w:tc>
        <w:tc>
          <w:tcPr>
            <w:tcW w:type="dxa" w:w="2268"/>
            <w:shd w:val="clear" w:color="auto" w:fill="EFF6FF"/>
          </w:tcPr>
          <w:p>
            <w:pPr>
              <w:spacing w:before="80" w:after="80"/>
            </w:pPr>
            <w:r>
              <w:rPr>
                <w:color w:val="2D3748"/>
                <w:sz w:val="19"/>
              </w:rPr>
              <w:t>Cross-border payment fintechs (1–5 analysts)</w:t>
            </w:r>
          </w:p>
        </w:tc>
        <w:tc>
          <w:tcPr>
            <w:tcW w:type="dxa" w:w="2268"/>
            <w:shd w:val="clear" w:color="auto" w:fill="EFF6FF"/>
          </w:tcPr>
          <w:p>
            <w:pPr>
              <w:spacing w:before="80" w:after="80"/>
            </w:pPr>
            <w:r>
              <w:rPr>
                <w:color w:val="2D3748"/>
                <w:sz w:val="19"/>
              </w:rPr>
              <w:t>Months 1–9</w:t>
            </w:r>
          </w:p>
        </w:tc>
        <w:tc>
          <w:tcPr>
            <w:tcW w:type="dxa" w:w="2268"/>
            <w:shd w:val="clear" w:color="auto" w:fill="EFF6FF"/>
          </w:tcPr>
          <w:p>
            <w:pPr>
              <w:spacing w:before="80" w:after="80"/>
            </w:pPr>
            <w:r>
              <w:rPr>
                <w:color w:val="2D3748"/>
                <w:sz w:val="19"/>
              </w:rPr>
              <w:t>3 paying customers, ₹15–20L ARR</w:t>
            </w:r>
          </w:p>
        </w:tc>
      </w:tr>
      <w:tr>
        <w:tc>
          <w:tcPr>
            <w:tcW w:type="dxa" w:w="2268"/>
            <w:shd w:val="clear" w:color="auto" w:fill="FFFFFF"/>
          </w:tcPr>
          <w:p>
            <w:pPr>
              <w:spacing w:before="80" w:after="80"/>
            </w:pPr>
            <w:r>
              <w:rPr>
                <w:b/>
                <w:color w:val="0F2140"/>
                <w:sz w:val="19"/>
              </w:rPr>
              <w:t>Phase 2</w:t>
            </w:r>
          </w:p>
        </w:tc>
        <w:tc>
          <w:tcPr>
            <w:tcW w:type="dxa" w:w="2268"/>
            <w:shd w:val="clear" w:color="auto" w:fill="FFFFFF"/>
          </w:tcPr>
          <w:p>
            <w:pPr>
              <w:spacing w:before="80" w:after="80"/>
            </w:pPr>
            <w:r>
              <w:rPr>
                <w:color w:val="2D3748"/>
                <w:sz w:val="19"/>
              </w:rPr>
              <w:t>Trade-finance NBFCs and commodity exporters</w:t>
            </w:r>
          </w:p>
        </w:tc>
        <w:tc>
          <w:tcPr>
            <w:tcW w:type="dxa" w:w="2268"/>
            <w:shd w:val="clear" w:color="auto" w:fill="FFFFFF"/>
          </w:tcPr>
          <w:p>
            <w:pPr>
              <w:spacing w:before="80" w:after="80"/>
            </w:pPr>
            <w:r>
              <w:rPr>
                <w:color w:val="2D3748"/>
                <w:sz w:val="19"/>
              </w:rPr>
              <w:t>Months 9–18</w:t>
            </w:r>
          </w:p>
        </w:tc>
        <w:tc>
          <w:tcPr>
            <w:tcW w:type="dxa" w:w="2268"/>
            <w:shd w:val="clear" w:color="auto" w:fill="FFFFFF"/>
          </w:tcPr>
          <w:p>
            <w:pPr>
              <w:spacing w:before="80" w:after="80"/>
            </w:pPr>
            <w:r>
              <w:rPr>
                <w:color w:val="2D3748"/>
                <w:sz w:val="19"/>
              </w:rPr>
              <w:t>8–12 customers, ₹40–60L ARR</w:t>
            </w:r>
          </w:p>
        </w:tc>
      </w:tr>
      <w:tr>
        <w:tc>
          <w:tcPr>
            <w:tcW w:type="dxa" w:w="2268"/>
            <w:shd w:val="clear" w:color="auto" w:fill="EFF6FF"/>
          </w:tcPr>
          <w:p>
            <w:pPr>
              <w:spacing w:before="80" w:after="80"/>
            </w:pPr>
            <w:r>
              <w:rPr>
                <w:b/>
                <w:color w:val="0F2140"/>
                <w:sz w:val="19"/>
              </w:rPr>
              <w:t>Phase 3</w:t>
            </w:r>
          </w:p>
        </w:tc>
        <w:tc>
          <w:tcPr>
            <w:tcW w:type="dxa" w:w="2268"/>
            <w:shd w:val="clear" w:color="auto" w:fill="EFF6FF"/>
          </w:tcPr>
          <w:p>
            <w:pPr>
              <w:spacing w:before="80" w:after="80"/>
            </w:pPr>
            <w:r>
              <w:rPr>
                <w:color w:val="2D3748"/>
                <w:sz w:val="19"/>
              </w:rPr>
              <w:t>Mid-tier private banks (remittance divisions)</w:t>
            </w:r>
          </w:p>
        </w:tc>
        <w:tc>
          <w:tcPr>
            <w:tcW w:type="dxa" w:w="2268"/>
            <w:shd w:val="clear" w:color="auto" w:fill="EFF6FF"/>
          </w:tcPr>
          <w:p>
            <w:pPr>
              <w:spacing w:before="80" w:after="80"/>
            </w:pPr>
            <w:r>
              <w:rPr>
                <w:color w:val="2D3748"/>
                <w:sz w:val="19"/>
              </w:rPr>
              <w:t>Month 18+</w:t>
            </w:r>
          </w:p>
        </w:tc>
        <w:tc>
          <w:tcPr>
            <w:tcW w:type="dxa" w:w="2268"/>
            <w:shd w:val="clear" w:color="auto" w:fill="EFF6FF"/>
          </w:tcPr>
          <w:p>
            <w:pPr>
              <w:spacing w:before="80" w:after="80"/>
            </w:pPr>
            <w:r>
              <w:rPr>
                <w:color w:val="2D3748"/>
                <w:sz w:val="19"/>
              </w:rPr>
              <w:t>2–3 bank logos, ₹1–2Cr ARR</w:t>
            </w:r>
          </w:p>
        </w:tc>
      </w:tr>
    </w:tbl>
    <w:p/>
    <w:p>
      <w:pPr>
        <w:spacing w:before="160" w:after="60"/>
      </w:pPr>
      <w:r>
        <w:rPr>
          <w:b/>
          <w:color w:val="00C2A8"/>
          <w:sz w:val="21"/>
        </w:rPr>
        <w:t>Geographic Order</w:t>
      </w:r>
    </w:p>
    <w:p>
      <w:pPr>
        <w:pStyle w:val="ListBullet"/>
        <w:spacing w:before="20" w:after="80"/>
      </w:pPr>
      <w:r>
        <w:rPr>
          <w:b/>
          <w:color w:val="0F2140"/>
          <w:sz w:val="20"/>
        </w:rPr>
        <w:t xml:space="preserve">India → UAE first. </w:t>
      </w:r>
      <w:r>
        <w:rPr>
          <w:color w:val="2D3748"/>
          <w:sz w:val="20"/>
        </w:rPr>
        <w:t>Highest volume corridor; FATF scrutiny makes compliance investment urgent.</w:t>
      </w:r>
    </w:p>
    <w:p>
      <w:pPr>
        <w:pStyle w:val="ListBullet"/>
        <w:spacing w:before="20" w:after="80"/>
      </w:pPr>
      <w:r>
        <w:rPr>
          <w:b/>
          <w:color w:val="0F2140"/>
          <w:sz w:val="20"/>
        </w:rPr>
        <w:t xml:space="preserve">India → Singapore next. </w:t>
      </w:r>
      <w:r>
        <w:rPr>
          <w:color w:val="2D3748"/>
          <w:sz w:val="20"/>
        </w:rPr>
        <w:t>MAS-regulated corridor; strong compliance culture.</w:t>
      </w:r>
    </w:p>
    <w:p>
      <w:pPr>
        <w:pStyle w:val="ListBullet"/>
        <w:spacing w:before="20" w:after="80"/>
      </w:pPr>
      <w:r>
        <w:rPr>
          <w:b/>
          <w:color w:val="0F2140"/>
          <w:sz w:val="20"/>
        </w:rPr>
        <w:t xml:space="preserve">India → US/EU later. </w:t>
      </w:r>
      <w:r>
        <w:rPr>
          <w:color w:val="2D3748"/>
          <w:sz w:val="20"/>
        </w:rPr>
        <w:t>OFAC-heavy; enter only once the first two corridors are proven.</w:t>
      </w:r>
    </w:p>
    <w:p>
      <w:pPr>
        <w:spacing w:before="240" w:after="80"/>
      </w:pPr>
      <w:r>
        <w:rPr>
          <w:b/>
          <w:color w:val="0F2140"/>
          <w:sz w:val="24"/>
        </w:rPr>
        <w:t>What We Say — Three Messages for Three Audiences</w:t>
      </w:r>
    </w:p>
    <w:p>
      <w:pPr>
        <w:spacing w:before="20" w:after="100"/>
      </w:pPr>
      <w:r>
        <w:rPr>
          <w:color w:val="2D3748"/>
          <w:sz w:val="20"/>
        </w:rPr>
        <w:t>The same product, explained differently depending on who is in the room:</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0F2140"/>
          </w:tcPr>
          <w:p>
            <w:pPr>
              <w:spacing w:before="100" w:after="100"/>
            </w:pPr>
            <w:r>
              <w:rPr>
                <w:b/>
                <w:color w:val="FFFFFF"/>
                <w:sz w:val="19"/>
              </w:rPr>
              <w:t>Audience</w:t>
            </w:r>
          </w:p>
        </w:tc>
        <w:tc>
          <w:tcPr>
            <w:tcW w:type="dxa" w:w="3024"/>
            <w:shd w:val="clear" w:color="auto" w:fill="0F2140"/>
          </w:tcPr>
          <w:p>
            <w:pPr>
              <w:spacing w:before="100" w:after="100"/>
            </w:pPr>
            <w:r>
              <w:rPr>
                <w:b/>
                <w:color w:val="FFFFFF"/>
                <w:sz w:val="19"/>
              </w:rPr>
              <w:t>Their Worry</w:t>
            </w:r>
          </w:p>
        </w:tc>
        <w:tc>
          <w:tcPr>
            <w:tcW w:type="dxa" w:w="3024"/>
            <w:shd w:val="clear" w:color="auto" w:fill="0F2140"/>
          </w:tcPr>
          <w:p>
            <w:pPr>
              <w:spacing w:before="100" w:after="100"/>
            </w:pPr>
            <w:r>
              <w:rPr>
                <w:b/>
                <w:color w:val="FFFFFF"/>
                <w:sz w:val="19"/>
              </w:rPr>
              <w:t>Our Message</w:t>
            </w:r>
          </w:p>
        </w:tc>
      </w:tr>
      <w:tr>
        <w:tc>
          <w:tcPr>
            <w:tcW w:type="dxa" w:w="3024"/>
            <w:shd w:val="clear" w:color="auto" w:fill="EFF6FF"/>
          </w:tcPr>
          <w:p>
            <w:pPr>
              <w:spacing w:before="80" w:after="80"/>
            </w:pPr>
            <w:r>
              <w:rPr>
                <w:b/>
                <w:color w:val="0F2140"/>
                <w:sz w:val="19"/>
              </w:rPr>
              <w:t>Analyst (Priya)</w:t>
            </w:r>
          </w:p>
        </w:tc>
        <w:tc>
          <w:tcPr>
            <w:tcW w:type="dxa" w:w="3024"/>
            <w:shd w:val="clear" w:color="auto" w:fill="EFF6FF"/>
          </w:tcPr>
          <w:p>
            <w:pPr>
              <w:spacing w:before="80" w:after="80"/>
            </w:pPr>
            <w:r>
              <w:rPr>
                <w:color w:val="2D3748"/>
                <w:sz w:val="19"/>
              </w:rPr>
              <w:t>"I cleared someone I should not have, and I cannot prove it was right"</w:t>
            </w:r>
          </w:p>
        </w:tc>
        <w:tc>
          <w:tcPr>
            <w:tcW w:type="dxa" w:w="3024"/>
            <w:shd w:val="clear" w:color="auto" w:fill="EFF6FF"/>
          </w:tcPr>
          <w:p>
            <w:pPr>
              <w:spacing w:before="80" w:after="80"/>
            </w:pPr>
            <w:r>
              <w:rPr>
                <w:color w:val="2D3748"/>
                <w:sz w:val="19"/>
              </w:rPr>
              <w:t>"See exactly why it matched. Clear the noise confidently. Every decision is saved automatically."</w:t>
            </w:r>
          </w:p>
        </w:tc>
      </w:tr>
      <w:tr>
        <w:tc>
          <w:tcPr>
            <w:tcW w:type="dxa" w:w="3024"/>
            <w:shd w:val="clear" w:color="auto" w:fill="FFFFFF"/>
          </w:tcPr>
          <w:p>
            <w:pPr>
              <w:spacing w:before="80" w:after="80"/>
            </w:pPr>
            <w:r>
              <w:rPr>
                <w:b/>
                <w:color w:val="0F2140"/>
                <w:sz w:val="19"/>
              </w:rPr>
              <w:t>MLRO / Compliance Head</w:t>
            </w:r>
          </w:p>
        </w:tc>
        <w:tc>
          <w:tcPr>
            <w:tcW w:type="dxa" w:w="3024"/>
            <w:shd w:val="clear" w:color="auto" w:fill="FFFFFF"/>
          </w:tcPr>
          <w:p>
            <w:pPr>
              <w:spacing w:before="80" w:after="80"/>
            </w:pPr>
            <w:r>
              <w:rPr>
                <w:color w:val="2D3748"/>
                <w:sz w:val="19"/>
              </w:rPr>
              <w:t>"A regulator will ask for records I saved in email threads"</w:t>
            </w:r>
          </w:p>
        </w:tc>
        <w:tc>
          <w:tcPr>
            <w:tcW w:type="dxa" w:w="3024"/>
            <w:shd w:val="clear" w:color="auto" w:fill="FFFFFF"/>
          </w:tcPr>
          <w:p>
            <w:pPr>
              <w:spacing w:before="80" w:after="80"/>
            </w:pPr>
            <w:r>
              <w:rPr>
                <w:color w:val="2D3748"/>
                <w:sz w:val="19"/>
              </w:rPr>
              <w:t>"Audit-ready in 60 days. Every decision documented from day one."</w:t>
            </w:r>
          </w:p>
        </w:tc>
      </w:tr>
      <w:tr>
        <w:tc>
          <w:tcPr>
            <w:tcW w:type="dxa" w:w="3024"/>
            <w:shd w:val="clear" w:color="auto" w:fill="EFF6FF"/>
          </w:tcPr>
          <w:p>
            <w:pPr>
              <w:spacing w:before="80" w:after="80"/>
            </w:pPr>
            <w:r>
              <w:rPr>
                <w:b/>
                <w:color w:val="0F2140"/>
                <w:sz w:val="19"/>
              </w:rPr>
              <w:t>Investor / Regulator</w:t>
            </w:r>
          </w:p>
        </w:tc>
        <w:tc>
          <w:tcPr>
            <w:tcW w:type="dxa" w:w="3024"/>
            <w:shd w:val="clear" w:color="auto" w:fill="EFF6FF"/>
          </w:tcPr>
          <w:p>
            <w:pPr>
              <w:spacing w:before="80" w:after="80"/>
            </w:pPr>
            <w:r>
              <w:rPr>
                <w:color w:val="2D3748"/>
                <w:sz w:val="19"/>
              </w:rPr>
              <w:t>"AI making compliance decisions sounds risky"</w:t>
            </w:r>
          </w:p>
        </w:tc>
        <w:tc>
          <w:tcPr>
            <w:tcW w:type="dxa" w:w="3024"/>
            <w:shd w:val="clear" w:color="auto" w:fill="EFF6FF"/>
          </w:tcPr>
          <w:p>
            <w:pPr>
              <w:spacing w:before="80" w:after="80"/>
            </w:pPr>
            <w:r>
              <w:rPr>
                <w:color w:val="2D3748"/>
                <w:sz w:val="19"/>
              </w:rPr>
              <w:t>"The AI drafts. The analyst decides. The regulator audits a complete trail."</w:t>
            </w:r>
          </w:p>
        </w:tc>
      </w:tr>
    </w:tbl>
    <w:p/>
    <w:p>
      <w:r>
        <w:br w:type="page"/>
      </w:r>
    </w:p>
    <w:p>
      <w:pPr>
        <w:spacing w:before="240" w:after="80"/>
      </w:pPr>
      <w:r>
        <w:rPr>
          <w:b/>
          <w:color w:val="0F2140"/>
          <w:sz w:val="24"/>
        </w:rPr>
        <w:t>The Brand in Brief</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0F2140"/>
          </w:tcPr>
          <w:p>
            <w:pPr>
              <w:spacing w:before="100" w:after="100"/>
            </w:pPr>
            <w:r>
              <w:rPr>
                <w:b/>
                <w:color w:val="FFFFFF"/>
                <w:sz w:val="19"/>
              </w:rPr>
              <w:t>Brand Element</w:t>
            </w:r>
          </w:p>
        </w:tc>
        <w:tc>
          <w:tcPr>
            <w:tcW w:type="dxa" w:w="3024"/>
            <w:shd w:val="clear" w:color="auto" w:fill="0F2140"/>
          </w:tcPr>
          <w:p>
            <w:pPr>
              <w:spacing w:before="100" w:after="100"/>
            </w:pPr>
            <w:r>
              <w:rPr>
                <w:b/>
                <w:color w:val="FFFFFF"/>
                <w:sz w:val="19"/>
              </w:rPr>
              <w:t>Decision</w:t>
            </w:r>
          </w:p>
        </w:tc>
        <w:tc>
          <w:tcPr>
            <w:tcW w:type="dxa" w:w="3024"/>
            <w:shd w:val="clear" w:color="auto" w:fill="0F2140"/>
          </w:tcPr>
          <w:p>
            <w:pPr>
              <w:spacing w:before="100" w:after="100"/>
            </w:pPr>
            <w:r>
              <w:rPr>
                <w:b/>
                <w:color w:val="FFFFFF"/>
                <w:sz w:val="19"/>
              </w:rPr>
              <w:t>Reason</w:t>
            </w:r>
          </w:p>
        </w:tc>
      </w:tr>
      <w:tr>
        <w:tc>
          <w:tcPr>
            <w:tcW w:type="dxa" w:w="3024"/>
            <w:shd w:val="clear" w:color="auto" w:fill="EFF6FF"/>
          </w:tcPr>
          <w:p>
            <w:pPr>
              <w:spacing w:before="80" w:after="80"/>
            </w:pPr>
            <w:r>
              <w:rPr>
                <w:b/>
                <w:color w:val="0F2140"/>
                <w:sz w:val="19"/>
              </w:rPr>
              <w:t>Platform name</w:t>
            </w:r>
          </w:p>
        </w:tc>
        <w:tc>
          <w:tcPr>
            <w:tcW w:type="dxa" w:w="3024"/>
            <w:shd w:val="clear" w:color="auto" w:fill="EFF6FF"/>
          </w:tcPr>
          <w:p>
            <w:pPr>
              <w:spacing w:before="80" w:after="80"/>
            </w:pPr>
            <w:r>
              <w:rPr>
                <w:color w:val="2D3748"/>
                <w:sz w:val="19"/>
              </w:rPr>
              <w:t>TradePe</w:t>
            </w:r>
          </w:p>
        </w:tc>
        <w:tc>
          <w:tcPr>
            <w:tcW w:type="dxa" w:w="3024"/>
            <w:shd w:val="clear" w:color="auto" w:fill="EFF6FF"/>
          </w:tcPr>
          <w:p>
            <w:pPr>
              <w:spacing w:before="80" w:after="80"/>
            </w:pPr>
            <w:r>
              <w:rPr>
                <w:color w:val="2D3748"/>
                <w:sz w:val="19"/>
              </w:rPr>
              <w:t>Used in legal, investor, and commercial contexts</w:t>
            </w:r>
          </w:p>
        </w:tc>
      </w:tr>
      <w:tr>
        <w:tc>
          <w:tcPr>
            <w:tcW w:type="dxa" w:w="3024"/>
            <w:shd w:val="clear" w:color="auto" w:fill="FFFFFF"/>
          </w:tcPr>
          <w:p>
            <w:pPr>
              <w:spacing w:before="80" w:after="80"/>
            </w:pPr>
            <w:r>
              <w:rPr>
                <w:b/>
                <w:color w:val="0F2140"/>
                <w:sz w:val="19"/>
              </w:rPr>
              <w:t>Product name</w:t>
            </w:r>
          </w:p>
        </w:tc>
        <w:tc>
          <w:tcPr>
            <w:tcW w:type="dxa" w:w="3024"/>
            <w:shd w:val="clear" w:color="auto" w:fill="FFFFFF"/>
          </w:tcPr>
          <w:p>
            <w:pPr>
              <w:spacing w:before="80" w:after="80"/>
            </w:pPr>
            <w:r>
              <w:rPr>
                <w:color w:val="2D3748"/>
                <w:sz w:val="19"/>
              </w:rPr>
              <w:t>ScreenDesk</w:t>
            </w:r>
          </w:p>
        </w:tc>
        <w:tc>
          <w:tcPr>
            <w:tcW w:type="dxa" w:w="3024"/>
            <w:shd w:val="clear" w:color="auto" w:fill="FFFFFF"/>
          </w:tcPr>
          <w:p>
            <w:pPr>
              <w:spacing w:before="80" w:after="80"/>
            </w:pPr>
            <w:r>
              <w:rPr>
                <w:color w:val="2D3748"/>
                <w:sz w:val="19"/>
              </w:rPr>
              <w:t>Used in the product UI and analyst-facing demos — descriptive and memorable</w:t>
            </w:r>
          </w:p>
        </w:tc>
      </w:tr>
      <w:tr>
        <w:tc>
          <w:tcPr>
            <w:tcW w:type="dxa" w:w="3024"/>
            <w:shd w:val="clear" w:color="auto" w:fill="EFF6FF"/>
          </w:tcPr>
          <w:p>
            <w:pPr>
              <w:spacing w:before="80" w:after="80"/>
            </w:pPr>
            <w:r>
              <w:rPr>
                <w:b/>
                <w:color w:val="0F2140"/>
                <w:sz w:val="19"/>
              </w:rPr>
              <w:t>Colours</w:t>
            </w:r>
          </w:p>
        </w:tc>
        <w:tc>
          <w:tcPr>
            <w:tcW w:type="dxa" w:w="3024"/>
            <w:shd w:val="clear" w:color="auto" w:fill="EFF6FF"/>
          </w:tcPr>
          <w:p>
            <w:pPr>
              <w:spacing w:before="80" w:after="80"/>
            </w:pPr>
            <w:r>
              <w:rPr>
                <w:color w:val="2D3748"/>
                <w:sz w:val="19"/>
              </w:rPr>
              <w:t>Navy + Teal</w:t>
            </w:r>
          </w:p>
        </w:tc>
        <w:tc>
          <w:tcPr>
            <w:tcW w:type="dxa" w:w="3024"/>
            <w:shd w:val="clear" w:color="auto" w:fill="EFF6FF"/>
          </w:tcPr>
          <w:p>
            <w:pPr>
              <w:spacing w:before="80" w:after="80"/>
            </w:pPr>
            <w:r>
              <w:rPr>
                <w:color w:val="2D3748"/>
                <w:sz w:val="19"/>
              </w:rPr>
              <w:t>Navy = authority and trust. Teal = AI clarity and modernity.</w:t>
            </w:r>
          </w:p>
        </w:tc>
      </w:tr>
      <w:tr>
        <w:tc>
          <w:tcPr>
            <w:tcW w:type="dxa" w:w="3024"/>
            <w:shd w:val="clear" w:color="auto" w:fill="FFFFFF"/>
          </w:tcPr>
          <w:p>
            <w:pPr>
              <w:spacing w:before="80" w:after="80"/>
            </w:pPr>
            <w:r>
              <w:rPr>
                <w:b/>
                <w:color w:val="0F2140"/>
                <w:sz w:val="19"/>
              </w:rPr>
              <w:t>Tone of voice</w:t>
            </w:r>
          </w:p>
        </w:tc>
        <w:tc>
          <w:tcPr>
            <w:tcW w:type="dxa" w:w="3024"/>
            <w:shd w:val="clear" w:color="auto" w:fill="FFFFFF"/>
          </w:tcPr>
          <w:p>
            <w:pPr>
              <w:spacing w:before="80" w:after="80"/>
            </w:pPr>
            <w:r>
              <w:rPr>
                <w:color w:val="2D3748"/>
                <w:sz w:val="19"/>
              </w:rPr>
              <w:t>Direct and expert, never alarming</w:t>
            </w:r>
          </w:p>
        </w:tc>
        <w:tc>
          <w:tcPr>
            <w:tcW w:type="dxa" w:w="3024"/>
            <w:shd w:val="clear" w:color="auto" w:fill="FFFFFF"/>
          </w:tcPr>
          <w:p>
            <w:pPr>
              <w:spacing w:before="80" w:after="80"/>
            </w:pPr>
            <w:r>
              <w:rPr>
                <w:color w:val="2D3748"/>
                <w:sz w:val="19"/>
              </w:rPr>
              <w:t>Compliance is high-stakes; we are calm, not dramatic</w:t>
            </w:r>
          </w:p>
        </w:tc>
      </w:tr>
      <w:tr>
        <w:tc>
          <w:tcPr>
            <w:tcW w:type="dxa" w:w="3024"/>
            <w:shd w:val="clear" w:color="auto" w:fill="EFF6FF"/>
          </w:tcPr>
          <w:p>
            <w:pPr>
              <w:spacing w:before="80" w:after="80"/>
            </w:pPr>
            <w:r>
              <w:rPr>
                <w:b/>
                <w:color w:val="0F2140"/>
                <w:sz w:val="19"/>
              </w:rPr>
              <w:t>Category claim</w:t>
            </w:r>
          </w:p>
        </w:tc>
        <w:tc>
          <w:tcPr>
            <w:tcW w:type="dxa" w:w="3024"/>
            <w:shd w:val="clear" w:color="auto" w:fill="EFF6FF"/>
          </w:tcPr>
          <w:p>
            <w:pPr>
              <w:spacing w:before="80" w:after="80"/>
            </w:pPr>
            <w:r>
              <w:rPr>
                <w:color w:val="2D3748"/>
                <w:sz w:val="19"/>
              </w:rPr>
              <w:t>Evidence-First Compliance Workbench</w:t>
            </w:r>
          </w:p>
        </w:tc>
        <w:tc>
          <w:tcPr>
            <w:tcW w:type="dxa" w:w="3024"/>
            <w:shd w:val="clear" w:color="auto" w:fill="EFF6FF"/>
          </w:tcPr>
          <w:p>
            <w:pPr>
              <w:spacing w:before="80" w:after="80"/>
            </w:pPr>
            <w:r>
              <w:rPr>
                <w:color w:val="2D3748"/>
                <w:sz w:val="19"/>
              </w:rPr>
              <w:t>Names what we are — not who we beat</w:t>
            </w:r>
          </w:p>
        </w:tc>
      </w:tr>
      <w:tr>
        <w:tc>
          <w:tcPr>
            <w:tcW w:type="dxa" w:w="3024"/>
            <w:shd w:val="clear" w:color="auto" w:fill="FFFFFF"/>
          </w:tcPr>
          <w:p>
            <w:pPr>
              <w:spacing w:before="80" w:after="80"/>
            </w:pPr>
            <w:r>
              <w:rPr>
                <w:b/>
                <w:color w:val="0F2140"/>
                <w:sz w:val="19"/>
              </w:rPr>
              <w:t>Core tagline</w:t>
            </w:r>
          </w:p>
        </w:tc>
        <w:tc>
          <w:tcPr>
            <w:tcW w:type="dxa" w:w="3024"/>
            <w:shd w:val="clear" w:color="auto" w:fill="FFFFFF"/>
          </w:tcPr>
          <w:p>
            <w:pPr>
              <w:spacing w:before="80" w:after="80"/>
            </w:pPr>
            <w:r>
              <w:rPr>
                <w:color w:val="2D3748"/>
                <w:sz w:val="19"/>
              </w:rPr>
              <w:t>"The AI drafts. The analyst decides."</w:t>
            </w:r>
          </w:p>
        </w:tc>
        <w:tc>
          <w:tcPr>
            <w:tcW w:type="dxa" w:w="3024"/>
            <w:shd w:val="clear" w:color="auto" w:fill="FFFFFF"/>
          </w:tcPr>
          <w:p>
            <w:pPr>
              <w:spacing w:before="80" w:after="80"/>
            </w:pPr>
            <w:r>
              <w:rPr>
                <w:color w:val="2D3748"/>
                <w:sz w:val="19"/>
              </w:rPr>
              <w:t>Answers the #1 fear (AI making autonomous decisions) in 6 words</w:t>
            </w:r>
          </w:p>
        </w:tc>
      </w:tr>
    </w:tbl>
    <w:p/>
    <w:p>
      <w:r>
        <w:br w:type="page"/>
      </w:r>
    </w:p>
    <w:tbl>
      <w:tblPr>
        <w:tblW w:type="auto" w:w="0"/>
        <w:jc w:val="center"/>
        <w:tblLook w:firstColumn="1" w:firstRow="1" w:lastColumn="0" w:lastRow="0" w:noHBand="0" w:noVBand="1" w:val="04A0"/>
      </w:tblPr>
      <w:tblGrid>
        <w:gridCol w:w="9072"/>
      </w:tblGrid>
      <w:tr>
        <w:tc>
          <w:tcPr>
            <w:tcW w:type="dxa" w:w="9072"/>
            <w:shd w:val="clear" w:color="auto" w:fill="003D78"/>
          </w:tcPr>
          <w:p>
            <w:pPr>
              <w:spacing w:before="200" w:after="200"/>
              <w:jc w:val="left"/>
            </w:pPr>
            <w:r>
              <w:rPr>
                <w:b/>
                <w:color w:val="00C2A8"/>
                <w:sz w:val="18"/>
              </w:rPr>
              <w:t xml:space="preserve">Section 2  </w:t>
            </w:r>
            <w:r>
              <w:rPr>
                <w:b/>
                <w:color w:val="FFFFFF"/>
                <w:sz w:val="30"/>
              </w:rPr>
              <w:t>Pricing, Packaging &amp; Metrics</w:t>
            </w:r>
          </w:p>
          <w:p>
            <w:pPr>
              <w:spacing w:before="40" w:after="160"/>
              <w:ind w:left="72"/>
            </w:pPr>
            <w:r>
              <w:rPr>
                <w:color w:val="CCEEE8"/>
                <w:sz w:val="20"/>
              </w:rPr>
              <w:t>What we charge, how we grow accounts, and how we measure success.</w:t>
            </w:r>
          </w:p>
        </w:tc>
      </w:tr>
    </w:tbl>
    <w:p/>
    <w:p>
      <w:pPr>
        <w:spacing w:before="240" w:after="80"/>
      </w:pPr>
      <w:r>
        <w:rPr>
          <w:b/>
          <w:color w:val="0F2140"/>
          <w:sz w:val="24"/>
        </w:rPr>
        <w:t>How We Price — and Why</w:t>
      </w:r>
    </w:p>
    <w:p>
      <w:pPr>
        <w:spacing w:before="20" w:after="100"/>
      </w:pPr>
      <w:r>
        <w:rPr>
          <w:color w:val="2D3748"/>
          <w:sz w:val="20"/>
        </w:rPr>
        <w:t>We charge per analyst seat, per month. This is intentional: the more analysts a customer has, the more they benefit from ScreenDesk, and the more they pay. As the compliance team grows, revenue grows automatically.</w:t>
      </w:r>
    </w:p>
    <w:p>
      <w:pPr>
        <w:spacing w:before="20" w:after="100"/>
      </w:pPr>
      <w:r>
        <w:rPr>
          <w:color w:val="2D3748"/>
          <w:sz w:val="20"/>
        </w:rPr>
        <w:t>We price below the daily cost of hiring one additional compliance analyst. That makes the ROI conversation simple: "ScreenDesk costs less per month than two days of a new hire's salary, and it lets your existing team handle twice the volume."</w:t>
      </w:r>
    </w:p>
    <w:p>
      <w:pPr>
        <w:spacing w:before="240" w:after="80"/>
      </w:pPr>
      <w:r>
        <w:rPr>
          <w:b/>
          <w:color w:val="0F2140"/>
          <w:sz w:val="24"/>
        </w:rPr>
        <w:t>The Three Plans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0F2140"/>
          </w:tcPr>
          <w:p>
            <w:pPr>
              <w:spacing w:before="100" w:after="100"/>
            </w:pPr>
            <w:r>
              <w:rPr>
                <w:b/>
                <w:color w:val="FFFFFF"/>
                <w:sz w:val="19"/>
              </w:rPr>
            </w:r>
          </w:p>
        </w:tc>
        <w:tc>
          <w:tcPr>
            <w:tcW w:type="dxa" w:w="2268"/>
            <w:shd w:val="clear" w:color="auto" w:fill="0F2140"/>
          </w:tcPr>
          <w:p>
            <w:pPr>
              <w:spacing w:before="100" w:after="100"/>
            </w:pPr>
            <w:r>
              <w:rPr>
                <w:b/>
                <w:color w:val="FFFFFF"/>
                <w:sz w:val="19"/>
              </w:rPr>
              <w:t>Starter</w:t>
            </w:r>
          </w:p>
        </w:tc>
        <w:tc>
          <w:tcPr>
            <w:tcW w:type="dxa" w:w="2268"/>
            <w:shd w:val="clear" w:color="auto" w:fill="0F2140"/>
          </w:tcPr>
          <w:p>
            <w:pPr>
              <w:spacing w:before="100" w:after="100"/>
            </w:pPr>
            <w:r>
              <w:rPr>
                <w:b/>
                <w:color w:val="FFFFFF"/>
                <w:sz w:val="19"/>
              </w:rPr>
              <w:t>Professional</w:t>
            </w:r>
          </w:p>
        </w:tc>
        <w:tc>
          <w:tcPr>
            <w:tcW w:type="dxa" w:w="2268"/>
            <w:shd w:val="clear" w:color="auto" w:fill="0F2140"/>
          </w:tcPr>
          <w:p>
            <w:pPr>
              <w:spacing w:before="100" w:after="100"/>
            </w:pPr>
            <w:r>
              <w:rPr>
                <w:b/>
                <w:color w:val="FFFFFF"/>
                <w:sz w:val="19"/>
              </w:rPr>
              <w:t>Enterprise</w:t>
            </w:r>
          </w:p>
        </w:tc>
      </w:tr>
      <w:tr>
        <w:tc>
          <w:tcPr>
            <w:tcW w:type="dxa" w:w="2268"/>
            <w:shd w:val="clear" w:color="auto" w:fill="EFF6FF"/>
          </w:tcPr>
          <w:p>
            <w:pPr>
              <w:spacing w:before="80" w:after="80"/>
            </w:pPr>
            <w:r>
              <w:rPr>
                <w:b/>
                <w:color w:val="0F2140"/>
                <w:sz w:val="19"/>
              </w:rPr>
              <w:t>Best for</w:t>
            </w:r>
          </w:p>
        </w:tc>
        <w:tc>
          <w:tcPr>
            <w:tcW w:type="dxa" w:w="2268"/>
            <w:shd w:val="clear" w:color="auto" w:fill="EFF6FF"/>
          </w:tcPr>
          <w:p>
            <w:pPr>
              <w:spacing w:before="80" w:after="80"/>
            </w:pPr>
            <w:r>
              <w:rPr>
                <w:color w:val="2D3748"/>
                <w:sz w:val="19"/>
              </w:rPr>
              <w:t>1–2 analyst fintech team</w:t>
            </w:r>
          </w:p>
        </w:tc>
        <w:tc>
          <w:tcPr>
            <w:tcW w:type="dxa" w:w="2268"/>
            <w:shd w:val="clear" w:color="auto" w:fill="EFF6FF"/>
          </w:tcPr>
          <w:p>
            <w:pPr>
              <w:spacing w:before="80" w:after="80"/>
            </w:pPr>
            <w:r>
              <w:rPr>
                <w:color w:val="2D3748"/>
                <w:sz w:val="19"/>
              </w:rPr>
              <w:t>3–10 analyst compliance team</w:t>
            </w:r>
          </w:p>
        </w:tc>
        <w:tc>
          <w:tcPr>
            <w:tcW w:type="dxa" w:w="2268"/>
            <w:shd w:val="clear" w:color="auto" w:fill="EFF6FF"/>
          </w:tcPr>
          <w:p>
            <w:pPr>
              <w:spacing w:before="80" w:after="80"/>
            </w:pPr>
            <w:r>
              <w:rPr>
                <w:color w:val="2D3748"/>
                <w:sz w:val="19"/>
              </w:rPr>
              <w:t>Large NBFC or mid-tier bank, 10+ analysts</w:t>
            </w:r>
          </w:p>
        </w:tc>
      </w:tr>
      <w:tr>
        <w:tc>
          <w:tcPr>
            <w:tcW w:type="dxa" w:w="2268"/>
            <w:shd w:val="clear" w:color="auto" w:fill="FFFFFF"/>
          </w:tcPr>
          <w:p>
            <w:pPr>
              <w:spacing w:before="80" w:after="80"/>
            </w:pPr>
            <w:r>
              <w:rPr>
                <w:b/>
                <w:color w:val="0F2140"/>
                <w:sz w:val="19"/>
              </w:rPr>
              <w:t>Price</w:t>
            </w:r>
          </w:p>
        </w:tc>
        <w:tc>
          <w:tcPr>
            <w:tcW w:type="dxa" w:w="2268"/>
            <w:shd w:val="clear" w:color="auto" w:fill="FFFFFF"/>
          </w:tcPr>
          <w:p>
            <w:pPr>
              <w:spacing w:before="80" w:after="80"/>
            </w:pPr>
            <w:r>
              <w:rPr>
                <w:color w:val="2D3748"/>
                <w:sz w:val="19"/>
              </w:rPr>
              <w:t>₹12,000 / analyst / month</w:t>
            </w:r>
          </w:p>
        </w:tc>
        <w:tc>
          <w:tcPr>
            <w:tcW w:type="dxa" w:w="2268"/>
            <w:shd w:val="clear" w:color="auto" w:fill="FFFFFF"/>
          </w:tcPr>
          <w:p>
            <w:pPr>
              <w:spacing w:before="80" w:after="80"/>
            </w:pPr>
            <w:r>
              <w:rPr>
                <w:color w:val="2D3748"/>
                <w:sz w:val="19"/>
              </w:rPr>
              <w:t>₹14,000 / analyst / month</w:t>
            </w:r>
          </w:p>
        </w:tc>
        <w:tc>
          <w:tcPr>
            <w:tcW w:type="dxa" w:w="2268"/>
            <w:shd w:val="clear" w:color="auto" w:fill="FFFFFF"/>
          </w:tcPr>
          <w:p>
            <w:pPr>
              <w:spacing w:before="80" w:after="80"/>
            </w:pPr>
            <w:r>
              <w:rPr>
                <w:color w:val="2D3748"/>
                <w:sz w:val="19"/>
              </w:rPr>
              <w:t>Custom (approx. ₹15,000+)</w:t>
            </w:r>
          </w:p>
        </w:tc>
      </w:tr>
      <w:tr>
        <w:tc>
          <w:tcPr>
            <w:tcW w:type="dxa" w:w="2268"/>
            <w:shd w:val="clear" w:color="auto" w:fill="EFF6FF"/>
          </w:tcPr>
          <w:p>
            <w:pPr>
              <w:spacing w:before="80" w:after="80"/>
            </w:pPr>
            <w:r>
              <w:rPr>
                <w:b/>
                <w:color w:val="0F2140"/>
                <w:sz w:val="19"/>
              </w:rPr>
              <w:t>Contract</w:t>
            </w:r>
          </w:p>
        </w:tc>
        <w:tc>
          <w:tcPr>
            <w:tcW w:type="dxa" w:w="2268"/>
            <w:shd w:val="clear" w:color="auto" w:fill="EFF6FF"/>
          </w:tcPr>
          <w:p>
            <w:pPr>
              <w:spacing w:before="80" w:after="80"/>
            </w:pPr>
            <w:r>
              <w:rPr>
                <w:color w:val="2D3748"/>
                <w:sz w:val="19"/>
              </w:rPr>
              <w:t>Month-to-month</w:t>
            </w:r>
          </w:p>
        </w:tc>
        <w:tc>
          <w:tcPr>
            <w:tcW w:type="dxa" w:w="2268"/>
            <w:shd w:val="clear" w:color="auto" w:fill="EFF6FF"/>
          </w:tcPr>
          <w:p>
            <w:pPr>
              <w:spacing w:before="80" w:after="80"/>
            </w:pPr>
            <w:r>
              <w:rPr>
                <w:color w:val="2D3748"/>
                <w:sz w:val="19"/>
              </w:rPr>
              <w:t>12-month commitment</w:t>
            </w:r>
          </w:p>
        </w:tc>
        <w:tc>
          <w:tcPr>
            <w:tcW w:type="dxa" w:w="2268"/>
            <w:shd w:val="clear" w:color="auto" w:fill="EFF6FF"/>
          </w:tcPr>
          <w:p>
            <w:pPr>
              <w:spacing w:before="80" w:after="80"/>
            </w:pPr>
            <w:r>
              <w:rPr>
                <w:color w:val="2D3748"/>
                <w:sz w:val="19"/>
              </w:rPr>
              <w:t>24-month commitment</w:t>
            </w:r>
          </w:p>
        </w:tc>
      </w:tr>
      <w:tr>
        <w:tc>
          <w:tcPr>
            <w:tcW w:type="dxa" w:w="2268"/>
            <w:shd w:val="clear" w:color="auto" w:fill="FFFFFF"/>
          </w:tcPr>
          <w:p>
            <w:pPr>
              <w:spacing w:before="80" w:after="80"/>
            </w:pPr>
            <w:r>
              <w:rPr>
                <w:b/>
                <w:color w:val="0F2140"/>
                <w:sz w:val="19"/>
              </w:rPr>
              <w:t>Checks included</w:t>
            </w:r>
          </w:p>
        </w:tc>
        <w:tc>
          <w:tcPr>
            <w:tcW w:type="dxa" w:w="2268"/>
            <w:shd w:val="clear" w:color="auto" w:fill="FFFFFF"/>
          </w:tcPr>
          <w:p>
            <w:pPr>
              <w:spacing w:before="80" w:after="80"/>
            </w:pPr>
            <w:r>
              <w:rPr>
                <w:color w:val="2D3748"/>
                <w:sz w:val="19"/>
              </w:rPr>
              <w:t>Sanctions + Customer Risk</w:t>
              <w:br/>
              <w:t>(the two mandatory checks)</w:t>
            </w:r>
          </w:p>
        </w:tc>
        <w:tc>
          <w:tcPr>
            <w:tcW w:type="dxa" w:w="2268"/>
            <w:shd w:val="clear" w:color="auto" w:fill="FFFFFF"/>
          </w:tcPr>
          <w:p>
            <w:pPr>
              <w:spacing w:before="80" w:after="80"/>
            </w:pPr>
            <w:r>
              <w:rPr>
                <w:color w:val="2D3748"/>
                <w:sz w:val="19"/>
              </w:rPr>
              <w:t>All 4 checks including</w:t>
              <w:br/>
              <w:t>Trade Documents + Transaction Monitoring</w:t>
            </w:r>
          </w:p>
        </w:tc>
        <w:tc>
          <w:tcPr>
            <w:tcW w:type="dxa" w:w="2268"/>
            <w:shd w:val="clear" w:color="auto" w:fill="FFFFFF"/>
          </w:tcPr>
          <w:p>
            <w:pPr>
              <w:spacing w:before="80" w:after="80"/>
            </w:pPr>
            <w:r>
              <w:rPr>
                <w:color w:val="2D3748"/>
                <w:sz w:val="19"/>
              </w:rPr>
              <w:t>All 4 checks + Regulatory</w:t>
              <w:br/>
              <w:t>Intelligence updates</w:t>
            </w:r>
          </w:p>
        </w:tc>
      </w:tr>
      <w:tr>
        <w:tc>
          <w:tcPr>
            <w:tcW w:type="dxa" w:w="2268"/>
            <w:shd w:val="clear" w:color="auto" w:fill="EFF6FF"/>
          </w:tcPr>
          <w:p>
            <w:pPr>
              <w:spacing w:before="80" w:after="80"/>
            </w:pPr>
            <w:r>
              <w:rPr>
                <w:b/>
                <w:color w:val="0F2140"/>
                <w:sz w:val="19"/>
              </w:rPr>
              <w:t>Where it runs</w:t>
            </w:r>
          </w:p>
        </w:tc>
        <w:tc>
          <w:tcPr>
            <w:tcW w:type="dxa" w:w="2268"/>
            <w:shd w:val="clear" w:color="auto" w:fill="EFF6FF"/>
          </w:tcPr>
          <w:p>
            <w:pPr>
              <w:spacing w:before="80" w:after="80"/>
            </w:pPr>
            <w:r>
              <w:rPr>
                <w:color w:val="2D3748"/>
                <w:sz w:val="19"/>
              </w:rPr>
              <w:t>Cloud (India region)</w:t>
            </w:r>
          </w:p>
        </w:tc>
        <w:tc>
          <w:tcPr>
            <w:tcW w:type="dxa" w:w="2268"/>
            <w:shd w:val="clear" w:color="auto" w:fill="EFF6FF"/>
          </w:tcPr>
          <w:p>
            <w:pPr>
              <w:spacing w:before="80" w:after="80"/>
            </w:pPr>
            <w:r>
              <w:rPr>
                <w:color w:val="2D3748"/>
                <w:sz w:val="19"/>
              </w:rPr>
              <w:t>Cloud or on your own servers</w:t>
            </w:r>
          </w:p>
        </w:tc>
        <w:tc>
          <w:tcPr>
            <w:tcW w:type="dxa" w:w="2268"/>
            <w:shd w:val="clear" w:color="auto" w:fill="EFF6FF"/>
          </w:tcPr>
          <w:p>
            <w:pPr>
              <w:spacing w:before="80" w:after="80"/>
            </w:pPr>
            <w:r>
              <w:rPr>
                <w:color w:val="2D3748"/>
                <w:sz w:val="19"/>
              </w:rPr>
              <w:t>Your servers or a dedicated</w:t>
              <w:br/>
              <w:t>cloud setup</w:t>
            </w:r>
          </w:p>
        </w:tc>
      </w:tr>
      <w:tr>
        <w:tc>
          <w:tcPr>
            <w:tcW w:type="dxa" w:w="2268"/>
            <w:shd w:val="clear" w:color="auto" w:fill="FFFFFF"/>
          </w:tcPr>
          <w:p>
            <w:pPr>
              <w:spacing w:before="80" w:after="80"/>
            </w:pPr>
            <w:r>
              <w:rPr>
                <w:b/>
                <w:color w:val="0F2140"/>
                <w:sz w:val="19"/>
              </w:rPr>
              <w:t>Support</w:t>
            </w:r>
          </w:p>
        </w:tc>
        <w:tc>
          <w:tcPr>
            <w:tcW w:type="dxa" w:w="2268"/>
            <w:shd w:val="clear" w:color="auto" w:fill="FFFFFF"/>
          </w:tcPr>
          <w:p>
            <w:pPr>
              <w:spacing w:before="80" w:after="80"/>
            </w:pPr>
            <w:r>
              <w:rPr>
                <w:color w:val="2D3748"/>
                <w:sz w:val="19"/>
              </w:rPr>
              <w:t>Email + help docs</w:t>
            </w:r>
          </w:p>
        </w:tc>
        <w:tc>
          <w:tcPr>
            <w:tcW w:type="dxa" w:w="2268"/>
            <w:shd w:val="clear" w:color="auto" w:fill="FFFFFF"/>
          </w:tcPr>
          <w:p>
            <w:pPr>
              <w:spacing w:before="80" w:after="80"/>
            </w:pPr>
            <w:r>
              <w:rPr>
                <w:color w:val="2D3748"/>
                <w:sz w:val="19"/>
              </w:rPr>
              <w:t>Dedicated account manager</w:t>
              <w:br/>
              <w:t>+ quarterly review</w:t>
            </w:r>
          </w:p>
        </w:tc>
        <w:tc>
          <w:tcPr>
            <w:tcW w:type="dxa" w:w="2268"/>
            <w:shd w:val="clear" w:color="auto" w:fill="FFFFFF"/>
          </w:tcPr>
          <w:p>
            <w:pPr>
              <w:spacing w:before="80" w:after="80"/>
            </w:pPr>
            <w:r>
              <w:rPr>
                <w:color w:val="2D3748"/>
                <w:sz w:val="19"/>
              </w:rPr>
              <w:t>Named account manager</w:t>
              <w:br/>
              <w:t>+ compliance advisor access</w:t>
            </w:r>
          </w:p>
        </w:tc>
      </w:tr>
    </w:tbl>
    <w:p/>
    <w:p>
      <w:pPr>
        <w:spacing w:before="20" w:after="100"/>
      </w:pPr>
      <w:r>
        <w:rPr>
          <w:color w:val="2D3748"/>
          <w:sz w:val="20"/>
        </w:rPr>
        <w:t>Add-on services available on any plan: Compliance Methodology Review (₹2L one-time), API Integration Support (₹1.5L one-time), MLRO Training Workshop (₹50K per session).</w:t>
      </w:r>
    </w:p>
    <w:p>
      <w:pPr>
        <w:spacing w:before="240" w:after="80"/>
      </w:pPr>
      <w:r>
        <w:rPr>
          <w:b/>
          <w:color w:val="0F2140"/>
          <w:sz w:val="24"/>
        </w:rPr>
        <w:t>How We Grow Within Each Customer</w:t>
      </w:r>
    </w:p>
    <w:p>
      <w:pPr>
        <w:spacing w:before="20" w:after="100"/>
      </w:pPr>
      <w:r>
        <w:rPr>
          <w:color w:val="2D3748"/>
          <w:sz w:val="20"/>
        </w:rPr>
        <w:t>We start small and expand. A new customer typically begins with just the two mandatory checks (Sanctions + Customer Risk) on the Starter plan. As they grow, they add more checks and more seats.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0F2140"/>
          </w:tcPr>
          <w:p>
            <w:pPr>
              <w:spacing w:before="100" w:after="100"/>
            </w:pPr>
            <w:r>
              <w:rPr>
                <w:b/>
                <w:color w:val="FFFFFF"/>
                <w:sz w:val="19"/>
              </w:rPr>
              <w:t>Growth Stage</w:t>
            </w:r>
          </w:p>
        </w:tc>
        <w:tc>
          <w:tcPr>
            <w:tcW w:type="dxa" w:w="3024"/>
            <w:shd w:val="clear" w:color="auto" w:fill="0F2140"/>
          </w:tcPr>
          <w:p>
            <w:pPr>
              <w:spacing w:before="100" w:after="100"/>
            </w:pPr>
            <w:r>
              <w:rPr>
                <w:b/>
                <w:color w:val="FFFFFF"/>
                <w:sz w:val="19"/>
              </w:rPr>
              <w:t>What Triggers It</w:t>
            </w:r>
          </w:p>
        </w:tc>
        <w:tc>
          <w:tcPr>
            <w:tcW w:type="dxa" w:w="3024"/>
            <w:shd w:val="clear" w:color="auto" w:fill="0F2140"/>
          </w:tcPr>
          <w:p>
            <w:pPr>
              <w:spacing w:before="100" w:after="100"/>
            </w:pPr>
            <w:r>
              <w:rPr>
                <w:b/>
                <w:color w:val="FFFFFF"/>
                <w:sz w:val="19"/>
              </w:rPr>
              <w:t>Revenue Impact</w:t>
            </w:r>
          </w:p>
        </w:tc>
      </w:tr>
      <w:tr>
        <w:tc>
          <w:tcPr>
            <w:tcW w:type="dxa" w:w="3024"/>
            <w:shd w:val="clear" w:color="auto" w:fill="EFF6FF"/>
          </w:tcPr>
          <w:p>
            <w:pPr>
              <w:spacing w:before="80" w:after="80"/>
            </w:pPr>
            <w:r>
              <w:rPr>
                <w:b/>
                <w:color w:val="0F2140"/>
                <w:sz w:val="19"/>
              </w:rPr>
              <w:t>Land on Starter</w:t>
            </w:r>
          </w:p>
        </w:tc>
        <w:tc>
          <w:tcPr>
            <w:tcW w:type="dxa" w:w="3024"/>
            <w:shd w:val="clear" w:color="auto" w:fill="EFF6FF"/>
          </w:tcPr>
          <w:p>
            <w:pPr>
              <w:spacing w:before="80" w:after="80"/>
            </w:pPr>
            <w:r>
              <w:rPr>
                <w:color w:val="2D3748"/>
                <w:sz w:val="19"/>
              </w:rPr>
              <w:t>Customer wants fast, documented sanctions screening</w:t>
            </w:r>
          </w:p>
        </w:tc>
        <w:tc>
          <w:tcPr>
            <w:tcW w:type="dxa" w:w="3024"/>
            <w:shd w:val="clear" w:color="auto" w:fill="EFF6FF"/>
          </w:tcPr>
          <w:p>
            <w:pPr>
              <w:spacing w:before="80" w:after="80"/>
            </w:pPr>
            <w:r>
              <w:rPr>
                <w:color w:val="2D3748"/>
                <w:sz w:val="19"/>
              </w:rPr>
              <w:t>e.g., 2 seats × ₹12K = ₹24K/month</w:t>
            </w:r>
          </w:p>
        </w:tc>
      </w:tr>
      <w:tr>
        <w:tc>
          <w:tcPr>
            <w:tcW w:type="dxa" w:w="3024"/>
            <w:shd w:val="clear" w:color="auto" w:fill="FFFFFF"/>
          </w:tcPr>
          <w:p>
            <w:pPr>
              <w:spacing w:before="80" w:after="80"/>
            </w:pPr>
            <w:r>
              <w:rPr>
                <w:b/>
                <w:color w:val="0F2140"/>
                <w:sz w:val="19"/>
              </w:rPr>
              <w:t>Add seats</w:t>
            </w:r>
          </w:p>
        </w:tc>
        <w:tc>
          <w:tcPr>
            <w:tcW w:type="dxa" w:w="3024"/>
            <w:shd w:val="clear" w:color="auto" w:fill="FFFFFF"/>
          </w:tcPr>
          <w:p>
            <w:pPr>
              <w:spacing w:before="80" w:after="80"/>
            </w:pPr>
            <w:r>
              <w:rPr>
                <w:color w:val="2D3748"/>
                <w:sz w:val="19"/>
              </w:rPr>
              <w:t>Compliance team hires a second or third analyst</w:t>
            </w:r>
          </w:p>
        </w:tc>
        <w:tc>
          <w:tcPr>
            <w:tcW w:type="dxa" w:w="3024"/>
            <w:shd w:val="clear" w:color="auto" w:fill="FFFFFF"/>
          </w:tcPr>
          <w:p>
            <w:pPr>
              <w:spacing w:before="80" w:after="80"/>
            </w:pPr>
            <w:r>
              <w:rPr>
                <w:color w:val="2D3748"/>
                <w:sz w:val="19"/>
              </w:rPr>
              <w:t>Natural seat expansion — no sales effort needed</w:t>
            </w:r>
          </w:p>
        </w:tc>
      </w:tr>
      <w:tr>
        <w:tc>
          <w:tcPr>
            <w:tcW w:type="dxa" w:w="3024"/>
            <w:shd w:val="clear" w:color="auto" w:fill="EFF6FF"/>
          </w:tcPr>
          <w:p>
            <w:pPr>
              <w:spacing w:before="80" w:after="80"/>
            </w:pPr>
            <w:r>
              <w:rPr>
                <w:b/>
                <w:color w:val="0F2140"/>
                <w:sz w:val="19"/>
              </w:rPr>
              <w:t>Upgrade to Pro</w:t>
            </w:r>
          </w:p>
        </w:tc>
        <w:tc>
          <w:tcPr>
            <w:tcW w:type="dxa" w:w="3024"/>
            <w:shd w:val="clear" w:color="auto" w:fill="EFF6FF"/>
          </w:tcPr>
          <w:p>
            <w:pPr>
              <w:spacing w:before="80" w:after="80"/>
            </w:pPr>
            <w:r>
              <w:rPr>
                <w:color w:val="2D3748"/>
                <w:sz w:val="19"/>
              </w:rPr>
              <w:t>Customer starts handling trade finance documents or wants Transaction Monitoring</w:t>
            </w:r>
          </w:p>
        </w:tc>
        <w:tc>
          <w:tcPr>
            <w:tcW w:type="dxa" w:w="3024"/>
            <w:shd w:val="clear" w:color="auto" w:fill="EFF6FF"/>
          </w:tcPr>
          <w:p>
            <w:pPr>
              <w:spacing w:before="80" w:after="80"/>
            </w:pPr>
            <w:r>
              <w:rPr>
                <w:color w:val="2D3748"/>
                <w:sz w:val="19"/>
              </w:rPr>
              <w:t>Upgrade to ₹14K/seat — 17% increase per seat</w:t>
            </w:r>
          </w:p>
        </w:tc>
      </w:tr>
      <w:tr>
        <w:tc>
          <w:tcPr>
            <w:tcW w:type="dxa" w:w="3024"/>
            <w:shd w:val="clear" w:color="auto" w:fill="FFFFFF"/>
          </w:tcPr>
          <w:p>
            <w:pPr>
              <w:spacing w:before="80" w:after="80"/>
            </w:pPr>
            <w:r>
              <w:rPr>
                <w:b/>
                <w:color w:val="0F2140"/>
                <w:sz w:val="19"/>
              </w:rPr>
              <w:t>Upgrade to Enterprise</w:t>
            </w:r>
          </w:p>
        </w:tc>
        <w:tc>
          <w:tcPr>
            <w:tcW w:type="dxa" w:w="3024"/>
            <w:shd w:val="clear" w:color="auto" w:fill="FFFFFF"/>
          </w:tcPr>
          <w:p>
            <w:pPr>
              <w:spacing w:before="80" w:after="80"/>
            </w:pPr>
            <w:r>
              <w:rPr>
                <w:color w:val="2D3748"/>
                <w:sz w:val="19"/>
              </w:rPr>
              <w:t>Customer is a bank or NBFC requiring their own servers and SSO</w:t>
            </w:r>
          </w:p>
        </w:tc>
        <w:tc>
          <w:tcPr>
            <w:tcW w:type="dxa" w:w="3024"/>
            <w:shd w:val="clear" w:color="auto" w:fill="FFFFFF"/>
          </w:tcPr>
          <w:p>
            <w:pPr>
              <w:spacing w:before="80" w:after="80"/>
            </w:pPr>
            <w:r>
              <w:rPr>
                <w:color w:val="2D3748"/>
                <w:sz w:val="19"/>
              </w:rPr>
              <w:t>Custom pricing; ₹15K+ per seat + services</w:t>
            </w:r>
          </w:p>
        </w:tc>
      </w:tr>
    </w:tbl>
    <w:p/>
    <w:p>
      <w:pPr>
        <w:spacing w:before="240" w:after="80"/>
      </w:pPr>
      <w:r>
        <w:rPr>
          <w:b/>
          <w:color w:val="0F2140"/>
          <w:sz w:val="24"/>
        </w:rPr>
        <w:t>How We Win First Customers — The Pilot Structure</w:t>
      </w:r>
    </w:p>
    <w:p>
      <w:pPr>
        <w:pStyle w:val="ListBullet"/>
        <w:spacing w:before="20" w:after="80"/>
      </w:pPr>
      <w:r>
        <w:rPr>
          <w:b/>
          <w:color w:val="0F2140"/>
          <w:sz w:val="20"/>
        </w:rPr>
        <w:t xml:space="preserve">60–90 days free </w:t>
      </w:r>
      <w:r>
        <w:rPr>
          <w:color w:val="2D3748"/>
          <w:sz w:val="20"/>
        </w:rPr>
        <w:t>for the first design-partner customers — no charge during the trial.</w:t>
      </w:r>
    </w:p>
    <w:p>
      <w:pPr>
        <w:pStyle w:val="ListBullet"/>
        <w:spacing w:before="20" w:after="80"/>
      </w:pPr>
      <w:r>
        <w:rPr>
          <w:b/>
          <w:color w:val="0F2140"/>
          <w:sz w:val="20"/>
        </w:rPr>
        <w:t xml:space="preserve">Before the pilot starts: </w:t>
      </w:r>
      <w:r>
        <w:rPr>
          <w:color w:val="2D3748"/>
          <w:sz w:val="20"/>
        </w:rPr>
        <w:t>we agree on what "success" looks like — specifically, how fast alerts are cleared today and what the target is.</w:t>
      </w:r>
    </w:p>
    <w:p>
      <w:pPr>
        <w:pStyle w:val="ListBullet"/>
        <w:spacing w:before="20" w:after="80"/>
      </w:pPr>
      <w:r>
        <w:rPr>
          <w:b/>
          <w:color w:val="0F2140"/>
          <w:sz w:val="20"/>
        </w:rPr>
        <w:t xml:space="preserve">Week 4 check-in: </w:t>
      </w:r>
      <w:r>
        <w:rPr>
          <w:color w:val="2D3748"/>
          <w:sz w:val="20"/>
        </w:rPr>
        <w:t>we review the numbers together. If the product is not delivering, we fix it. If it is, we start the conversion conversation.</w:t>
      </w:r>
    </w:p>
    <w:p>
      <w:pPr>
        <w:pStyle w:val="ListBullet"/>
        <w:spacing w:before="20" w:after="80"/>
      </w:pPr>
      <w:r>
        <w:rPr>
          <w:b/>
          <w:color w:val="0F2140"/>
          <w:sz w:val="20"/>
        </w:rPr>
        <w:t xml:space="preserve">Target: </w:t>
      </w:r>
      <w:r>
        <w:rPr>
          <w:color w:val="2D3748"/>
          <w:sz w:val="20"/>
        </w:rPr>
        <w:t>2 out of every 3 pilot customers become paying customers.</w:t>
      </w:r>
    </w:p>
    <w:p>
      <w:r>
        <w:br w:type="page"/>
      </w:r>
    </w:p>
    <w:p>
      <w:pPr>
        <w:spacing w:before="240" w:after="80"/>
      </w:pPr>
      <w:r>
        <w:rPr>
          <w:b/>
          <w:color w:val="0F2140"/>
          <w:sz w:val="24"/>
        </w:rPr>
        <w:t>Our Most Important Number</w:t>
      </w:r>
    </w:p>
    <w:tbl>
      <w:tblPr>
        <w:tblW w:type="auto" w:w="0"/>
        <w:jc w:val="center"/>
        <w:tblLook w:firstColumn="1" w:firstRow="1" w:lastColumn="0" w:lastRow="0" w:noHBand="0" w:noVBand="1" w:val="04A0"/>
      </w:tblPr>
      <w:tblGrid>
        <w:gridCol w:w="9072"/>
      </w:tblGrid>
      <w:tr>
        <w:tc>
          <w:tcPr>
            <w:tcW w:type="dxa" w:w="9072"/>
            <w:shd w:val="clear" w:color="auto" w:fill="0F2140"/>
          </w:tcPr>
          <w:p>
            <w:pPr>
              <w:spacing w:before="200" w:after="200"/>
              <w:ind w:left="288" w:right="288"/>
            </w:pPr>
            <w:r>
              <w:rPr>
                <w:b/>
                <w:color w:val="FFFFFF"/>
                <w:sz w:val="20"/>
              </w:rPr>
              <w:t>Rationale Coverage Rate  =  100%</w:t>
              <w:br/>
              <w:br/>
              <w:t>Every compliance decision in ScreenDesk must have a written, signed rationale on the audit trail.</w:t>
              <w:br/>
              <w:t>Before ScreenDesk: ~40% of decisions have a documented reason (the rest are in email threads or nowhere).</w:t>
              <w:br/>
              <w:t>After ScreenDesk: 100% — the product physically cannot record a decision without a rationale.</w:t>
            </w:r>
          </w:p>
        </w:tc>
      </w:tr>
    </w:tbl>
    <w:p/>
    <w:p>
      <w:pPr>
        <w:spacing w:before="240" w:after="80"/>
      </w:pPr>
      <w:r>
        <w:rPr>
          <w:b/>
          <w:color w:val="0F2140"/>
          <w:sz w:val="24"/>
        </w:rPr>
        <w:t>How We Measure Success — Plain English</w:t>
      </w:r>
    </w:p>
    <w:p>
      <w:pPr>
        <w:spacing w:before="20" w:after="100"/>
      </w:pPr>
      <w:r>
        <w:rPr>
          <w:color w:val="2D3748"/>
          <w:sz w:val="20"/>
        </w:rPr>
        <w:t>We track four types of metrics — product performance, business health, customer happiness, and compliance quality:</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0F2140"/>
          </w:tcPr>
          <w:p>
            <w:pPr>
              <w:spacing w:before="100" w:after="100"/>
            </w:pPr>
            <w:r>
              <w:rPr>
                <w:b/>
                <w:color w:val="FFFFFF"/>
                <w:sz w:val="19"/>
              </w:rPr>
              <w:t>What We Measure</w:t>
            </w:r>
          </w:p>
        </w:tc>
        <w:tc>
          <w:tcPr>
            <w:tcW w:type="dxa" w:w="3024"/>
            <w:shd w:val="clear" w:color="auto" w:fill="0F2140"/>
          </w:tcPr>
          <w:p>
            <w:pPr>
              <w:spacing w:before="100" w:after="100"/>
            </w:pPr>
            <w:r>
              <w:rPr>
                <w:b/>
                <w:color w:val="FFFFFF"/>
                <w:sz w:val="19"/>
              </w:rPr>
              <w:t>The Number</w:t>
            </w:r>
          </w:p>
        </w:tc>
        <w:tc>
          <w:tcPr>
            <w:tcW w:type="dxa" w:w="3024"/>
            <w:shd w:val="clear" w:color="auto" w:fill="0F2140"/>
          </w:tcPr>
          <w:p>
            <w:pPr>
              <w:spacing w:before="100" w:after="100"/>
            </w:pPr>
            <w:r>
              <w:rPr>
                <w:b/>
                <w:color w:val="FFFFFF"/>
                <w:sz w:val="19"/>
              </w:rPr>
              <w:t>What It Tells Us</w:t>
            </w:r>
          </w:p>
        </w:tc>
      </w:tr>
      <w:tr>
        <w:tc>
          <w:tcPr>
            <w:tcW w:type="dxa" w:w="3024"/>
            <w:shd w:val="clear" w:color="auto" w:fill="EFF6FF"/>
          </w:tcPr>
          <w:p>
            <w:pPr>
              <w:spacing w:before="80" w:after="80"/>
            </w:pPr>
            <w:r>
              <w:rPr>
                <w:b/>
                <w:color w:val="0F2140"/>
                <w:sz w:val="19"/>
              </w:rPr>
              <w:t>Time per alert</w:t>
            </w:r>
          </w:p>
        </w:tc>
        <w:tc>
          <w:tcPr>
            <w:tcW w:type="dxa" w:w="3024"/>
            <w:shd w:val="clear" w:color="auto" w:fill="EFF6FF"/>
          </w:tcPr>
          <w:p>
            <w:pPr>
              <w:spacing w:before="80" w:after="80"/>
            </w:pPr>
            <w:r>
              <w:rPr>
                <w:color w:val="2D3748"/>
                <w:sz w:val="19"/>
              </w:rPr>
              <w:t>Target: &lt; 4 minutes</w:t>
              <w:br/>
              <w:t>(baseline: 8–12 minutes)</w:t>
            </w:r>
          </w:p>
        </w:tc>
        <w:tc>
          <w:tcPr>
            <w:tcW w:type="dxa" w:w="3024"/>
            <w:shd w:val="clear" w:color="auto" w:fill="EFF6FF"/>
          </w:tcPr>
          <w:p>
            <w:pPr>
              <w:spacing w:before="80" w:after="80"/>
            </w:pPr>
            <w:r>
              <w:rPr>
                <w:color w:val="2D3748"/>
                <w:sz w:val="19"/>
              </w:rPr>
              <w:t>Is the product actually saving analyst time?</w:t>
            </w:r>
          </w:p>
        </w:tc>
      </w:tr>
      <w:tr>
        <w:tc>
          <w:tcPr>
            <w:tcW w:type="dxa" w:w="3024"/>
            <w:shd w:val="clear" w:color="auto" w:fill="FFFFFF"/>
          </w:tcPr>
          <w:p>
            <w:pPr>
              <w:spacing w:before="80" w:after="80"/>
            </w:pPr>
            <w:r>
              <w:rPr>
                <w:b/>
                <w:color w:val="0F2140"/>
                <w:sz w:val="19"/>
              </w:rPr>
              <w:t>False alarm rate</w:t>
            </w:r>
          </w:p>
        </w:tc>
        <w:tc>
          <w:tcPr>
            <w:tcW w:type="dxa" w:w="3024"/>
            <w:shd w:val="clear" w:color="auto" w:fill="FFFFFF"/>
          </w:tcPr>
          <w:p>
            <w:pPr>
              <w:spacing w:before="80" w:after="80"/>
            </w:pPr>
            <w:r>
              <w:rPr>
                <w:color w:val="2D3748"/>
                <w:sz w:val="19"/>
              </w:rPr>
              <w:t>Target: &lt; 5% of surfaced alerts</w:t>
            </w:r>
          </w:p>
        </w:tc>
        <w:tc>
          <w:tcPr>
            <w:tcW w:type="dxa" w:w="3024"/>
            <w:shd w:val="clear" w:color="auto" w:fill="FFFFFF"/>
          </w:tcPr>
          <w:p>
            <w:pPr>
              <w:spacing w:before="80" w:after="80"/>
            </w:pPr>
            <w:r>
              <w:rPr>
                <w:color w:val="2D3748"/>
                <w:sz w:val="19"/>
              </w:rPr>
              <w:t>Is our matching too noisy? Too many false alarms = alert fatigue</w:t>
            </w:r>
          </w:p>
        </w:tc>
      </w:tr>
      <w:tr>
        <w:tc>
          <w:tcPr>
            <w:tcW w:type="dxa" w:w="3024"/>
            <w:shd w:val="clear" w:color="auto" w:fill="EFF6FF"/>
          </w:tcPr>
          <w:p>
            <w:pPr>
              <w:spacing w:before="80" w:after="80"/>
            </w:pPr>
            <w:r>
              <w:rPr>
                <w:b/>
                <w:color w:val="0F2140"/>
                <w:sz w:val="19"/>
              </w:rPr>
              <w:t>Rationale coverage</w:t>
            </w:r>
          </w:p>
        </w:tc>
        <w:tc>
          <w:tcPr>
            <w:tcW w:type="dxa" w:w="3024"/>
            <w:shd w:val="clear" w:color="auto" w:fill="EFF6FF"/>
          </w:tcPr>
          <w:p>
            <w:pPr>
              <w:spacing w:before="80" w:after="80"/>
            </w:pPr>
            <w:r>
              <w:rPr>
                <w:color w:val="2D3748"/>
                <w:sz w:val="19"/>
              </w:rPr>
              <w:t>Target: 100%</w:t>
            </w:r>
          </w:p>
        </w:tc>
        <w:tc>
          <w:tcPr>
            <w:tcW w:type="dxa" w:w="3024"/>
            <w:shd w:val="clear" w:color="auto" w:fill="EFF6FF"/>
          </w:tcPr>
          <w:p>
            <w:pPr>
              <w:spacing w:before="80" w:after="80"/>
            </w:pPr>
            <w:r>
              <w:rPr>
                <w:color w:val="2D3748"/>
                <w:sz w:val="19"/>
              </w:rPr>
              <w:t>Is every decision documented? (Non-negotiable)</w:t>
            </w:r>
          </w:p>
        </w:tc>
      </w:tr>
      <w:tr>
        <w:tc>
          <w:tcPr>
            <w:tcW w:type="dxa" w:w="3024"/>
            <w:shd w:val="clear" w:color="auto" w:fill="FFFFFF"/>
          </w:tcPr>
          <w:p>
            <w:pPr>
              <w:spacing w:before="80" w:after="80"/>
            </w:pPr>
            <w:r>
              <w:rPr>
                <w:b/>
                <w:color w:val="0F2140"/>
                <w:sz w:val="19"/>
              </w:rPr>
              <w:t>AI draft acceptance rate</w:t>
            </w:r>
          </w:p>
        </w:tc>
        <w:tc>
          <w:tcPr>
            <w:tcW w:type="dxa" w:w="3024"/>
            <w:shd w:val="clear" w:color="auto" w:fill="FFFFFF"/>
          </w:tcPr>
          <w:p>
            <w:pPr>
              <w:spacing w:before="80" w:after="80"/>
            </w:pPr>
            <w:r>
              <w:rPr>
                <w:color w:val="2D3748"/>
                <w:sz w:val="19"/>
              </w:rPr>
              <w:t>Target: &gt; 70%</w:t>
            </w:r>
          </w:p>
        </w:tc>
        <w:tc>
          <w:tcPr>
            <w:tcW w:type="dxa" w:w="3024"/>
            <w:shd w:val="clear" w:color="auto" w:fill="FFFFFF"/>
          </w:tcPr>
          <w:p>
            <w:pPr>
              <w:spacing w:before="80" w:after="80"/>
            </w:pPr>
            <w:r>
              <w:rPr>
                <w:color w:val="2D3748"/>
                <w:sz w:val="19"/>
              </w:rPr>
              <w:t>Is the AI writing useful rationales, or is it useless?</w:t>
            </w:r>
          </w:p>
        </w:tc>
      </w:tr>
      <w:tr>
        <w:tc>
          <w:tcPr>
            <w:tcW w:type="dxa" w:w="3024"/>
            <w:shd w:val="clear" w:color="auto" w:fill="EFF6FF"/>
          </w:tcPr>
          <w:p>
            <w:pPr>
              <w:spacing w:before="80" w:after="80"/>
            </w:pPr>
            <w:r>
              <w:rPr>
                <w:b/>
                <w:color w:val="0F2140"/>
                <w:sz w:val="19"/>
              </w:rPr>
              <w:t>Monthly revenue (MRR)</w:t>
            </w:r>
          </w:p>
        </w:tc>
        <w:tc>
          <w:tcPr>
            <w:tcW w:type="dxa" w:w="3024"/>
            <w:shd w:val="clear" w:color="auto" w:fill="EFF6FF"/>
          </w:tcPr>
          <w:p>
            <w:pPr>
              <w:spacing w:before="80" w:after="80"/>
            </w:pPr>
            <w:r>
              <w:rPr>
                <w:color w:val="2D3748"/>
                <w:sz w:val="19"/>
              </w:rPr>
              <w:t>Target by Month 9: ₹20L</w:t>
            </w:r>
          </w:p>
        </w:tc>
        <w:tc>
          <w:tcPr>
            <w:tcW w:type="dxa" w:w="3024"/>
            <w:shd w:val="clear" w:color="auto" w:fill="EFF6FF"/>
          </w:tcPr>
          <w:p>
            <w:pPr>
              <w:spacing w:before="80" w:after="80"/>
            </w:pPr>
            <w:r>
              <w:rPr>
                <w:color w:val="2D3748"/>
                <w:sz w:val="19"/>
              </w:rPr>
              <w:t>Are we converting pilots to paid?</w:t>
            </w:r>
          </w:p>
        </w:tc>
      </w:tr>
      <w:tr>
        <w:tc>
          <w:tcPr>
            <w:tcW w:type="dxa" w:w="3024"/>
            <w:shd w:val="clear" w:color="auto" w:fill="FFFFFF"/>
          </w:tcPr>
          <w:p>
            <w:pPr>
              <w:spacing w:before="80" w:after="80"/>
            </w:pPr>
            <w:r>
              <w:rPr>
                <w:b/>
                <w:color w:val="0F2140"/>
                <w:sz w:val="19"/>
              </w:rPr>
              <w:t>Revenue retention (NRR)</w:t>
            </w:r>
          </w:p>
        </w:tc>
        <w:tc>
          <w:tcPr>
            <w:tcW w:type="dxa" w:w="3024"/>
            <w:shd w:val="clear" w:color="auto" w:fill="FFFFFF"/>
          </w:tcPr>
          <w:p>
            <w:pPr>
              <w:spacing w:before="80" w:after="80"/>
            </w:pPr>
            <w:r>
              <w:rPr>
                <w:color w:val="2D3748"/>
                <w:sz w:val="19"/>
              </w:rPr>
              <w:t>Target: &gt; 110% at Year 1</w:t>
            </w:r>
          </w:p>
        </w:tc>
        <w:tc>
          <w:tcPr>
            <w:tcW w:type="dxa" w:w="3024"/>
            <w:shd w:val="clear" w:color="auto" w:fill="FFFFFF"/>
          </w:tcPr>
          <w:p>
            <w:pPr>
              <w:spacing w:before="80" w:after="80"/>
            </w:pPr>
            <w:r>
              <w:rPr>
                <w:color w:val="2D3748"/>
                <w:sz w:val="19"/>
              </w:rPr>
              <w:t>Are customers expanding, not just staying?</w:t>
            </w:r>
          </w:p>
        </w:tc>
      </w:tr>
      <w:tr>
        <w:tc>
          <w:tcPr>
            <w:tcW w:type="dxa" w:w="3024"/>
            <w:shd w:val="clear" w:color="auto" w:fill="EFF6FF"/>
          </w:tcPr>
          <w:p>
            <w:pPr>
              <w:spacing w:before="80" w:after="80"/>
            </w:pPr>
            <w:r>
              <w:rPr>
                <w:b/>
                <w:color w:val="0F2140"/>
                <w:sz w:val="19"/>
              </w:rPr>
              <w:t>Pilot conversion rate</w:t>
            </w:r>
          </w:p>
        </w:tc>
        <w:tc>
          <w:tcPr>
            <w:tcW w:type="dxa" w:w="3024"/>
            <w:shd w:val="clear" w:color="auto" w:fill="EFF6FF"/>
          </w:tcPr>
          <w:p>
            <w:pPr>
              <w:spacing w:before="80" w:after="80"/>
            </w:pPr>
            <w:r>
              <w:rPr>
                <w:color w:val="2D3748"/>
                <w:sz w:val="19"/>
              </w:rPr>
              <w:t>Target: &gt; 67% (2 of 3)</w:t>
            </w:r>
          </w:p>
        </w:tc>
        <w:tc>
          <w:tcPr>
            <w:tcW w:type="dxa" w:w="3024"/>
            <w:shd w:val="clear" w:color="auto" w:fill="EFF6FF"/>
          </w:tcPr>
          <w:p>
            <w:pPr>
              <w:spacing w:before="80" w:after="80"/>
            </w:pPr>
            <w:r>
              <w:rPr>
                <w:color w:val="2D3748"/>
                <w:sz w:val="19"/>
              </w:rPr>
              <w:t>Is our pilot-to-paid process working?</w:t>
            </w:r>
          </w:p>
        </w:tc>
      </w:tr>
      <w:tr>
        <w:tc>
          <w:tcPr>
            <w:tcW w:type="dxa" w:w="3024"/>
            <w:shd w:val="clear" w:color="auto" w:fill="FFFFFF"/>
          </w:tcPr>
          <w:p>
            <w:pPr>
              <w:spacing w:before="80" w:after="80"/>
            </w:pPr>
            <w:r>
              <w:rPr>
                <w:b/>
                <w:color w:val="0F2140"/>
                <w:sz w:val="19"/>
              </w:rPr>
              <w:t>Customer health score</w:t>
            </w:r>
          </w:p>
        </w:tc>
        <w:tc>
          <w:tcPr>
            <w:tcW w:type="dxa" w:w="3024"/>
            <w:shd w:val="clear" w:color="auto" w:fill="FFFFFF"/>
          </w:tcPr>
          <w:p>
            <w:pPr>
              <w:spacing w:before="80" w:after="80"/>
            </w:pPr>
            <w:r>
              <w:rPr>
                <w:color w:val="2D3748"/>
                <w:sz w:val="19"/>
              </w:rPr>
              <w:t>Target: &gt; 70/100</w:t>
              <w:br/>
              <w:t>Red flag: &lt; 60</w:t>
            </w:r>
          </w:p>
        </w:tc>
        <w:tc>
          <w:tcPr>
            <w:tcW w:type="dxa" w:w="3024"/>
            <w:shd w:val="clear" w:color="auto" w:fill="FFFFFF"/>
          </w:tcPr>
          <w:p>
            <w:pPr>
              <w:spacing w:before="80" w:after="80"/>
            </w:pPr>
            <w:r>
              <w:rPr>
                <w:color w:val="2D3748"/>
                <w:sz w:val="19"/>
              </w:rPr>
              <w:t>Is each customer actively using the product and seeing value?</w:t>
            </w:r>
          </w:p>
        </w:tc>
      </w:tr>
      <w:tr>
        <w:tc>
          <w:tcPr>
            <w:tcW w:type="dxa" w:w="3024"/>
            <w:shd w:val="clear" w:color="auto" w:fill="EFF6FF"/>
          </w:tcPr>
          <w:p>
            <w:pPr>
              <w:spacing w:before="80" w:after="80"/>
            </w:pPr>
            <w:r>
              <w:rPr>
                <w:b/>
                <w:color w:val="0F2140"/>
                <w:sz w:val="19"/>
              </w:rPr>
              <w:t>Override rate</w:t>
            </w:r>
          </w:p>
        </w:tc>
        <w:tc>
          <w:tcPr>
            <w:tcW w:type="dxa" w:w="3024"/>
            <w:shd w:val="clear" w:color="auto" w:fill="EFF6FF"/>
          </w:tcPr>
          <w:p>
            <w:pPr>
              <w:spacing w:before="80" w:after="80"/>
            </w:pPr>
            <w:r>
              <w:rPr>
                <w:color w:val="2D3748"/>
                <w:sz w:val="19"/>
              </w:rPr>
              <w:t>Target: &lt; 10% of cases</w:t>
            </w:r>
          </w:p>
        </w:tc>
        <w:tc>
          <w:tcPr>
            <w:tcW w:type="dxa" w:w="3024"/>
            <w:shd w:val="clear" w:color="auto" w:fill="EFF6FF"/>
          </w:tcPr>
          <w:p>
            <w:pPr>
              <w:spacing w:before="80" w:after="80"/>
            </w:pPr>
            <w:r>
              <w:rPr>
                <w:color w:val="2D3748"/>
                <w:sz w:val="19"/>
              </w:rPr>
              <w:t>If analysts are overriding the system too often, our thresholds are wrong</w:t>
            </w:r>
          </w:p>
        </w:tc>
      </w:tr>
    </w:tbl>
    <w:p/>
    <w:p>
      <w:pPr>
        <w:spacing w:before="20" w:after="100"/>
      </w:pPr>
      <w:r>
        <w:rPr>
          <w:color w:val="2D3748"/>
          <w:sz w:val="19"/>
        </w:rPr>
        <w:t>We share product metrics daily in the dashboard, business metrics monthly with investors, and compliance quality metrics quarterly with each MLRO in a formal review.</w:t>
      </w:r>
    </w:p>
    <w:p>
      <w:r>
        <w:br w:type="page"/>
      </w:r>
    </w:p>
    <w:tbl>
      <w:tblPr>
        <w:tblW w:type="auto" w:w="0"/>
        <w:jc w:val="center"/>
        <w:tblLook w:firstColumn="1" w:firstRow="1" w:lastColumn="0" w:lastRow="0" w:noHBand="0" w:noVBand="1" w:val="04A0"/>
      </w:tblPr>
      <w:tblGrid>
        <w:gridCol w:w="9072"/>
      </w:tblGrid>
      <w:tr>
        <w:tc>
          <w:tcPr>
            <w:tcW w:type="dxa" w:w="9072"/>
            <w:shd w:val="clear" w:color="auto" w:fill="7F1D1D"/>
          </w:tcPr>
          <w:p>
            <w:pPr>
              <w:spacing w:before="200" w:after="200"/>
              <w:jc w:val="left"/>
            </w:pPr>
            <w:r>
              <w:rPr>
                <w:b/>
                <w:color w:val="00C2A8"/>
                <w:sz w:val="18"/>
              </w:rPr>
              <w:t xml:space="preserve">Section 3  </w:t>
            </w:r>
            <w:r>
              <w:rPr>
                <w:b/>
                <w:color w:val="FFFFFF"/>
                <w:sz w:val="30"/>
              </w:rPr>
              <w:t>Risks &amp; How We Handle Them</w:t>
            </w:r>
          </w:p>
          <w:p>
            <w:pPr>
              <w:spacing w:before="40" w:after="160"/>
              <w:ind w:left="72"/>
            </w:pPr>
            <w:r>
              <w:rPr>
                <w:color w:val="CCEEE8"/>
                <w:sz w:val="20"/>
              </w:rPr>
              <w:t>What could go wrong — and what we have already done about it.</w:t>
            </w:r>
          </w:p>
        </w:tc>
      </w:tr>
    </w:tbl>
    <w:p/>
    <w:p>
      <w:pPr>
        <w:spacing w:before="20" w:after="100"/>
      </w:pPr>
      <w:r>
        <w:rPr>
          <w:color w:val="2D3748"/>
          <w:sz w:val="20"/>
        </w:rPr>
        <w:t>We track 18 risks across five areas. Most have already been addressed in the product architecture. Three are "launch blockers" — things we must fix before a single paying customer uses ScreenDesk in a live compliance programme.</w:t>
      </w:r>
    </w:p>
    <w:p>
      <w:pPr>
        <w:spacing w:before="240" w:after="80"/>
      </w:pPr>
      <w:r>
        <w:rPr>
          <w:b/>
          <w:color w:val="EF4444"/>
          <w:sz w:val="24"/>
        </w:rPr>
        <w:t>The 3 Things We Must Fix Before Launch</w:t>
      </w:r>
    </w:p>
    <w:tbl>
      <w:tblPr>
        <w:tblW w:type="auto" w:w="0"/>
        <w:jc w:val="center"/>
        <w:tblLook w:firstColumn="1" w:firstRow="1" w:lastColumn="0" w:lastRow="0" w:noHBand="0" w:noVBand="1" w:val="04A0"/>
      </w:tblPr>
      <w:tblGrid>
        <w:gridCol w:w="9072"/>
      </w:tblGrid>
      <w:tr>
        <w:tc>
          <w:tcPr>
            <w:tcW w:type="dxa" w:w="9072"/>
            <w:shd w:val="clear" w:color="auto" w:fill="7F1D1D"/>
          </w:tcPr>
          <w:p>
            <w:pPr>
              <w:spacing w:before="200" w:after="200"/>
              <w:ind w:left="288" w:right="288"/>
            </w:pPr>
            <w:r>
              <w:rPr>
                <w:b/>
                <w:color w:val="FFFFFF"/>
                <w:sz w:val="20"/>
              </w:rPr>
              <w:t>These are not future problems — they exist today in the prototype. We have been transparent about them from day one because ScreenDesk is currently a demo product, not a production system. All three are engineering tasks, not fundamental design flaws.</w:t>
            </w:r>
          </w:p>
        </w:tc>
      </w:tr>
    </w:tbl>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0F2140"/>
          </w:tcPr>
          <w:p>
            <w:pPr>
              <w:spacing w:before="100" w:after="100"/>
            </w:pPr>
            <w:r>
              <w:rPr>
                <w:b/>
                <w:color w:val="FFFFFF"/>
                <w:sz w:val="19"/>
              </w:rPr>
              <w:t>Blocker</w:t>
            </w:r>
          </w:p>
        </w:tc>
        <w:tc>
          <w:tcPr>
            <w:tcW w:type="dxa" w:w="2268"/>
            <w:shd w:val="clear" w:color="auto" w:fill="0F2140"/>
          </w:tcPr>
          <w:p>
            <w:pPr>
              <w:spacing w:before="100" w:after="100"/>
            </w:pPr>
            <w:r>
              <w:rPr>
                <w:b/>
                <w:color w:val="FFFFFF"/>
                <w:sz w:val="19"/>
              </w:rPr>
              <w:t>The Problem</w:t>
            </w:r>
          </w:p>
        </w:tc>
        <w:tc>
          <w:tcPr>
            <w:tcW w:type="dxa" w:w="2268"/>
            <w:shd w:val="clear" w:color="auto" w:fill="0F2140"/>
          </w:tcPr>
          <w:p>
            <w:pPr>
              <w:spacing w:before="100" w:after="100"/>
            </w:pPr>
            <w:r>
              <w:rPr>
                <w:b/>
                <w:color w:val="FFFFFF"/>
                <w:sz w:val="19"/>
              </w:rPr>
              <w:t>The Fix</w:t>
            </w:r>
          </w:p>
        </w:tc>
        <w:tc>
          <w:tcPr>
            <w:tcW w:type="dxa" w:w="2268"/>
            <w:shd w:val="clear" w:color="auto" w:fill="0F2140"/>
          </w:tcPr>
          <w:p>
            <w:pPr>
              <w:spacing w:before="100" w:after="100"/>
            </w:pPr>
            <w:r>
              <w:rPr>
                <w:b/>
                <w:color w:val="FFFFFF"/>
                <w:sz w:val="19"/>
              </w:rPr>
              <w:t>Effort</w:t>
            </w:r>
          </w:p>
        </w:tc>
      </w:tr>
      <w:tr>
        <w:tc>
          <w:tcPr>
            <w:tcW w:type="dxa" w:w="2268"/>
            <w:shd w:val="clear" w:color="auto" w:fill="EFF6FF"/>
          </w:tcPr>
          <w:p>
            <w:pPr>
              <w:spacing w:before="80" w:after="80"/>
            </w:pPr>
            <w:r>
              <w:rPr>
                <w:b/>
                <w:color w:val="0F2140"/>
                <w:sz w:val="19"/>
              </w:rPr>
              <w:t>1. Fake sanctions list</w:t>
            </w:r>
          </w:p>
        </w:tc>
        <w:tc>
          <w:tcPr>
            <w:tcW w:type="dxa" w:w="2268"/>
            <w:shd w:val="clear" w:color="auto" w:fill="EFF6FF"/>
          </w:tcPr>
          <w:p>
            <w:pPr>
              <w:spacing w:before="80" w:after="80"/>
            </w:pPr>
            <w:r>
              <w:rPr>
                <w:color w:val="2D3748"/>
                <w:sz w:val="19"/>
              </w:rPr>
              <w:t>Today we run against 32 made-up names for demo purposes. A real customer would need the actual OFAC, UN, and EU banned-entity lists.</w:t>
            </w:r>
          </w:p>
        </w:tc>
        <w:tc>
          <w:tcPr>
            <w:tcW w:type="dxa" w:w="2268"/>
            <w:shd w:val="clear" w:color="auto" w:fill="EFF6FF"/>
          </w:tcPr>
          <w:p>
            <w:pPr>
              <w:spacing w:before="80" w:after="80"/>
            </w:pPr>
            <w:r>
              <w:rPr>
                <w:color w:val="2D3748"/>
                <w:sz w:val="19"/>
              </w:rPr>
              <w:t>Connect to live, daily-updated government watchlist feeds before go-live.</w:t>
            </w:r>
          </w:p>
        </w:tc>
        <w:tc>
          <w:tcPr>
            <w:tcW w:type="dxa" w:w="2268"/>
            <w:shd w:val="clear" w:color="auto" w:fill="EFF6FF"/>
          </w:tcPr>
          <w:p>
            <w:pPr>
              <w:spacing w:before="80" w:after="80"/>
            </w:pPr>
            <w:r>
              <w:rPr>
                <w:color w:val="2D3748"/>
                <w:sz w:val="19"/>
              </w:rPr>
              <w:t>2–4 weeks of engineering</w:t>
            </w:r>
          </w:p>
        </w:tc>
      </w:tr>
      <w:tr>
        <w:tc>
          <w:tcPr>
            <w:tcW w:type="dxa" w:w="2268"/>
            <w:shd w:val="clear" w:color="auto" w:fill="FFFFFF"/>
          </w:tcPr>
          <w:p>
            <w:pPr>
              <w:spacing w:before="80" w:after="80"/>
            </w:pPr>
            <w:r>
              <w:rPr>
                <w:b/>
                <w:color w:val="0F2140"/>
                <w:sz w:val="19"/>
              </w:rPr>
              <w:t>2. No login system</w:t>
            </w:r>
          </w:p>
        </w:tc>
        <w:tc>
          <w:tcPr>
            <w:tcW w:type="dxa" w:w="2268"/>
            <w:shd w:val="clear" w:color="auto" w:fill="FFFFFF"/>
          </w:tcPr>
          <w:p>
            <w:pPr>
              <w:spacing w:before="80" w:after="80"/>
            </w:pPr>
            <w:r>
              <w:rPr>
                <w:color w:val="2D3748"/>
                <w:sz w:val="19"/>
              </w:rPr>
              <w:t>The prototype has a single shared demo account. In a real deployment, each analyst needs their own login with their own permissions.</w:t>
            </w:r>
          </w:p>
        </w:tc>
        <w:tc>
          <w:tcPr>
            <w:tcW w:type="dxa" w:w="2268"/>
            <w:shd w:val="clear" w:color="auto" w:fill="FFFFFF"/>
          </w:tcPr>
          <w:p>
            <w:pPr>
              <w:spacing w:before="80" w:after="80"/>
            </w:pPr>
            <w:r>
              <w:rPr>
                <w:color w:val="2D3748"/>
                <w:sz w:val="19"/>
              </w:rPr>
              <w:t>Build a proper login system with three roles: Analyst, Officer, and MLRO.</w:t>
            </w:r>
          </w:p>
        </w:tc>
        <w:tc>
          <w:tcPr>
            <w:tcW w:type="dxa" w:w="2268"/>
            <w:shd w:val="clear" w:color="auto" w:fill="FFFFFF"/>
          </w:tcPr>
          <w:p>
            <w:pPr>
              <w:spacing w:before="80" w:after="80"/>
            </w:pPr>
            <w:r>
              <w:rPr>
                <w:color w:val="2D3748"/>
                <w:sz w:val="19"/>
              </w:rPr>
              <w:t>1–2 weeks of engineering</w:t>
            </w:r>
          </w:p>
        </w:tc>
      </w:tr>
      <w:tr>
        <w:tc>
          <w:tcPr>
            <w:tcW w:type="dxa" w:w="2268"/>
            <w:shd w:val="clear" w:color="auto" w:fill="EFF6FF"/>
          </w:tcPr>
          <w:p>
            <w:pPr>
              <w:spacing w:before="80" w:after="80"/>
            </w:pPr>
            <w:r>
              <w:rPr>
                <w:b/>
                <w:color w:val="0F2140"/>
                <w:sz w:val="19"/>
              </w:rPr>
              <w:t>3. Prototype web server</w:t>
            </w:r>
          </w:p>
        </w:tc>
        <w:tc>
          <w:tcPr>
            <w:tcW w:type="dxa" w:w="2268"/>
            <w:shd w:val="clear" w:color="auto" w:fill="EFF6FF"/>
          </w:tcPr>
          <w:p>
            <w:pPr>
              <w:spacing w:before="80" w:after="80"/>
            </w:pPr>
            <w:r>
              <w:rPr>
                <w:color w:val="2D3748"/>
                <w:sz w:val="19"/>
              </w:rPr>
              <w:t>The app runs on a development web server with debug mode on — this is fine for demos but would be insecure in a live environment.</w:t>
            </w:r>
          </w:p>
        </w:tc>
        <w:tc>
          <w:tcPr>
            <w:tcW w:type="dxa" w:w="2268"/>
            <w:shd w:val="clear" w:color="auto" w:fill="EFF6FF"/>
          </w:tcPr>
          <w:p>
            <w:pPr>
              <w:spacing w:before="80" w:after="80"/>
            </w:pPr>
            <w:r>
              <w:rPr>
                <w:color w:val="2D3748"/>
                <w:sz w:val="19"/>
              </w:rPr>
              <w:t>Switch to a production-grade web server with HTTPS and access restrictions.</w:t>
            </w:r>
          </w:p>
        </w:tc>
        <w:tc>
          <w:tcPr>
            <w:tcW w:type="dxa" w:w="2268"/>
            <w:shd w:val="clear" w:color="auto" w:fill="EFF6FF"/>
          </w:tcPr>
          <w:p>
            <w:pPr>
              <w:spacing w:before="80" w:after="80"/>
            </w:pPr>
            <w:r>
              <w:rPr>
                <w:color w:val="2D3748"/>
                <w:sz w:val="19"/>
              </w:rPr>
              <w:t>1–3 days of engineering</w:t>
            </w:r>
          </w:p>
        </w:tc>
      </w:tr>
    </w:tbl>
    <w:p/>
    <w:p>
      <w:pPr>
        <w:spacing w:before="240" w:after="80"/>
      </w:pPr>
      <w:r>
        <w:rPr>
          <w:b/>
          <w:color w:val="0F2140"/>
          <w:sz w:val="24"/>
        </w:rPr>
        <w:t>Regulatory Risks</w:t>
      </w:r>
    </w:p>
    <w:p>
      <w:pPr>
        <w:spacing w:before="160" w:after="60"/>
      </w:pPr>
      <w:r>
        <w:rPr>
          <w:b/>
          <w:color w:val="00C2A8"/>
          <w:sz w:val="21"/>
        </w:rPr>
        <w:t>Could the AI miss a genuine sanctioned entity? (R-REG-1)</w:t>
      </w:r>
    </w:p>
    <w:p>
      <w:pPr>
        <w:spacing w:before="20" w:after="100"/>
      </w:pPr>
      <w:r>
        <w:rPr>
          <w:color w:val="2D3748"/>
          <w:sz w:val="20"/>
        </w:rPr>
        <w:t>This is the highest-stakes risk in any sanctions screening tool. We have built four overlapping safeguards to make a silent miss very hard:</w:t>
      </w:r>
    </w:p>
    <w:p>
      <w:pPr>
        <w:pStyle w:val="ListBullet"/>
        <w:spacing w:before="20" w:after="80"/>
      </w:pPr>
      <w:r>
        <w:rPr>
          <w:b/>
          <w:color w:val="0F2140"/>
          <w:sz w:val="20"/>
        </w:rPr>
        <w:t xml:space="preserve">Conservative matching: </w:t>
      </w:r>
      <w:r>
        <w:rPr>
          <w:color w:val="2D3748"/>
          <w:sz w:val="20"/>
        </w:rPr>
        <w:t>any name that scores 60/100 or above is surfaced — we err on the side of showing more, not less.</w:t>
      </w:r>
    </w:p>
    <w:p>
      <w:pPr>
        <w:pStyle w:val="ListBullet"/>
        <w:spacing w:before="20" w:after="80"/>
      </w:pPr>
      <w:r>
        <w:rPr>
          <w:b/>
          <w:color w:val="0F2140"/>
          <w:sz w:val="20"/>
        </w:rPr>
        <w:t xml:space="preserve">Hard rule: </w:t>
      </w:r>
      <w:r>
        <w:rPr>
          <w:color w:val="2D3748"/>
          <w:sz w:val="20"/>
        </w:rPr>
        <w:t>if the Sanctions check returns a definitive fail, the case is escalated — no averaging it away with good scores from other checks.</w:t>
      </w:r>
    </w:p>
    <w:p>
      <w:pPr>
        <w:pStyle w:val="ListBullet"/>
        <w:spacing w:before="20" w:after="80"/>
      </w:pPr>
      <w:r>
        <w:rPr>
          <w:b/>
          <w:color w:val="0F2140"/>
          <w:sz w:val="20"/>
        </w:rPr>
        <w:t xml:space="preserve">No auto-approve: </w:t>
      </w:r>
      <w:r>
        <w:rPr>
          <w:color w:val="2D3748"/>
          <w:sz w:val="20"/>
        </w:rPr>
        <w:t>a human analyst must physically approve every case. The system recommends; the analyst decides.</w:t>
      </w:r>
    </w:p>
    <w:p>
      <w:pPr>
        <w:pStyle w:val="ListBullet"/>
        <w:spacing w:before="20" w:after="80"/>
      </w:pPr>
      <w:r>
        <w:rPr>
          <w:b/>
          <w:color w:val="0F2140"/>
          <w:sz w:val="20"/>
        </w:rPr>
        <w:t xml:space="preserve">Full paper trail: </w:t>
      </w:r>
      <w:r>
        <w:rPr>
          <w:color w:val="2D3748"/>
          <w:sz w:val="20"/>
        </w:rPr>
        <w:t>every cleared false alarm is logged with a written rationale. If it later turns out to be wrong, there is a record of the reasoning.</w:t>
      </w:r>
    </w:p>
    <w:p>
      <w:pPr>
        <w:spacing w:before="160" w:after="60"/>
      </w:pPr>
      <w:r>
        <w:rPr>
          <w:b/>
          <w:color w:val="00C2A8"/>
          <w:sz w:val="21"/>
        </w:rPr>
        <w:t>Could a regulator tell us we must use a different, certified tool? (R-REG-2)</w:t>
      </w:r>
    </w:p>
    <w:p>
      <w:pPr>
        <w:spacing w:before="20" w:after="100"/>
      </w:pPr>
      <w:r>
        <w:rPr>
          <w:color w:val="2D3748"/>
          <w:sz w:val="20"/>
        </w:rPr>
        <w:t>Possible. We are managing this by engaging with compliance industry bodies (ACAMS India, IBA) and exploring the RBI Regulatory Sandbox — a formal pathway to regulatory recognition. Our "AI assists, human decides" design also matches the posture regulators are signalling they expect.</w:t>
      </w:r>
    </w:p>
    <w:p>
      <w:pPr>
        <w:spacing w:before="160" w:after="60"/>
      </w:pPr>
      <w:r>
        <w:rPr>
          <w:b/>
          <w:color w:val="00C2A8"/>
          <w:sz w:val="21"/>
        </w:rPr>
        <w:t>Could a customer treat our demo settings as final compliance policy? (R-REG-3)</w:t>
      </w:r>
    </w:p>
    <w:p>
      <w:pPr>
        <w:spacing w:before="20" w:after="100"/>
      </w:pPr>
      <w:r>
        <w:rPr>
          <w:color w:val="2D3748"/>
          <w:sz w:val="20"/>
        </w:rPr>
        <w:t>Every scoring weight and threshold in the product is labelled "demo configuration — not for production use" in the code itself. The architecture requires a named compliance officer to formally approve any configuration before the system treats it as real compliance policy.</w:t>
      </w:r>
    </w:p>
    <w:p>
      <w:r>
        <w:br w:type="page"/>
      </w:r>
    </w:p>
    <w:p>
      <w:pPr>
        <w:spacing w:before="240" w:after="80"/>
      </w:pPr>
      <w:r>
        <w:rPr>
          <w:b/>
          <w:color w:val="0F2140"/>
          <w:sz w:val="24"/>
        </w:rPr>
        <w:t>Product &amp; Technical Risks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0F2140"/>
          </w:tcPr>
          <w:p>
            <w:pPr>
              <w:spacing w:before="100" w:after="100"/>
            </w:pPr>
            <w:r>
              <w:rPr>
                <w:b/>
                <w:color w:val="FFFFFF"/>
                <w:sz w:val="19"/>
              </w:rPr>
              <w:t>Risk</w:t>
            </w:r>
          </w:p>
        </w:tc>
        <w:tc>
          <w:tcPr>
            <w:tcW w:type="dxa" w:w="3024"/>
            <w:shd w:val="clear" w:color="auto" w:fill="0F2140"/>
          </w:tcPr>
          <w:p>
            <w:pPr>
              <w:spacing w:before="100" w:after="100"/>
            </w:pPr>
            <w:r>
              <w:rPr>
                <w:b/>
                <w:color w:val="FFFFFF"/>
                <w:sz w:val="19"/>
              </w:rPr>
              <w:t>Plain English</w:t>
            </w:r>
          </w:p>
        </w:tc>
        <w:tc>
          <w:tcPr>
            <w:tcW w:type="dxa" w:w="3024"/>
            <w:shd w:val="clear" w:color="auto" w:fill="0F2140"/>
          </w:tcPr>
          <w:p>
            <w:pPr>
              <w:spacing w:before="100" w:after="100"/>
            </w:pPr>
            <w:r>
              <w:rPr>
                <w:b/>
                <w:color w:val="FFFFFF"/>
                <w:sz w:val="19"/>
              </w:rPr>
              <w:t>Status</w:t>
            </w:r>
          </w:p>
        </w:tc>
      </w:tr>
      <w:tr>
        <w:tc>
          <w:tcPr>
            <w:tcW w:type="dxa" w:w="3024"/>
            <w:shd w:val="clear" w:color="auto" w:fill="EFF6FF"/>
          </w:tcPr>
          <w:p>
            <w:pPr>
              <w:spacing w:before="80" w:after="80"/>
            </w:pPr>
            <w:r>
              <w:rPr>
                <w:b/>
                <w:color w:val="0F2140"/>
                <w:sz w:val="19"/>
              </w:rPr>
              <w:t>Watchlist data is fake</w:t>
              <w:br/>
              <w:t>(R-PROD-1)</w:t>
            </w:r>
          </w:p>
        </w:tc>
        <w:tc>
          <w:tcPr>
            <w:tcW w:type="dxa" w:w="3024"/>
            <w:shd w:val="clear" w:color="auto" w:fill="EFF6FF"/>
          </w:tcPr>
          <w:p>
            <w:pPr>
              <w:spacing w:before="80" w:after="80"/>
            </w:pPr>
            <w:r>
              <w:rPr>
                <w:color w:val="2D3748"/>
                <w:sz w:val="19"/>
              </w:rPr>
              <w:t>The current product runs on 32 demo names, not the real global sanctions lists</w:t>
            </w:r>
          </w:p>
        </w:tc>
        <w:tc>
          <w:tcPr>
            <w:tcW w:type="dxa" w:w="3024"/>
            <w:shd w:val="clear" w:color="auto" w:fill="EFF6FF"/>
          </w:tcPr>
          <w:p>
            <w:pPr>
              <w:spacing w:before="80" w:after="80"/>
            </w:pPr>
            <w:r>
              <w:rPr>
                <w:color w:val="2D3748"/>
                <w:sz w:val="19"/>
              </w:rPr>
              <w:t>LAUNCH BLOCKER — must connect live feeds before any paying customer</w:t>
            </w:r>
          </w:p>
        </w:tc>
      </w:tr>
      <w:tr>
        <w:tc>
          <w:tcPr>
            <w:tcW w:type="dxa" w:w="3024"/>
            <w:shd w:val="clear" w:color="auto" w:fill="FFFFFF"/>
          </w:tcPr>
          <w:p>
            <w:pPr>
              <w:spacing w:before="80" w:after="80"/>
            </w:pPr>
            <w:r>
              <w:rPr>
                <w:b/>
                <w:color w:val="0F2140"/>
                <w:sz w:val="19"/>
              </w:rPr>
              <w:t>What if the live list goes stale?</w:t>
              <w:br/>
              <w:t>(R-PROD-2)</w:t>
            </w:r>
          </w:p>
        </w:tc>
        <w:tc>
          <w:tcPr>
            <w:tcW w:type="dxa" w:w="3024"/>
            <w:shd w:val="clear" w:color="auto" w:fill="FFFFFF"/>
          </w:tcPr>
          <w:p>
            <w:pPr>
              <w:spacing w:before="80" w:after="80"/>
            </w:pPr>
            <w:r>
              <w:rPr>
                <w:color w:val="2D3748"/>
                <w:sz w:val="19"/>
              </w:rPr>
              <w:t>If our daily download of the watchlist fails, we might screen against outdated data</w:t>
            </w:r>
          </w:p>
        </w:tc>
        <w:tc>
          <w:tcPr>
            <w:tcW w:type="dxa" w:w="3024"/>
            <w:shd w:val="clear" w:color="auto" w:fill="FFFFFF"/>
          </w:tcPr>
          <w:p>
            <w:pPr>
              <w:spacing w:before="80" w:after="80"/>
            </w:pPr>
            <w:r>
              <w:rPr>
                <w:color w:val="2D3748"/>
                <w:sz w:val="19"/>
              </w:rPr>
              <w:t>We will build an automatic alert to the MLRO and block new cases until the list refreshes</w:t>
            </w:r>
          </w:p>
        </w:tc>
      </w:tr>
      <w:tr>
        <w:tc>
          <w:tcPr>
            <w:tcW w:type="dxa" w:w="3024"/>
            <w:shd w:val="clear" w:color="auto" w:fill="EFF6FF"/>
          </w:tcPr>
          <w:p>
            <w:pPr>
              <w:spacing w:before="80" w:after="80"/>
            </w:pPr>
            <w:r>
              <w:rPr>
                <w:b/>
                <w:color w:val="0F2140"/>
                <w:sz w:val="19"/>
              </w:rPr>
              <w:t>Could someone trick the AI?</w:t>
              <w:br/>
              <w:t>(R-PROD-3)</w:t>
            </w:r>
          </w:p>
        </w:tc>
        <w:tc>
          <w:tcPr>
            <w:tcW w:type="dxa" w:w="3024"/>
            <w:shd w:val="clear" w:color="auto" w:fill="EFF6FF"/>
          </w:tcPr>
          <w:p>
            <w:pPr>
              <w:spacing w:before="80" w:after="80"/>
            </w:pPr>
            <w:r>
              <w:rPr>
                <w:color w:val="2D3748"/>
                <w:sz w:val="19"/>
              </w:rPr>
              <w:t>A malicious name in a document could try to manipulate the AI's written rationale</w:t>
            </w:r>
          </w:p>
        </w:tc>
        <w:tc>
          <w:tcPr>
            <w:tcW w:type="dxa" w:w="3024"/>
            <w:shd w:val="clear" w:color="auto" w:fill="EFF6FF"/>
          </w:tcPr>
          <w:p>
            <w:pPr>
              <w:spacing w:before="80" w:after="80"/>
            </w:pPr>
            <w:r>
              <w:rPr>
                <w:color w:val="2D3748"/>
                <w:sz w:val="19"/>
              </w:rPr>
              <w:t>Low risk — the AI only writes text; it cannot change the risk score. The analyst reviews the draft.</w:t>
            </w:r>
          </w:p>
        </w:tc>
      </w:tr>
      <w:tr>
        <w:tc>
          <w:tcPr>
            <w:tcW w:type="dxa" w:w="3024"/>
            <w:shd w:val="clear" w:color="auto" w:fill="FFFFFF"/>
          </w:tcPr>
          <w:p>
            <w:pPr>
              <w:spacing w:before="80" w:after="80"/>
            </w:pPr>
            <w:r>
              <w:rPr>
                <w:b/>
                <w:color w:val="0F2140"/>
                <w:sz w:val="19"/>
              </w:rPr>
              <w:t>Two checks disagreeing</w:t>
              <w:br/>
              <w:t>(R-PROD-4)</w:t>
            </w:r>
          </w:p>
        </w:tc>
        <w:tc>
          <w:tcPr>
            <w:tcW w:type="dxa" w:w="3024"/>
            <w:shd w:val="clear" w:color="auto" w:fill="FFFFFF"/>
          </w:tcPr>
          <w:p>
            <w:pPr>
              <w:spacing w:before="80" w:after="80"/>
            </w:pPr>
            <w:r>
              <w:rPr>
                <w:color w:val="2D3748"/>
                <w:sz w:val="19"/>
              </w:rPr>
              <w:t>Sanctions check says "fine" but Customer Risk check says "suspicious" — what wins?</w:t>
            </w:r>
          </w:p>
        </w:tc>
        <w:tc>
          <w:tcPr>
            <w:tcW w:type="dxa" w:w="3024"/>
            <w:shd w:val="clear" w:color="auto" w:fill="FFFFFF"/>
          </w:tcPr>
          <w:p>
            <w:pPr>
              <w:spacing w:before="80" w:after="80"/>
            </w:pPr>
            <w:r>
              <w:rPr>
                <w:color w:val="2D3748"/>
                <w:sz w:val="19"/>
              </w:rPr>
              <w:t>The system already forces human review if any check raises a concern. A more precise rule is coming in Month 3.</w:t>
            </w:r>
          </w:p>
        </w:tc>
      </w:tr>
      <w:tr>
        <w:tc>
          <w:tcPr>
            <w:tcW w:type="dxa" w:w="3024"/>
            <w:shd w:val="clear" w:color="auto" w:fill="EFF6FF"/>
          </w:tcPr>
          <w:p>
            <w:pPr>
              <w:spacing w:before="80" w:after="80"/>
            </w:pPr>
            <w:r>
              <w:rPr>
                <w:b/>
                <w:color w:val="0F2140"/>
                <w:sz w:val="19"/>
              </w:rPr>
              <w:t>4-check score averaging</w:t>
              <w:br/>
              <w:t>(R-PROD-5)</w:t>
            </w:r>
          </w:p>
        </w:tc>
        <w:tc>
          <w:tcPr>
            <w:tcW w:type="dxa" w:w="3024"/>
            <w:shd w:val="clear" w:color="auto" w:fill="EFF6FF"/>
          </w:tcPr>
          <w:p>
            <w:pPr>
              <w:spacing w:before="80" w:after="80"/>
            </w:pPr>
            <w:r>
              <w:rPr>
                <w:color w:val="2D3748"/>
                <w:sz w:val="19"/>
              </w:rPr>
              <w:t>With 4 checks running, two clean results could water down two suspicious ones</w:t>
            </w:r>
          </w:p>
        </w:tc>
        <w:tc>
          <w:tcPr>
            <w:tcW w:type="dxa" w:w="3024"/>
            <w:shd w:val="clear" w:color="auto" w:fill="EFF6FF"/>
          </w:tcPr>
          <w:p>
            <w:pPr>
              <w:spacing w:before="80" w:after="80"/>
            </w:pPr>
            <w:r>
              <w:rPr>
                <w:color w:val="2D3748"/>
                <w:sz w:val="19"/>
              </w:rPr>
              <w:t>Already solved — the system checks the two mandatory checks independently and cannot let clean optional results override a real concern</w:t>
            </w:r>
          </w:p>
        </w:tc>
      </w:tr>
    </w:tbl>
    <w:p/>
    <w:p>
      <w:pPr>
        <w:spacing w:before="240" w:after="80"/>
      </w:pPr>
      <w:r>
        <w:rPr>
          <w:b/>
          <w:color w:val="0F2140"/>
          <w:sz w:val="24"/>
        </w:rPr>
        <w:t>Commercial Risks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0F2140"/>
          </w:tcPr>
          <w:p>
            <w:pPr>
              <w:spacing w:before="100" w:after="100"/>
            </w:pPr>
            <w:r>
              <w:rPr>
                <w:b/>
                <w:color w:val="FFFFFF"/>
                <w:sz w:val="19"/>
              </w:rPr>
              <w:t>Risk</w:t>
            </w:r>
          </w:p>
        </w:tc>
        <w:tc>
          <w:tcPr>
            <w:tcW w:type="dxa" w:w="3024"/>
            <w:shd w:val="clear" w:color="auto" w:fill="0F2140"/>
          </w:tcPr>
          <w:p>
            <w:pPr>
              <w:spacing w:before="100" w:after="100"/>
            </w:pPr>
            <w:r>
              <w:rPr>
                <w:b/>
                <w:color w:val="FFFFFF"/>
                <w:sz w:val="19"/>
              </w:rPr>
              <w:t>Plain English</w:t>
            </w:r>
          </w:p>
        </w:tc>
        <w:tc>
          <w:tcPr>
            <w:tcW w:type="dxa" w:w="3024"/>
            <w:shd w:val="clear" w:color="auto" w:fill="0F2140"/>
          </w:tcPr>
          <w:p>
            <w:pPr>
              <w:spacing w:before="100" w:after="100"/>
            </w:pPr>
            <w:r>
              <w:rPr>
                <w:b/>
                <w:color w:val="FFFFFF"/>
                <w:sz w:val="19"/>
              </w:rPr>
              <w:t>How We Handle It</w:t>
            </w:r>
          </w:p>
        </w:tc>
      </w:tr>
      <w:tr>
        <w:tc>
          <w:tcPr>
            <w:tcW w:type="dxa" w:w="3024"/>
            <w:shd w:val="clear" w:color="auto" w:fill="EFF6FF"/>
          </w:tcPr>
          <w:p>
            <w:pPr>
              <w:spacing w:before="80" w:after="80"/>
            </w:pPr>
            <w:r>
              <w:rPr>
                <w:b/>
                <w:color w:val="0F2140"/>
                <w:sz w:val="19"/>
              </w:rPr>
              <w:t>Pilots do not convert</w:t>
              <w:br/>
              <w:t>(R-COM-1)</w:t>
            </w:r>
          </w:p>
        </w:tc>
        <w:tc>
          <w:tcPr>
            <w:tcW w:type="dxa" w:w="3024"/>
            <w:shd w:val="clear" w:color="auto" w:fill="EFF6FF"/>
          </w:tcPr>
          <w:p>
            <w:pPr>
              <w:spacing w:before="80" w:after="80"/>
            </w:pPr>
            <w:r>
              <w:rPr>
                <w:color w:val="2D3748"/>
                <w:sz w:val="19"/>
              </w:rPr>
              <w:t>Customers try the 60-day free trial but do not pay afterwards</w:t>
            </w:r>
          </w:p>
        </w:tc>
        <w:tc>
          <w:tcPr>
            <w:tcW w:type="dxa" w:w="3024"/>
            <w:shd w:val="clear" w:color="auto" w:fill="EFF6FF"/>
          </w:tcPr>
          <w:p>
            <w:pPr>
              <w:spacing w:before="80" w:after="80"/>
            </w:pPr>
            <w:r>
              <w:rPr>
                <w:color w:val="2D3748"/>
                <w:sz w:val="19"/>
              </w:rPr>
              <w:t>Measure time savings rigorously from week 1. Make sure the MLRO (the buyer) sees the numbers, not just the analyst (the user).</w:t>
            </w:r>
          </w:p>
        </w:tc>
      </w:tr>
      <w:tr>
        <w:tc>
          <w:tcPr>
            <w:tcW w:type="dxa" w:w="3024"/>
            <w:shd w:val="clear" w:color="auto" w:fill="FFFFFF"/>
          </w:tcPr>
          <w:p>
            <w:pPr>
              <w:spacing w:before="80" w:after="80"/>
            </w:pPr>
            <w:r>
              <w:rPr>
                <w:b/>
                <w:color w:val="0F2140"/>
                <w:sz w:val="19"/>
              </w:rPr>
              <w:t>Too dependent on 1–2 customers</w:t>
              <w:br/>
              <w:t>(R-COM-2)</w:t>
            </w:r>
          </w:p>
        </w:tc>
        <w:tc>
          <w:tcPr>
            <w:tcW w:type="dxa" w:w="3024"/>
            <w:shd w:val="clear" w:color="auto" w:fill="FFFFFF"/>
          </w:tcPr>
          <w:p>
            <w:pPr>
              <w:spacing w:before="80" w:after="80"/>
            </w:pPr>
            <w:r>
              <w:rPr>
                <w:color w:val="2D3748"/>
                <w:sz w:val="19"/>
              </w:rPr>
              <w:t>If our first 2 customers are 80% of revenue, losing one is catastrophic</w:t>
            </w:r>
          </w:p>
        </w:tc>
        <w:tc>
          <w:tcPr>
            <w:tcW w:type="dxa" w:w="3024"/>
            <w:shd w:val="clear" w:color="auto" w:fill="FFFFFF"/>
          </w:tcPr>
          <w:p>
            <w:pPr>
              <w:spacing w:before="80" w:after="80"/>
            </w:pPr>
            <w:r>
              <w:rPr>
                <w:color w:val="2D3748"/>
                <w:sz w:val="19"/>
              </w:rPr>
              <w:t>Run 3 pilots simultaneously. No single customer to exceed 30% of our revenue.</w:t>
            </w:r>
          </w:p>
        </w:tc>
      </w:tr>
      <w:tr>
        <w:tc>
          <w:tcPr>
            <w:tcW w:type="dxa" w:w="3024"/>
            <w:shd w:val="clear" w:color="auto" w:fill="EFF6FF"/>
          </w:tcPr>
          <w:p>
            <w:pPr>
              <w:spacing w:before="80" w:after="80"/>
            </w:pPr>
            <w:r>
              <w:rPr>
                <w:b/>
                <w:color w:val="0F2140"/>
                <w:sz w:val="19"/>
              </w:rPr>
              <w:t>Big competitors copy us</w:t>
              <w:br/>
              <w:t>(R-COM-3)</w:t>
            </w:r>
          </w:p>
        </w:tc>
        <w:tc>
          <w:tcPr>
            <w:tcW w:type="dxa" w:w="3024"/>
            <w:shd w:val="clear" w:color="auto" w:fill="EFF6FF"/>
          </w:tcPr>
          <w:p>
            <w:pPr>
              <w:spacing w:before="80" w:after="80"/>
            </w:pPr>
            <w:r>
              <w:rPr>
                <w:color w:val="2D3748"/>
                <w:sz w:val="19"/>
              </w:rPr>
              <w:t>Oracle or Refinitiv adds an AI rationale feature and undercuts our differentiation</w:t>
            </w:r>
          </w:p>
        </w:tc>
        <w:tc>
          <w:tcPr>
            <w:tcW w:type="dxa" w:w="3024"/>
            <w:shd w:val="clear" w:color="auto" w:fill="EFF6FF"/>
          </w:tcPr>
          <w:p>
            <w:pPr>
              <w:spacing w:before="80" w:after="80"/>
            </w:pPr>
            <w:r>
              <w:rPr>
                <w:color w:val="2D3748"/>
                <w:sz w:val="19"/>
              </w:rPr>
              <w:t>Speed is our defence — get 10 paying Indian customers before incumbents notice. India-specific regulatory depth takes years to replicate.</w:t>
            </w:r>
          </w:p>
        </w:tc>
      </w:tr>
      <w:tr>
        <w:tc>
          <w:tcPr>
            <w:tcW w:type="dxa" w:w="3024"/>
            <w:shd w:val="clear" w:color="auto" w:fill="FFFFFF"/>
          </w:tcPr>
          <w:p>
            <w:pPr>
              <w:spacing w:before="80" w:after="80"/>
            </w:pPr>
            <w:r>
              <w:rPr>
                <w:b/>
                <w:color w:val="0F2140"/>
                <w:sz w:val="19"/>
              </w:rPr>
              <w:t>Budget freezes</w:t>
              <w:br/>
              <w:t>(R-COM-4)</w:t>
            </w:r>
          </w:p>
        </w:tc>
        <w:tc>
          <w:tcPr>
            <w:tcW w:type="dxa" w:w="3024"/>
            <w:shd w:val="clear" w:color="auto" w:fill="FFFFFF"/>
          </w:tcPr>
          <w:p>
            <w:pPr>
              <w:spacing w:before="80" w:after="80"/>
            </w:pPr>
            <w:r>
              <w:rPr>
                <w:color w:val="2D3748"/>
                <w:sz w:val="19"/>
              </w:rPr>
              <w:t>Customers cut compliance software budgets</w:t>
            </w:r>
          </w:p>
        </w:tc>
        <w:tc>
          <w:tcPr>
            <w:tcW w:type="dxa" w:w="3024"/>
            <w:shd w:val="clear" w:color="auto" w:fill="FFFFFF"/>
          </w:tcPr>
          <w:p>
            <w:pPr>
              <w:spacing w:before="80" w:after="80"/>
            </w:pPr>
            <w:r>
              <w:rPr>
                <w:color w:val="2D3748"/>
                <w:sz w:val="19"/>
              </w:rPr>
              <w:t>Compliance screening is legally mandatory — it is not a discretionary purchase. The risk is lower than for most B2B software.</w:t>
            </w:r>
          </w:p>
        </w:tc>
      </w:tr>
    </w:tbl>
    <w:p/>
    <w:p>
      <w:pPr>
        <w:spacing w:before="240" w:after="80"/>
      </w:pPr>
      <w:r>
        <w:rPr>
          <w:b/>
          <w:color w:val="0F2140"/>
          <w:sz w:val="24"/>
        </w:rPr>
        <w:t>Reputational Risks</w:t>
      </w:r>
    </w:p>
    <w:p>
      <w:pPr>
        <w:spacing w:before="160" w:after="60"/>
      </w:pPr>
      <w:r>
        <w:rPr>
          <w:b/>
          <w:color w:val="00C2A8"/>
          <w:sz w:val="21"/>
        </w:rPr>
        <w:t>Could someone think our demo product is production-ready? (R-REP-1)</w:t>
      </w:r>
    </w:p>
    <w:p>
      <w:pPr>
        <w:spacing w:before="20" w:after="100"/>
      </w:pPr>
      <w:r>
        <w:rPr>
          <w:color w:val="2D3748"/>
          <w:sz w:val="20"/>
        </w:rPr>
        <w:t>Every screen in the product carries a "Demo Environment" banner. Every recommendation has a "synthetic data" label. Our sales language is explicit: ScreenDesk is a validated architecture demo today; the production version integrates live watchlists and ships within 6 months.</w:t>
      </w:r>
    </w:p>
    <w:p>
      <w:pPr>
        <w:spacing w:before="160" w:after="60"/>
      </w:pPr>
      <w:r>
        <w:rPr>
          <w:b/>
          <w:color w:val="00C2A8"/>
          <w:sz w:val="21"/>
        </w:rPr>
        <w:t>Could a customer think "Approve" means the regulator cleared the payment? (R-REP-2)</w:t>
      </w:r>
    </w:p>
    <w:p>
      <w:pPr>
        <w:spacing w:before="20" w:after="100"/>
      </w:pPr>
      <w:r>
        <w:rPr>
          <w:color w:val="2D3748"/>
          <w:sz w:val="20"/>
        </w:rPr>
        <w:t>"Approve" in ScreenDesk is a recommendation to the analyst — not a regulatory clearance. This distinction is built into the product: the word "recommendation" always appears before the decision, and "action taken" always labels what the analyst chose. Every enterprise contract includes a clause making clear that the customer's compliance officer retains full responsibility for every decision.</w:t>
      </w:r>
    </w:p>
    <w:p>
      <w:r>
        <w:br w:type="page"/>
      </w:r>
    </w:p>
    <w:p>
      <w:pPr>
        <w:spacing w:before="240" w:after="80"/>
      </w:pPr>
      <w:r>
        <w:rPr>
          <w:b/>
          <w:color w:val="0F2140"/>
          <w:sz w:val="28"/>
        </w:rPr>
        <w:t>What Matters Most — A One-Page Summary</w:t>
      </w:r>
    </w:p>
    <w:p>
      <w:pPr>
        <w:pBdr>
          <w:bottom w:val="single" w:sz="6" w:space="1" w:color="00C2A8"/>
        </w:pBdr>
        <w:spacing w:before="60" w:after="100"/>
      </w:pPr>
    </w:p>
    <w:p>
      <w:pPr>
        <w:spacing w:before="20" w:after="100"/>
      </w:pPr>
      <w:r>
        <w:rPr>
          <w:color w:val="2D3748"/>
          <w:sz w:val="20"/>
        </w:rPr>
        <w:t>If you read only one page of this document, read this one.</w:t>
      </w:r>
    </w:p>
    <w:tbl>
      <w:tblPr>
        <w:tblW w:type="auto" w:w="0"/>
        <w:jc w:val="center"/>
        <w:tblLook w:firstColumn="1" w:firstRow="1" w:lastColumn="0" w:lastRow="0" w:noHBand="0" w:noVBand="1" w:val="04A0"/>
      </w:tblPr>
      <w:tblGrid>
        <w:gridCol w:w="4536"/>
        <w:gridCol w:w="4536"/>
      </w:tblGrid>
      <w:tr>
        <w:tc>
          <w:tcPr>
            <w:tcW w:type="dxa" w:w="648"/>
            <w:shd w:val="clear" w:color="auto" w:fill="00C2A8"/>
          </w:tcPr>
          <w:p>
            <w:pPr>
              <w:spacing w:before="280" w:after="280"/>
              <w:jc w:val="center"/>
            </w:pPr>
            <w:r>
              <w:rPr>
                <w:b/>
                <w:color w:val="FFFFFF"/>
                <w:sz w:val="36"/>
              </w:rPr>
              <w:t>1</w:t>
            </w:r>
          </w:p>
        </w:tc>
        <w:tc>
          <w:tcPr>
            <w:tcW w:type="dxa" w:w="4536"/>
            <w:shd w:val="clear" w:color="auto" w:fill="F0F9FF"/>
          </w:tcPr>
          <w:p>
            <w:pPr>
              <w:spacing w:before="160" w:after="40"/>
              <w:ind w:left="144"/>
            </w:pPr>
            <w:r>
              <w:rPr>
                <w:b/>
                <w:color w:val="0F2140"/>
                <w:sz w:val="21"/>
              </w:rPr>
              <w:t>The opportunity is real and underserved.</w:t>
            </w:r>
          </w:p>
          <w:p>
            <w:pPr>
              <w:spacing w:before="0" w:after="160"/>
              <w:ind w:left="144"/>
            </w:pPr>
            <w:r>
              <w:rPr>
                <w:color w:val="2D3748"/>
                <w:sz w:val="19"/>
              </w:rPr>
              <w:t>Thousands of Indian fintechs must do sanctions screening every day. None of them has a purpose-built tool. They use spreadsheets, emails, and ad-hoc database searches. ScreenDesk is the first product built specifically for their workflow and regulatory context.</w:t>
            </w:r>
          </w:p>
        </w:tc>
      </w:tr>
    </w:tbl>
    <w:p/>
    <w:tbl>
      <w:tblPr>
        <w:tblW w:type="auto" w:w="0"/>
        <w:jc w:val="center"/>
        <w:tblLook w:firstColumn="1" w:firstRow="1" w:lastColumn="0" w:lastRow="0" w:noHBand="0" w:noVBand="1" w:val="04A0"/>
      </w:tblPr>
      <w:tblGrid>
        <w:gridCol w:w="4536"/>
        <w:gridCol w:w="4536"/>
      </w:tblGrid>
      <w:tr>
        <w:tc>
          <w:tcPr>
            <w:tcW w:type="dxa" w:w="648"/>
            <w:shd w:val="clear" w:color="auto" w:fill="00C2A8"/>
          </w:tcPr>
          <w:p>
            <w:pPr>
              <w:spacing w:before="280" w:after="280"/>
              <w:jc w:val="center"/>
            </w:pPr>
            <w:r>
              <w:rPr>
                <w:b/>
                <w:color w:val="FFFFFF"/>
                <w:sz w:val="36"/>
              </w:rPr>
              <w:t>2</w:t>
            </w:r>
          </w:p>
        </w:tc>
        <w:tc>
          <w:tcPr>
            <w:tcW w:type="dxa" w:w="4536"/>
            <w:shd w:val="clear" w:color="auto" w:fill="F0F9FF"/>
          </w:tcPr>
          <w:p>
            <w:pPr>
              <w:spacing w:before="160" w:after="40"/>
              <w:ind w:left="144"/>
            </w:pPr>
            <w:r>
              <w:rPr>
                <w:b/>
                <w:color w:val="0F2140"/>
                <w:sz w:val="21"/>
              </w:rPr>
              <w:t>The architecture is already built and tested.</w:t>
            </w:r>
          </w:p>
          <w:p>
            <w:pPr>
              <w:spacing w:before="0" w:after="160"/>
              <w:ind w:left="144"/>
            </w:pPr>
            <w:r>
              <w:rPr>
                <w:color w:val="2D3748"/>
                <w:sz w:val="19"/>
              </w:rPr>
              <w:t>155 automated tests verify that the system behaves correctly: the AI never overrides the human, a sanctions fail always escalates, and every decision is documented on an append-only audit trail. These are not policies — they are structural constraints in the code.</w:t>
            </w:r>
          </w:p>
        </w:tc>
      </w:tr>
    </w:tbl>
    <w:p/>
    <w:tbl>
      <w:tblPr>
        <w:tblW w:type="auto" w:w="0"/>
        <w:jc w:val="center"/>
        <w:tblLook w:firstColumn="1" w:firstRow="1" w:lastColumn="0" w:lastRow="0" w:noHBand="0" w:noVBand="1" w:val="04A0"/>
      </w:tblPr>
      <w:tblGrid>
        <w:gridCol w:w="4536"/>
        <w:gridCol w:w="4536"/>
      </w:tblGrid>
      <w:tr>
        <w:tc>
          <w:tcPr>
            <w:tcW w:type="dxa" w:w="648"/>
            <w:shd w:val="clear" w:color="auto" w:fill="00C2A8"/>
          </w:tcPr>
          <w:p>
            <w:pPr>
              <w:spacing w:before="280" w:after="280"/>
              <w:jc w:val="center"/>
            </w:pPr>
            <w:r>
              <w:rPr>
                <w:b/>
                <w:color w:val="FFFFFF"/>
                <w:sz w:val="36"/>
              </w:rPr>
              <w:t>3</w:t>
            </w:r>
          </w:p>
        </w:tc>
        <w:tc>
          <w:tcPr>
            <w:tcW w:type="dxa" w:w="4536"/>
            <w:shd w:val="clear" w:color="auto" w:fill="F0F9FF"/>
          </w:tcPr>
          <w:p>
            <w:pPr>
              <w:spacing w:before="160" w:after="40"/>
              <w:ind w:left="144"/>
            </w:pPr>
            <w:r>
              <w:rPr>
                <w:b/>
                <w:color w:val="0F2140"/>
                <w:sz w:val="21"/>
              </w:rPr>
              <w:t>Three things must be fixed before we charge anyone.</w:t>
            </w:r>
          </w:p>
          <w:p>
            <w:pPr>
              <w:spacing w:before="0" w:after="160"/>
              <w:ind w:left="144"/>
            </w:pPr>
            <w:r>
              <w:rPr>
                <w:color w:val="2D3748"/>
                <w:sz w:val="19"/>
              </w:rPr>
              <w:t>Live watchlist feeds, a proper login system, and a production web server. All three are engineering tasks (not design problems) with a combined timeline of 4–6 weeks. We have been transparent about these gaps from the start.</w:t>
            </w:r>
          </w:p>
        </w:tc>
      </w:tr>
    </w:tbl>
    <w:p/>
    <w:tbl>
      <w:tblPr>
        <w:tblW w:type="auto" w:w="0"/>
        <w:jc w:val="center"/>
        <w:tblLook w:firstColumn="1" w:firstRow="1" w:lastColumn="0" w:lastRow="0" w:noHBand="0" w:noVBand="1" w:val="04A0"/>
      </w:tblPr>
      <w:tblGrid>
        <w:gridCol w:w="4536"/>
        <w:gridCol w:w="4536"/>
      </w:tblGrid>
      <w:tr>
        <w:tc>
          <w:tcPr>
            <w:tcW w:type="dxa" w:w="648"/>
            <w:shd w:val="clear" w:color="auto" w:fill="00C2A8"/>
          </w:tcPr>
          <w:p>
            <w:pPr>
              <w:spacing w:before="280" w:after="280"/>
              <w:jc w:val="center"/>
            </w:pPr>
            <w:r>
              <w:rPr>
                <w:b/>
                <w:color w:val="FFFFFF"/>
                <w:sz w:val="36"/>
              </w:rPr>
              <w:t>4</w:t>
            </w:r>
          </w:p>
        </w:tc>
        <w:tc>
          <w:tcPr>
            <w:tcW w:type="dxa" w:w="4536"/>
            <w:shd w:val="clear" w:color="auto" w:fill="F0F9FF"/>
          </w:tcPr>
          <w:p>
            <w:pPr>
              <w:spacing w:before="160" w:after="40"/>
              <w:ind w:left="144"/>
            </w:pPr>
            <w:r>
              <w:rPr>
                <w:b/>
                <w:color w:val="0F2140"/>
                <w:sz w:val="21"/>
              </w:rPr>
              <w:t>The pricing is simple and the growth path is clear.</w:t>
            </w:r>
          </w:p>
          <w:p>
            <w:pPr>
              <w:spacing w:before="0" w:after="160"/>
              <w:ind w:left="144"/>
            </w:pPr>
            <w:r>
              <w:rPr>
                <w:color w:val="2D3748"/>
                <w:sz w:val="19"/>
              </w:rPr>
              <w:t>₹12,000–15,000 per analyst per month. Start with two mandatory checks. Expand to four checks and more seats as the customer grows. Three design-partner pilots free for 60–90 days; target 2 of 3 to convert to paid.</w:t>
            </w:r>
          </w:p>
        </w:tc>
      </w:tr>
    </w:tbl>
    <w:p/>
    <w:tbl>
      <w:tblPr>
        <w:tblW w:type="auto" w:w="0"/>
        <w:jc w:val="center"/>
        <w:tblLook w:firstColumn="1" w:firstRow="1" w:lastColumn="0" w:lastRow="0" w:noHBand="0" w:noVBand="1" w:val="04A0"/>
      </w:tblPr>
      <w:tblGrid>
        <w:gridCol w:w="4536"/>
        <w:gridCol w:w="4536"/>
      </w:tblGrid>
      <w:tr>
        <w:tc>
          <w:tcPr>
            <w:tcW w:type="dxa" w:w="648"/>
            <w:shd w:val="clear" w:color="auto" w:fill="00C2A8"/>
          </w:tcPr>
          <w:p>
            <w:pPr>
              <w:spacing w:before="280" w:after="280"/>
              <w:jc w:val="center"/>
            </w:pPr>
            <w:r>
              <w:rPr>
                <w:b/>
                <w:color w:val="FFFFFF"/>
                <w:sz w:val="36"/>
              </w:rPr>
              <w:t>5</w:t>
            </w:r>
          </w:p>
        </w:tc>
        <w:tc>
          <w:tcPr>
            <w:tcW w:type="dxa" w:w="4536"/>
            <w:shd w:val="clear" w:color="auto" w:fill="F0F9FF"/>
          </w:tcPr>
          <w:p>
            <w:pPr>
              <w:spacing w:before="160" w:after="40"/>
              <w:ind w:left="144"/>
            </w:pPr>
            <w:r>
              <w:rPr>
                <w:b/>
                <w:color w:val="0F2140"/>
                <w:sz w:val="21"/>
              </w:rPr>
              <w:t>"The AI drafts. The analyst decides." — and that is the whole product philosophy.</w:t>
            </w:r>
          </w:p>
          <w:p>
            <w:pPr>
              <w:spacing w:before="0" w:after="160"/>
              <w:ind w:left="144"/>
            </w:pPr>
            <w:r>
              <w:rPr>
                <w:color w:val="2D3748"/>
                <w:sz w:val="19"/>
              </w:rPr>
              <w:t>Every design choice in ScreenDesk comes back to this: AI handles the mechanical work (matching, scoring, drafting); the analyst retains judgment and accountability; and the regulator sees a complete, auditable record of every decision ever made.</w:t>
            </w:r>
          </w:p>
        </w:tc>
      </w:tr>
    </w:tbl>
    <w:p/>
    <w:p>
      <w:pPr>
        <w:pBdr>
          <w:bottom w:val="single" w:sz="6" w:space="1" w:color="00C2A8"/>
        </w:pBdr>
        <w:spacing w:before="60" w:after="100"/>
      </w:pPr>
    </w:p>
    <w:p>
      <w:pPr>
        <w:jc w:val="center"/>
      </w:pPr>
      <w:r>
        <w:rPr>
          <w:color w:val="9AA5B4"/>
          <w:sz w:val="16"/>
        </w:rPr>
        <w:t>Consolidated executive summary — TradePe / ScreenDesk Go-to-Market Strategy. All data is synthetic; no real individuals, entities, or financial transactions are represented. IIM Calcutta Group 2 Capstone, July 2026.</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