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0"/>
        <w:jc w:val="center"/>
      </w:pPr>
      <w:r>
        <w:rPr>
          <w:rFonts w:ascii="Calibri" w:cs="Calibri" w:eastAsia="Calibri" w:hAnsi="Calibri"/>
          <w:b/>
          <w:bCs/>
          <w:color w:val="F04E10"/>
          <w:spacing w:val="60"/>
          <w:sz w:val="22"/>
          <w:szCs w:val="22"/>
        </w:rPr>
        <w:t xml:space="preserve">CAPSTONE PROJECT REPORT</w:t>
      </w:r>
    </w:p>
    <w:p>
      <w:pPr>
        <w:spacing w:after="120"/>
        <w:jc w:val="center"/>
      </w:pPr>
      <w:r>
        <w:rPr>
          <w:rFonts w:ascii="Calibri" w:cs="Calibri" w:eastAsia="Calibri" w:hAnsi="Calibri"/>
          <w:b/>
          <w:bCs/>
          <w:color w:val="16161A"/>
          <w:sz w:val="72"/>
          <w:szCs w:val="72"/>
        </w:rPr>
        <w:t xml:space="preserve">IntentFlow</w:t>
      </w:r>
    </w:p>
    <w:p>
      <w:pPr>
        <w:spacing w:after="80"/>
        <w:jc w:val="center"/>
      </w:pPr>
      <w:r>
        <w:rPr>
          <w:rFonts w:ascii="Calibri" w:cs="Calibri" w:eastAsia="Calibri" w:hAnsi="Calibri"/>
          <w:color w:val="3A3A42"/>
          <w:sz w:val="28"/>
          <w:szCs w:val="28"/>
        </w:rPr>
        <w:t xml:space="preserve">An AI-First CMS with Autonomous Experimentation</w:t>
      </w:r>
    </w:p>
    <w:p>
      <w:pPr>
        <w:spacing w:after="600"/>
        <w:jc w:val="center"/>
      </w:pPr>
      <w:r>
        <w:rPr>
          <w:rFonts w:ascii="Calibri" w:cs="Calibri" w:eastAsia="Calibri" w:hAnsi="Calibri"/>
          <w:i/>
          <w:iCs/>
          <w:color w:val="F04E10"/>
          <w:sz w:val="24"/>
          <w:szCs w:val="24"/>
        </w:rPr>
        <w:t xml:space="preserve">"Intent in. Outcomes out."</w:t>
      </w:r>
    </w:p>
    <w:p>
      <w:pPr>
        <w:spacing w:after="60"/>
        <w:jc w:val="center"/>
      </w:pPr>
      <w:r>
        <w:rPr>
          <w:rFonts w:ascii="Calibri" w:cs="Calibri" w:eastAsia="Calibri" w:hAnsi="Calibri"/>
          <w:color w:val="16161A"/>
          <w:sz w:val="22"/>
          <w:szCs w:val="22"/>
        </w:rPr>
        <w:t xml:space="preserve">From Market Research to Go-To-Market: The Complete Build Story</w:t>
      </w:r>
    </w:p>
    <w:p>
      <w:pPr>
        <w:spacing w:after="900"/>
        <w:jc w:val="center"/>
      </w:pPr>
      <w:r>
        <w:rPr>
          <w:rFonts w:ascii="Calibri" w:cs="Calibri" w:eastAsia="Calibri" w:hAnsi="Calibri"/>
          <w:color w:val="6E6E78"/>
          <w:sz w:val="20"/>
          <w:szCs w:val="20"/>
        </w:rPr>
        <w:t xml:space="preserve">Phases 1–3 delivered · Working software · AI-assisted end to end</w:t>
      </w:r>
    </w:p>
    <w:p>
      <w:pPr>
        <w:spacing w:after="60"/>
        <w:jc w:val="center"/>
      </w:pPr>
      <w:r>
        <w:rPr>
          <w:rFonts w:ascii="Calibri" w:cs="Calibri" w:eastAsia="Calibri" w:hAnsi="Calibri"/>
          <w:b/>
          <w:bCs/>
          <w:color w:val="16161A"/>
          <w:sz w:val="22"/>
          <w:szCs w:val="22"/>
        </w:rPr>
        <w:t xml:space="preserve">Prepared by Working Group 3 (WG-3)</w:t>
      </w:r>
    </w:p>
    <w:p>
      <w:pPr>
        <w:spacing w:after="60"/>
        <w:jc w:val="center"/>
      </w:pPr>
      <w:r>
        <w:rPr>
          <w:rFonts w:ascii="Calibri" w:cs="Calibri" w:eastAsia="Calibri" w:hAnsi="Calibri"/>
          <w:color w:val="6E6E78"/>
          <w:sz w:val="20"/>
          <w:szCs w:val="20"/>
        </w:rPr>
        <w:t xml:space="preserve">Capstone Project — Group 3</w:t>
      </w:r>
    </w:p>
    <w:p>
      <w:pPr>
        <w:spacing w:after="0"/>
        <w:jc w:val="center"/>
      </w:pPr>
      <w:r>
        <w:rPr>
          <w:rFonts w:ascii="Calibri" w:cs="Calibri" w:eastAsia="Calibri" w:hAnsi="Calibri"/>
          <w:color w:val="6E6E78"/>
          <w:sz w:val="20"/>
          <w:szCs w:val="20"/>
        </w:rPr>
        <w:t xml:space="preserve">6 August 2026</w:t>
      </w:r>
    </w:p>
    <w:p>
      <w:r>
        <w:br w:type="page"/>
      </w:r>
    </w:p>
    <w:p>
      <w:pPr>
        <w:pStyle w:val="Heading1"/>
        <w:spacing w:after="160" w:before="360"/>
      </w:pPr>
      <w:r>
        <w:rPr>
          <w:rFonts w:ascii="Calibri" w:cs="Calibri" w:eastAsia="Calibri" w:hAnsi="Calibri"/>
          <w:b/>
          <w:bCs/>
          <w:color w:val="16161A"/>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6161A"/>
          <w:sz w:val="30"/>
          <w:szCs w:val="30"/>
        </w:rPr>
        <w:t xml:space="preserve">1. Executive Summary</w:t>
      </w:r>
    </w:p>
    <w:p>
      <w:pPr>
        <w:spacing w:after="120" w:line="276"/>
      </w:pPr>
      <w:r>
        <w:rPr>
          <w:rFonts w:ascii="Calibri" w:cs="Calibri" w:eastAsia="Calibri" w:hAnsi="Calibri"/>
          <w:color w:val="16161A"/>
          <w:sz w:val="21"/>
          <w:szCs w:val="21"/>
        </w:rPr>
        <w:t xml:space="preserve">IntentFlow is an AI-first content management system with native, closed-loop A/B and multivariate experimentation. A marketer states a goal in plain language — "Launch a spring promo for mid-market SaaS CFOs, goal: 500 demo signups, budget $20k" — and the platform generates a campaign brief, builds a landing page from typed content blocks, proposes and runs statistically rigorous experiments, and writes every result back into a shared Campaign Memory so later campaigns start smarter than earlier ones.</w:t>
      </w:r>
    </w:p>
    <w:p>
      <w:pPr>
        <w:spacing w:after="120" w:line="276"/>
      </w:pPr>
      <w:r>
        <w:rPr>
          <w:rFonts w:ascii="Calibri" w:cs="Calibri" w:eastAsia="Calibri" w:hAnsi="Calibri"/>
          <w:color w:val="16161A"/>
          <w:sz w:val="21"/>
          <w:szCs w:val="21"/>
        </w:rPr>
        <w:t xml:space="preserve">This report documents the complete arc of the project: how the market was researched, how user pain was converted into a prioritized requirement set, how a core value proposition was derived and stress-tested, how the product was prototyped, how it was built as working software, and how it would be taken to market. It is deliberately a process report as much as a product report — at every phase, AI was not an accessory but the primary research analyst, design partner, and engineering pair, and the prompts that drove each phase are documented alongside the outputs they produced.</w:t>
      </w:r>
    </w:p>
    <w:p>
      <w:pPr>
        <w:pStyle w:val="Heading3"/>
        <w:spacing w:after="100" w:before="200"/>
      </w:pPr>
      <w:r>
        <w:rPr>
          <w:rFonts w:ascii="Calibri" w:cs="Calibri" w:eastAsia="Calibri" w:hAnsi="Calibri"/>
          <w:b/>
          <w:bCs/>
          <w:color w:val="F04E10"/>
          <w:sz w:val="22"/>
          <w:szCs w:val="22"/>
        </w:rPr>
        <w:t xml:space="preserve">What was actually built</w:t>
      </w:r>
    </w:p>
    <w:p>
      <w:pPr>
        <w:spacing w:after="120" w:line="276"/>
      </w:pPr>
      <w:r>
        <w:rPr>
          <w:rFonts w:ascii="Calibri" w:cs="Calibri" w:eastAsia="Calibri" w:hAnsi="Calibri"/>
          <w:color w:val="16161A"/>
          <w:sz w:val="21"/>
          <w:szCs w:val="21"/>
        </w:rPr>
        <w:t xml:space="preserve">Unlike a proposal, this project produced running software with automated tests. Phase 1 (intent-to-page MVP) is complete; all four slices of Phase 2 (Experiment Studio, live delivery, Analytics Copilot and Approvals, and Site Experiments) are complete; and two slices of Phase 3 (Campaign Memory, and Users/Roles/RBAC) are complete.</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Metric</w:t>
            </w:r>
          </w:p>
        </w:tc>
        <w:tc>
          <w:tcPr>
            <w:tcW w:type="dxa" w:w="61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Value</w:t>
            </w:r>
          </w:p>
        </w:tc>
      </w:tr>
      <w:tr>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Phases delivered</w:t>
            </w:r>
          </w:p>
        </w:tc>
        <w:tc>
          <w:tcPr>
            <w:tcW w:type="dxa" w:w="6100"/>
            <w:tcMar>
              <w:top w:type="dxa" w:w="80"/>
              <w:left w:type="dxa" w:w="120"/>
              <w:bottom w:type="dxa" w:w="80"/>
              <w:right w:type="dxa" w:w="120"/>
            </w:tcMar>
          </w:tcPr>
          <w:p>
            <w:pPr>
              <w:spacing w:after="0"/>
            </w:pPr>
            <w:r>
              <w:rPr>
                <w:rFonts w:ascii="Calibri" w:cs="Calibri" w:eastAsia="Calibri" w:hAnsi="Calibri"/>
                <w:color w:val="16161A"/>
                <w:sz w:val="19"/>
                <w:szCs w:val="19"/>
              </w:rPr>
              <w:t xml:space="preserve">Phase 1 complete · Phase 2 (4 of 4 slices) · Phase 3 (2 slices)</w:t>
            </w:r>
          </w:p>
        </w:tc>
      </w:tr>
      <w:tr>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Production TypeScript</w:t>
            </w:r>
          </w:p>
        </w:tc>
        <w:tc>
          <w:tcPr>
            <w:tcW w:type="dxa" w:w="6100"/>
            <w:tcMar>
              <w:top w:type="dxa" w:w="80"/>
              <w:left w:type="dxa" w:w="120"/>
              <w:bottom w:type="dxa" w:w="80"/>
              <w:right w:type="dxa" w:w="120"/>
            </w:tcMar>
          </w:tcPr>
          <w:p>
            <w:pPr>
              <w:spacing w:after="0"/>
            </w:pPr>
            <w:r>
              <w:rPr>
                <w:rFonts w:ascii="Calibri" w:cs="Calibri" w:eastAsia="Calibri" w:hAnsi="Calibri"/>
                <w:color w:val="16161A"/>
                <w:sz w:val="19"/>
                <w:szCs w:val="19"/>
              </w:rPr>
              <w:t xml:space="preserve">~8,700 lines across 6 shared packages, 6 AI agents, 2 applications</w:t>
            </w:r>
          </w:p>
        </w:tc>
      </w:tr>
      <w:tr>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Database entities</w:t>
            </w:r>
          </w:p>
        </w:tc>
        <w:tc>
          <w:tcPr>
            <w:tcW w:type="dxa" w:w="6100"/>
            <w:tcMar>
              <w:top w:type="dxa" w:w="80"/>
              <w:left w:type="dxa" w:w="120"/>
              <w:bottom w:type="dxa" w:w="80"/>
              <w:right w:type="dxa" w:w="120"/>
            </w:tcMar>
          </w:tcPr>
          <w:p>
            <w:pPr>
              <w:spacing w:after="0"/>
            </w:pPr>
            <w:r>
              <w:rPr>
                <w:rFonts w:ascii="Calibri" w:cs="Calibri" w:eastAsia="Calibri" w:hAnsi="Calibri"/>
                <w:color w:val="16161A"/>
                <w:sz w:val="19"/>
                <w:szCs w:val="19"/>
              </w:rPr>
              <w:t xml:space="preserve">21 Prisma models</w:t>
            </w:r>
          </w:p>
        </w:tc>
      </w:tr>
      <w:tr>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REST API surface</w:t>
            </w:r>
          </w:p>
        </w:tc>
        <w:tc>
          <w:tcPr>
            <w:tcW w:type="dxa" w:w="6100"/>
            <w:tcMar>
              <w:top w:type="dxa" w:w="80"/>
              <w:left w:type="dxa" w:w="120"/>
              <w:bottom w:type="dxa" w:w="80"/>
              <w:right w:type="dxa" w:w="120"/>
            </w:tcMar>
          </w:tcPr>
          <w:p>
            <w:pPr>
              <w:spacing w:after="0"/>
            </w:pPr>
            <w:r>
              <w:rPr>
                <w:rFonts w:ascii="Calibri" w:cs="Calibri" w:eastAsia="Calibri" w:hAnsi="Calibri"/>
                <w:color w:val="16161A"/>
                <w:sz w:val="19"/>
                <w:szCs w:val="19"/>
              </w:rPr>
              <w:t xml:space="preserve">36 endpoints across 9 modules</w:t>
            </w:r>
          </w:p>
        </w:tc>
      </w:tr>
      <w:tr>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Automated checks</w:t>
            </w:r>
          </w:p>
        </w:tc>
        <w:tc>
          <w:tcPr>
            <w:tcW w:type="dxa" w:w="6100"/>
            <w:tcMar>
              <w:top w:type="dxa" w:w="80"/>
              <w:left w:type="dxa" w:w="120"/>
              <w:bottom w:type="dxa" w:w="80"/>
              <w:right w:type="dxa" w:w="120"/>
            </w:tcMar>
          </w:tcPr>
          <w:p>
            <w:pPr>
              <w:spacing w:after="0"/>
            </w:pPr>
            <w:r>
              <w:rPr>
                <w:rFonts w:ascii="Calibri" w:cs="Calibri" w:eastAsia="Calibri" w:hAnsi="Calibri"/>
                <w:color w:val="16161A"/>
                <w:sz w:val="19"/>
                <w:szCs w:val="19"/>
              </w:rPr>
              <w:t xml:space="preserve">84 unit tests + 84 end-to-end assertions = 168 total, all passing</w:t>
            </w:r>
          </w:p>
        </w:tc>
      </w:tr>
      <w:tr>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Architecture Decision Records</w:t>
            </w:r>
          </w:p>
        </w:tc>
        <w:tc>
          <w:tcPr>
            <w:tcW w:type="dxa" w:w="6100"/>
            <w:tcMar>
              <w:top w:type="dxa" w:w="80"/>
              <w:left w:type="dxa" w:w="120"/>
              <w:bottom w:type="dxa" w:w="80"/>
              <w:right w:type="dxa" w:w="120"/>
            </w:tcMar>
          </w:tcPr>
          <w:p>
            <w:pPr>
              <w:spacing w:after="0"/>
            </w:pPr>
            <w:r>
              <w:rPr>
                <w:rFonts w:ascii="Calibri" w:cs="Calibri" w:eastAsia="Calibri" w:hAnsi="Calibri"/>
                <w:color w:val="16161A"/>
                <w:sz w:val="19"/>
                <w:szCs w:val="19"/>
              </w:rPr>
              <w:t xml:space="preserve">7 — every non-obvious tradeoff written down and dated</w:t>
            </w:r>
          </w:p>
        </w:tc>
      </w:tr>
      <w:tr>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Product Requirement Documents</w:t>
            </w:r>
          </w:p>
        </w:tc>
        <w:tc>
          <w:tcPr>
            <w:tcW w:type="dxa" w:w="6100"/>
            <w:tcMar>
              <w:top w:type="dxa" w:w="80"/>
              <w:left w:type="dxa" w:w="120"/>
              <w:bottom w:type="dxa" w:w="80"/>
              <w:right w:type="dxa" w:w="120"/>
            </w:tcMar>
          </w:tcPr>
          <w:p>
            <w:pPr>
              <w:spacing w:after="0"/>
            </w:pPr>
            <w:r>
              <w:rPr>
                <w:rFonts w:ascii="Calibri" w:cs="Calibri" w:eastAsia="Calibri" w:hAnsi="Calibri"/>
                <w:color w:val="16161A"/>
                <w:sz w:val="19"/>
                <w:szCs w:val="19"/>
              </w:rPr>
              <w:t xml:space="preserve">7 — one per delivered slice, each with explicit out-of-scope</w:t>
            </w:r>
          </w:p>
        </w:tc>
      </w:tr>
    </w:tbl>
    <w:p>
      <w:pPr>
        <w:spacing w:after="120"/>
      </w:pPr>
      <w:r>
        <w:rPr>
          <w:sz w:val="12"/>
          <w:szCs w:val="12"/>
        </w:rPr>
        <w:t xml:space="preserve"/>
      </w:r>
    </w:p>
    <w:p>
      <w:pPr>
        <w:pStyle w:val="Heading3"/>
        <w:spacing w:after="100" w:before="200"/>
      </w:pPr>
      <w:r>
        <w:rPr>
          <w:rFonts w:ascii="Calibri" w:cs="Calibri" w:eastAsia="Calibri" w:hAnsi="Calibri"/>
          <w:b/>
          <w:bCs/>
          <w:color w:val="F04E10"/>
          <w:sz w:val="22"/>
          <w:szCs w:val="22"/>
        </w:rPr>
        <w:t xml:space="preserve">The four findings that shaped everything downstream</w:t>
      </w:r>
    </w:p>
    <w:p>
      <w:pPr>
        <w:pStyle w:val="ListParagraph"/>
        <w:numPr>
          <w:ilvl w:val="0"/>
          <w:numId w:val="2"/>
        </w:numPr>
        <w:spacing w:after="80" w:line="276"/>
      </w:pPr>
      <w:r>
        <w:rPr>
          <w:rFonts w:ascii="Calibri" w:cs="Calibri" w:eastAsia="Calibri" w:hAnsi="Calibri"/>
          <w:color w:val="16161A"/>
          <w:sz w:val="21"/>
          <w:szCs w:val="21"/>
        </w:rPr>
        <w:t xml:space="preserve">Marketing budgets are flat while AI spend rises. Gartner's CMO Spend Surveys put marketing budgets at 7.7% of revenue (2025) and 7.8% (2026), while CMOs now allocate 15.3% of that flat budget to AI, with only 30% feeling ready to scale it. This — not adoption-intent percentages — became the project's most defensible "why now."</w:t>
      </w:r>
    </w:p>
    <w:p>
      <w:pPr>
        <w:pStyle w:val="ListParagraph"/>
        <w:numPr>
          <w:ilvl w:val="0"/>
          <w:numId w:val="2"/>
        </w:numPr>
        <w:spacing w:after="80" w:line="276"/>
      </w:pPr>
      <w:r>
        <w:rPr>
          <w:rFonts w:ascii="Calibri" w:cs="Calibri" w:eastAsia="Calibri" w:hAnsi="Calibri"/>
          <w:color w:val="16161A"/>
          <w:sz w:val="21"/>
          <w:szCs w:val="21"/>
        </w:rPr>
        <w:t xml:space="preserve">The constraint on experimentation is variant labour, not statistics. Roughly 58% of companies use A/B testing in principle, but only 42% test at least quarterly and 39.6% have a documented CRO strategy. The gap between "has tried testing" and "tests systematically" is the wedge.</w:t>
      </w:r>
    </w:p>
    <w:p>
      <w:pPr>
        <w:pStyle w:val="ListParagraph"/>
        <w:numPr>
          <w:ilvl w:val="0"/>
          <w:numId w:val="2"/>
        </w:numPr>
        <w:spacing w:after="80" w:line="276"/>
      </w:pPr>
      <w:r>
        <w:rPr>
          <w:rFonts w:ascii="Calibri" w:cs="Calibri" w:eastAsia="Calibri" w:hAnsi="Calibri"/>
          <w:color w:val="16161A"/>
          <w:sz w:val="21"/>
          <w:szCs w:val="21"/>
        </w:rPr>
        <w:t xml:space="preserve">The martech stack problem is utilization, not count. Tool utilization has fallen to roughly 49%, with large organizations running about 10.2 martech tools but relying daily on four or five. The stronger pitch is "replace five underused tools with one used tool."</w:t>
      </w:r>
    </w:p>
    <w:p>
      <w:pPr>
        <w:pStyle w:val="ListParagraph"/>
        <w:numPr>
          <w:ilvl w:val="0"/>
          <w:numId w:val="2"/>
        </w:numPr>
        <w:spacing w:after="80" w:line="276"/>
      </w:pPr>
      <w:r>
        <w:rPr>
          <w:rFonts w:ascii="Calibri" w:cs="Calibri" w:eastAsia="Calibri" w:hAnsi="Calibri"/>
          <w:color w:val="16161A"/>
          <w:sz w:val="21"/>
          <w:szCs w:val="21"/>
        </w:rPr>
        <w:t xml:space="preserve">No incumbent owns the closed loop. Optimizely has the statistics; Adobe has the suite; Webflow has the design surface. None combine AI content generation, authoring-native experimentation, autonomous optimization and compounding memory in a single architecture.</w:t>
      </w:r>
    </w:p>
    <w:p>
      <w:pPr>
        <w:pStyle w:val="Heading3"/>
        <w:spacing w:after="100" w:before="200"/>
      </w:pPr>
      <w:r>
        <w:rPr>
          <w:rFonts w:ascii="Calibri" w:cs="Calibri" w:eastAsia="Calibri" w:hAnsi="Calibri"/>
          <w:b/>
          <w:bCs/>
          <w:color w:val="F04E10"/>
          <w:sz w:val="22"/>
          <w:szCs w:val="22"/>
        </w:rPr>
        <w:t xml:space="preserve">The value proposition, in one line</w:t>
      </w:r>
    </w:p>
    <w:p>
      <w:pPr>
        <w:spacing w:after="120" w:line="276"/>
      </w:pPr>
      <w:r>
        <w:rPr>
          <w:rFonts w:ascii="Calibri" w:cs="Calibri" w:eastAsia="Calibri" w:hAnsi="Calibri"/>
          <w:i/>
          <w:iCs/>
          <w:color w:val="16161A"/>
          <w:sz w:val="21"/>
          <w:szCs w:val="21"/>
        </w:rPr>
        <w:t xml:space="preserve">For mid-market SaaS and DTC marketing teams who need to launch and test more campaigns than their design and dev queues will allow, IntentFlow is the AI-first CMS with native experimentation that turns a plain-language brief into a live, self-testing campaign in hours — where the variant is the content itself, not a script layered on top.</w:t>
      </w:r>
    </w:p>
    <w:p>
      <w:pPr>
        <w:pStyle w:val="Heading3"/>
        <w:spacing w:after="100" w:before="200"/>
      </w:pPr>
      <w:r>
        <w:rPr>
          <w:rFonts w:ascii="Calibri" w:cs="Calibri" w:eastAsia="Calibri" w:hAnsi="Calibri"/>
          <w:b/>
          <w:bCs/>
          <w:color w:val="F04E10"/>
          <w:sz w:val="22"/>
          <w:szCs w:val="22"/>
        </w:rPr>
        <w:t xml:space="preserve">Honest limits</w:t>
      </w:r>
    </w:p>
    <w:p>
      <w:pPr>
        <w:spacing w:after="120" w:line="276"/>
      </w:pPr>
      <w:r>
        <w:rPr>
          <w:rFonts w:ascii="Calibri" w:cs="Calibri" w:eastAsia="Calibri" w:hAnsi="Calibri"/>
          <w:color w:val="16161A"/>
          <w:sz w:val="21"/>
          <w:szCs w:val="21"/>
        </w:rPr>
        <w:t xml:space="preserve">This report deliberately does not overclaim. Authentication in the current build is a development placeholder with no credential check; the public Site Experiments endpoints have no rate limiting or bot filtering; tenant isolation is enforced in application code rather than at the database layer; and several statistics carried forward from the original proposal deck could not be independently corroborated and are flagged as assumptions throughout. Each of these is documented in Section 7 and in the Architecture Decision Records, so that the tradeoffs read as deliberate rather than accidental.</w:t>
      </w:r>
    </w:p>
    <w:p>
      <w:r>
        <w:br w:type="page"/>
      </w:r>
    </w:p>
    <w:p>
      <w:pPr>
        <w:pStyle w:val="Heading1"/>
        <w:spacing w:after="160" w:before="360"/>
      </w:pPr>
      <w:r>
        <w:rPr>
          <w:rFonts w:ascii="Calibri" w:cs="Calibri" w:eastAsia="Calibri" w:hAnsi="Calibri"/>
          <w:b/>
          <w:bCs/>
          <w:color w:val="16161A"/>
          <w:sz w:val="30"/>
          <w:szCs w:val="30"/>
        </w:rPr>
        <w:t xml:space="preserve">2. Market Research</w:t>
      </w:r>
    </w:p>
    <w:p>
      <w:pPr>
        <w:spacing w:after="120" w:line="276"/>
      </w:pPr>
      <w:r>
        <w:rPr>
          <w:rFonts w:ascii="Calibri" w:cs="Calibri" w:eastAsia="Calibri" w:hAnsi="Calibri"/>
          <w:color w:val="16161A"/>
          <w:sz w:val="21"/>
          <w:szCs w:val="21"/>
        </w:rPr>
        <w:t xml:space="preserve">The market research phase had one governing rule: every number that would eventually appear in a customer-facing artefact had to be traceable to a named, dated source, or explicitly flagged as an assumption. This rule was adopted early because the original proposal deck carried several confident statistics whose provenance turned out, on inspection, to be unverifiable — and discovering that ourselves was more useful than having it discovered for us.</w:t>
      </w:r>
    </w:p>
    <w:p>
      <w:pPr>
        <w:pStyle w:val="Heading2"/>
        <w:spacing w:after="120" w:before="260"/>
      </w:pPr>
      <w:r>
        <w:rPr>
          <w:rFonts w:ascii="Calibri" w:cs="Calibri" w:eastAsia="Calibri" w:hAnsi="Calibri"/>
          <w:b/>
          <w:bCs/>
          <w:color w:val="16161A"/>
          <w:sz w:val="24"/>
          <w:szCs w:val="24"/>
        </w:rPr>
        <w:t xml:space="preserve">2.1 Research design and method</w:t>
      </w:r>
    </w:p>
    <w:p>
      <w:pPr>
        <w:spacing w:after="120" w:line="276"/>
      </w:pPr>
      <w:r>
        <w:rPr>
          <w:rFonts w:ascii="Calibri" w:cs="Calibri" w:eastAsia="Calibri" w:hAnsi="Calibri"/>
          <w:color w:val="16161A"/>
          <w:sz w:val="21"/>
          <w:szCs w:val="21"/>
        </w:rPr>
        <w:t xml:space="preserve">Research proceeded in three parallel streams that were then reconciled against each other:</w:t>
      </w:r>
    </w:p>
    <w:p>
      <w:pPr>
        <w:pStyle w:val="ListParagraph"/>
        <w:numPr>
          <w:ilvl w:val="0"/>
          <w:numId w:val="3"/>
        </w:numPr>
        <w:spacing w:after="80" w:line="276"/>
      </w:pPr>
      <w:r>
        <w:rPr>
          <w:rFonts w:ascii="Calibri" w:cs="Calibri" w:eastAsia="Calibri" w:hAnsi="Calibri"/>
          <w:color w:val="16161A"/>
          <w:sz w:val="21"/>
          <w:szCs w:val="21"/>
        </w:rPr>
        <w:t xml:space="preserve">Primary qualitative research — 40+ customer discovery interviews conducted over Q1–Q2, synthesized into three composite personas with jobs-to-be-done and core pains.</w:t>
      </w:r>
    </w:p>
    <w:p>
      <w:pPr>
        <w:pStyle w:val="ListParagraph"/>
        <w:numPr>
          <w:ilvl w:val="0"/>
          <w:numId w:val="3"/>
        </w:numPr>
        <w:spacing w:after="80" w:line="276"/>
      </w:pPr>
      <w:r>
        <w:rPr>
          <w:rFonts w:ascii="Calibri" w:cs="Calibri" w:eastAsia="Calibri" w:hAnsi="Calibri"/>
          <w:color w:val="16161A"/>
          <w:sz w:val="21"/>
          <w:szCs w:val="21"/>
        </w:rPr>
        <w:t xml:space="preserve">Secondary market sizing — a live web research pass across named research houses (Grand View Research, Gartner, Precedence Research, Future Market Insights, ResearchAndMarkets, Market Research Future and others), deliberately citing multiple houses per topic because published CMS and martech sizings diverge by 2–15x depending on scope definition.</w:t>
      </w:r>
    </w:p>
    <w:p>
      <w:pPr>
        <w:pStyle w:val="ListParagraph"/>
        <w:numPr>
          <w:ilvl w:val="0"/>
          <w:numId w:val="3"/>
        </w:numPr>
        <w:spacing w:after="80" w:line="276"/>
      </w:pPr>
      <w:r>
        <w:rPr>
          <w:rFonts w:ascii="Calibri" w:cs="Calibri" w:eastAsia="Calibri" w:hAnsi="Calibri"/>
          <w:color w:val="16161A"/>
          <w:sz w:val="21"/>
          <w:szCs w:val="21"/>
        </w:rPr>
        <w:t xml:space="preserve">Competitive intelligence — teardowns of seven platforms, with the deepest pass on Optimizely as the named comparator, re-verified against live product pages rather than search summaries.</w:t>
      </w:r>
    </w:p>
    <w:p>
      <w:pPr>
        <w:spacing w:after="120" w:line="276"/>
      </w:pPr>
      <w:r>
        <w:rPr>
          <w:rFonts w:ascii="Calibri" w:cs="Calibri" w:eastAsia="Calibri" w:hAnsi="Calibri"/>
          <w:color w:val="16161A"/>
          <w:sz w:val="21"/>
          <w:szCs w:val="21"/>
        </w:rPr>
        <w:t xml:space="preserve">The divergence between research houses was treated as a finding in its own right, not a nuisance to be averaged away. Where sources disagreed, the report carries the range and the disagreement rather than a single tidy number.</w:t>
      </w:r>
    </w:p>
    <w:p>
      <w:pPr>
        <w:pStyle w:val="Heading2"/>
        <w:spacing w:after="120" w:before="260"/>
      </w:pPr>
      <w:r>
        <w:rPr>
          <w:rFonts w:ascii="Calibri" w:cs="Calibri" w:eastAsia="Calibri" w:hAnsi="Calibri"/>
          <w:b/>
          <w:bCs/>
          <w:color w:val="16161A"/>
          <w:sz w:val="24"/>
          <w:szCs w:val="24"/>
        </w:rPr>
        <w:t xml:space="preserve">2.2 User interviews and persona synthesis</w:t>
      </w:r>
    </w:p>
    <w:p>
      <w:pPr>
        <w:spacing w:after="120" w:line="276"/>
      </w:pPr>
      <w:r>
        <w:rPr>
          <w:rFonts w:ascii="Calibri" w:cs="Calibri" w:eastAsia="Calibri" w:hAnsi="Calibri"/>
          <w:color w:val="16161A"/>
          <w:sz w:val="21"/>
          <w:szCs w:val="21"/>
        </w:rPr>
        <w:t xml:space="preserve">Forty-plus discovery interviews were conducted with marketing managers, growth leaders and CMOs across mid-market SaaS, DTC e-commerce and enterprise B2B. Rather than reporting each interview, findings were synthesized into three composite personas using a jobs-to-be-done frame — what the person is hiring the product to do, and what is preventing them today.</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700"/>
        <w:gridCol w:w="3100"/>
      </w:tblGrid>
      <w:tr>
        <w:trPr>
          <w:tblHeader/>
        </w:trPr>
        <w:tc>
          <w:tcPr>
            <w:tcW w:type="dxa" w:w="11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Persona</w:t>
            </w:r>
          </w:p>
        </w:tc>
        <w:tc>
          <w:tcPr>
            <w:tcW w:type="dxa" w:w="24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Role &amp; segment</w:t>
            </w:r>
          </w:p>
        </w:tc>
        <w:tc>
          <w:tcPr>
            <w:tcW w:type="dxa" w:w="27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Job to be done</w:t>
            </w:r>
          </w:p>
        </w:tc>
        <w:tc>
          <w:tcPr>
            <w:tcW w:type="dxa" w:w="31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Core pain surfaced in interviews</w:t>
            </w:r>
          </w:p>
        </w:tc>
      </w:tr>
      <w:tr>
        <w:tc>
          <w:tcPr>
            <w:tcW w:type="dxa" w:w="1100"/>
            <w:tcMar>
              <w:top w:type="dxa" w:w="80"/>
              <w:left w:type="dxa" w:w="120"/>
              <w:bottom w:type="dxa" w:w="80"/>
              <w:right w:type="dxa" w:w="120"/>
            </w:tcMar>
          </w:tcPr>
          <w:p>
            <w:pPr>
              <w:spacing w:after="0"/>
            </w:pPr>
            <w:r>
              <w:rPr>
                <w:rFonts w:ascii="Calibri" w:cs="Calibri" w:eastAsia="Calibri" w:hAnsi="Calibri"/>
                <w:color w:val="16161A"/>
                <w:sz w:val="19"/>
                <w:szCs w:val="19"/>
              </w:rPr>
              <w:t xml:space="preserve">Maya</w:t>
            </w:r>
          </w:p>
        </w:tc>
        <w:tc>
          <w:tcPr>
            <w:tcW w:type="dxa" w:w="2400"/>
            <w:tcMar>
              <w:top w:type="dxa" w:w="80"/>
              <w:left w:type="dxa" w:w="120"/>
              <w:bottom w:type="dxa" w:w="80"/>
              <w:right w:type="dxa" w:w="120"/>
            </w:tcMar>
          </w:tcPr>
          <w:p>
            <w:pPr>
              <w:spacing w:after="0"/>
            </w:pPr>
            <w:r>
              <w:rPr>
                <w:rFonts w:ascii="Calibri" w:cs="Calibri" w:eastAsia="Calibri" w:hAnsi="Calibri"/>
                <w:color w:val="16161A"/>
                <w:sz w:val="19"/>
                <w:szCs w:val="19"/>
              </w:rPr>
              <w:t xml:space="preserve">Digital Marketing Manager, mid-market SaaS (primary daily user)</w:t>
            </w:r>
          </w:p>
        </w:tc>
        <w:tc>
          <w:tcPr>
            <w:tcW w:type="dxa" w:w="2700"/>
            <w:tcMar>
              <w:top w:type="dxa" w:w="80"/>
              <w:left w:type="dxa" w:w="120"/>
              <w:bottom w:type="dxa" w:w="80"/>
              <w:right w:type="dxa" w:w="120"/>
            </w:tcMar>
          </w:tcPr>
          <w:p>
            <w:pPr>
              <w:spacing w:after="0"/>
            </w:pPr>
            <w:r>
              <w:rPr>
                <w:rFonts w:ascii="Calibri" w:cs="Calibri" w:eastAsia="Calibri" w:hAnsi="Calibri"/>
                <w:color w:val="16161A"/>
                <w:sz w:val="19"/>
                <w:szCs w:val="19"/>
              </w:rPr>
              <w:t xml:space="preserve">"Run more experiments without needing design resources."</w:t>
            </w:r>
          </w:p>
        </w:tc>
        <w:tc>
          <w:tcPr>
            <w:tcW w:type="dxa" w:w="3100"/>
            <w:tcMar>
              <w:top w:type="dxa" w:w="80"/>
              <w:left w:type="dxa" w:w="120"/>
              <w:bottom w:type="dxa" w:w="80"/>
              <w:right w:type="dxa" w:w="120"/>
            </w:tcMar>
          </w:tcPr>
          <w:p>
            <w:pPr>
              <w:spacing w:after="0"/>
            </w:pPr>
            <w:r>
              <w:rPr>
                <w:rFonts w:ascii="Calibri" w:cs="Calibri" w:eastAsia="Calibri" w:hAnsi="Calibri"/>
                <w:color w:val="16161A"/>
                <w:sz w:val="19"/>
                <w:szCs w:val="19"/>
              </w:rPr>
              <w:t xml:space="preserve">Spends roughly 60% of her time on creative production rather than strategy; every iteration requires a design or dev ticket.</w:t>
            </w:r>
          </w:p>
        </w:tc>
      </w:tr>
      <w:tr>
        <w:tc>
          <w:tcPr>
            <w:tcW w:type="dxa" w:w="1100"/>
            <w:tcMar>
              <w:top w:type="dxa" w:w="80"/>
              <w:left w:type="dxa" w:w="120"/>
              <w:bottom w:type="dxa" w:w="80"/>
              <w:right w:type="dxa" w:w="120"/>
            </w:tcMar>
          </w:tcPr>
          <w:p>
            <w:pPr>
              <w:spacing w:after="0"/>
            </w:pPr>
            <w:r>
              <w:rPr>
                <w:rFonts w:ascii="Calibri" w:cs="Calibri" w:eastAsia="Calibri" w:hAnsi="Calibri"/>
                <w:color w:val="16161A"/>
                <w:sz w:val="19"/>
                <w:szCs w:val="19"/>
              </w:rPr>
              <w:t xml:space="preserve">Raj</w:t>
            </w:r>
          </w:p>
        </w:tc>
        <w:tc>
          <w:tcPr>
            <w:tcW w:type="dxa" w:w="2400"/>
            <w:tcMar>
              <w:top w:type="dxa" w:w="80"/>
              <w:left w:type="dxa" w:w="120"/>
              <w:bottom w:type="dxa" w:w="80"/>
              <w:right w:type="dxa" w:w="120"/>
            </w:tcMar>
          </w:tcPr>
          <w:p>
            <w:pPr>
              <w:spacing w:after="0"/>
            </w:pPr>
            <w:r>
              <w:rPr>
                <w:rFonts w:ascii="Calibri" w:cs="Calibri" w:eastAsia="Calibri" w:hAnsi="Calibri"/>
                <w:color w:val="16161A"/>
                <w:sz w:val="19"/>
                <w:szCs w:val="19"/>
              </w:rPr>
              <w:t xml:space="preserve">VP Growth, e-commerce / DTC (growth buyer)</w:t>
            </w:r>
          </w:p>
        </w:tc>
        <w:tc>
          <w:tcPr>
            <w:tcW w:type="dxa" w:w="2700"/>
            <w:tcMar>
              <w:top w:type="dxa" w:w="80"/>
              <w:left w:type="dxa" w:w="120"/>
              <w:bottom w:type="dxa" w:w="80"/>
              <w:right w:type="dxa" w:w="120"/>
            </w:tcMar>
          </w:tcPr>
          <w:p>
            <w:pPr>
              <w:spacing w:after="0"/>
            </w:pPr>
            <w:r>
              <w:rPr>
                <w:rFonts w:ascii="Calibri" w:cs="Calibri" w:eastAsia="Calibri" w:hAnsi="Calibri"/>
                <w:color w:val="16161A"/>
                <w:sz w:val="19"/>
                <w:szCs w:val="19"/>
              </w:rPr>
              <w:t xml:space="preserve">"Prove marketing ROI with faster A/B test cycles."</w:t>
            </w:r>
          </w:p>
        </w:tc>
        <w:tc>
          <w:tcPr>
            <w:tcW w:type="dxa" w:w="3100"/>
            <w:tcMar>
              <w:top w:type="dxa" w:w="80"/>
              <w:left w:type="dxa" w:w="120"/>
              <w:bottom w:type="dxa" w:w="80"/>
              <w:right w:type="dxa" w:w="120"/>
            </w:tcMar>
          </w:tcPr>
          <w:p>
            <w:pPr>
              <w:spacing w:after="0"/>
            </w:pPr>
            <w:r>
              <w:rPr>
                <w:rFonts w:ascii="Calibri" w:cs="Calibri" w:eastAsia="Calibri" w:hAnsi="Calibri"/>
                <w:color w:val="16161A"/>
                <w:sz w:val="19"/>
                <w:szCs w:val="19"/>
              </w:rPr>
              <w:t xml:space="preserve">Cannot launch experiments fast enough to beat quarterly targets; velocity is capped by hand-offs, not by statistics.</w:t>
            </w:r>
          </w:p>
        </w:tc>
      </w:tr>
      <w:tr>
        <w:tc>
          <w:tcPr>
            <w:tcW w:type="dxa" w:w="1100"/>
            <w:tcMar>
              <w:top w:type="dxa" w:w="80"/>
              <w:left w:type="dxa" w:w="120"/>
              <w:bottom w:type="dxa" w:w="80"/>
              <w:right w:type="dxa" w:w="120"/>
            </w:tcMar>
          </w:tcPr>
          <w:p>
            <w:pPr>
              <w:spacing w:after="0"/>
            </w:pPr>
            <w:r>
              <w:rPr>
                <w:rFonts w:ascii="Calibri" w:cs="Calibri" w:eastAsia="Calibri" w:hAnsi="Calibri"/>
                <w:color w:val="16161A"/>
                <w:sz w:val="19"/>
                <w:szCs w:val="19"/>
              </w:rPr>
              <w:t xml:space="preserve">Sarah</w:t>
            </w:r>
          </w:p>
        </w:tc>
        <w:tc>
          <w:tcPr>
            <w:tcW w:type="dxa" w:w="2400"/>
            <w:tcMar>
              <w:top w:type="dxa" w:w="80"/>
              <w:left w:type="dxa" w:w="120"/>
              <w:bottom w:type="dxa" w:w="80"/>
              <w:right w:type="dxa" w:w="120"/>
            </w:tcMar>
          </w:tcPr>
          <w:p>
            <w:pPr>
              <w:spacing w:after="0"/>
            </w:pPr>
            <w:r>
              <w:rPr>
                <w:rFonts w:ascii="Calibri" w:cs="Calibri" w:eastAsia="Calibri" w:hAnsi="Calibri"/>
                <w:color w:val="16161A"/>
                <w:sz w:val="19"/>
                <w:szCs w:val="19"/>
              </w:rPr>
              <w:t xml:space="preserve">CMO, enterprise B2B (economic buyer)</w:t>
            </w:r>
          </w:p>
        </w:tc>
        <w:tc>
          <w:tcPr>
            <w:tcW w:type="dxa" w:w="2700"/>
            <w:tcMar>
              <w:top w:type="dxa" w:w="80"/>
              <w:left w:type="dxa" w:w="120"/>
              <w:bottom w:type="dxa" w:w="80"/>
              <w:right w:type="dxa" w:w="120"/>
            </w:tcMar>
          </w:tcPr>
          <w:p>
            <w:pPr>
              <w:spacing w:after="0"/>
            </w:pPr>
            <w:r>
              <w:rPr>
                <w:rFonts w:ascii="Calibri" w:cs="Calibri" w:eastAsia="Calibri" w:hAnsi="Calibri"/>
                <w:color w:val="16161A"/>
                <w:sz w:val="19"/>
                <w:szCs w:val="19"/>
              </w:rPr>
              <w:t xml:space="preserve">"Scale personalization without scaling headcount."</w:t>
            </w:r>
          </w:p>
        </w:tc>
        <w:tc>
          <w:tcPr>
            <w:tcW w:type="dxa" w:w="3100"/>
            <w:tcMar>
              <w:top w:type="dxa" w:w="80"/>
              <w:left w:type="dxa" w:w="120"/>
              <w:bottom w:type="dxa" w:w="80"/>
              <w:right w:type="dxa" w:w="120"/>
            </w:tcMar>
          </w:tcPr>
          <w:p>
            <w:pPr>
              <w:spacing w:after="0"/>
            </w:pPr>
            <w:r>
              <w:rPr>
                <w:rFonts w:ascii="Calibri" w:cs="Calibri" w:eastAsia="Calibri" w:hAnsi="Calibri"/>
                <w:color w:val="16161A"/>
                <w:sz w:val="19"/>
                <w:szCs w:val="19"/>
              </w:rPr>
              <w:t xml:space="preserve">Agency costs escalating; the board wants efficiency; any autonomy claim raises a governance objection under her name.</w:t>
            </w:r>
          </w:p>
        </w:tc>
      </w:tr>
    </w:tbl>
    <w:p>
      <w:pPr>
        <w:spacing w:after="120"/>
      </w:pPr>
      <w:r>
        <w:rPr>
          <w:sz w:val="12"/>
          <w:szCs w:val="12"/>
        </w:rPr>
        <w:t xml:space="preserve"/>
      </w:r>
    </w:p>
    <w:p>
      <w:pPr>
        <w:pStyle w:val="Heading3"/>
        <w:spacing w:after="100" w:before="200"/>
      </w:pPr>
      <w:r>
        <w:rPr>
          <w:rFonts w:ascii="Calibri" w:cs="Calibri" w:eastAsia="Calibri" w:hAnsi="Calibri"/>
          <w:b/>
          <w:bCs/>
          <w:color w:val="F04E10"/>
          <w:sz w:val="22"/>
          <w:szCs w:val="22"/>
        </w:rPr>
        <w:t xml:space="preserve">What the interviews actually changed</w:t>
      </w:r>
    </w:p>
    <w:p>
      <w:pPr>
        <w:pStyle w:val="ListParagraph"/>
        <w:numPr>
          <w:ilvl w:val="0"/>
          <w:numId w:val="2"/>
        </w:numPr>
        <w:spacing w:after="80" w:line="276"/>
      </w:pPr>
      <w:r>
        <w:rPr>
          <w:rFonts w:ascii="Calibri" w:cs="Calibri" w:eastAsia="Calibri" w:hAnsi="Calibri"/>
          <w:color w:val="16161A"/>
          <w:sz w:val="21"/>
          <w:szCs w:val="21"/>
        </w:rPr>
        <w:t xml:space="preserve">Design dependency, not tooling cost, is Maya's binding constraint. This pushed generation of the page itself — not just the test — into the core loop. A tool that only tests pages someone else built would not have solved her problem.</w:t>
      </w:r>
    </w:p>
    <w:p>
      <w:pPr>
        <w:pStyle w:val="ListParagraph"/>
        <w:numPr>
          <w:ilvl w:val="0"/>
          <w:numId w:val="2"/>
        </w:numPr>
        <w:spacing w:after="80" w:line="276"/>
      </w:pPr>
      <w:r>
        <w:rPr>
          <w:rFonts w:ascii="Calibri" w:cs="Calibri" w:eastAsia="Calibri" w:hAnsi="Calibri"/>
          <w:color w:val="16161A"/>
          <w:sz w:val="21"/>
          <w:szCs w:val="21"/>
        </w:rPr>
        <w:t xml:space="preserve">Raj is testing-literate. He does not need to be convinced that experimentation works; he needs throughput. This ruled out education-led positioning for the growth segment and pointed at demonstrated lift as the proof asset.</w:t>
      </w:r>
    </w:p>
    <w:p>
      <w:pPr>
        <w:pStyle w:val="ListParagraph"/>
        <w:numPr>
          <w:ilvl w:val="0"/>
          <w:numId w:val="2"/>
        </w:numPr>
        <w:spacing w:after="80" w:line="276"/>
      </w:pPr>
      <w:r>
        <w:rPr>
          <w:rFonts w:ascii="Calibri" w:cs="Calibri" w:eastAsia="Calibri" w:hAnsi="Calibri"/>
          <w:color w:val="16161A"/>
          <w:sz w:val="21"/>
          <w:szCs w:val="21"/>
        </w:rPr>
        <w:t xml:space="preserve">Sarah's objection is not capability, it is accountability. Her stated concern — that full autonomy is a governance failure waiting to happen under her name — is the single reason human-in-the-loop approval gates became a permanent, default-on architectural commitment rather than a configurable convenience. This directly produced the five-role RBAC model delivered in Phase 3.</w:t>
      </w:r>
    </w:p>
    <w:p>
      <w:pPr>
        <w:spacing w:after="120" w:line="276"/>
      </w:pPr>
      <w:r>
        <w:rPr>
          <w:rFonts w:ascii="Calibri" w:cs="Calibri" w:eastAsia="Calibri" w:hAnsi="Calibri"/>
          <w:i/>
          <w:iCs/>
          <w:color w:val="16161A"/>
          <w:sz w:val="21"/>
          <w:szCs w:val="21"/>
        </w:rPr>
        <w:t xml:space="preserve">Methodological caveat, stated plainly: persona pain figures such as "60% of time on creative production" are proprietary qualitative findings from our own interviews, not published statistics. They are cited as internal research and are not presented as market data.</w:t>
      </w:r>
    </w:p>
    <w:p>
      <w:pPr>
        <w:pStyle w:val="Heading2"/>
        <w:spacing w:after="120" w:before="260"/>
      </w:pPr>
      <w:r>
        <w:rPr>
          <w:rFonts w:ascii="Calibri" w:cs="Calibri" w:eastAsia="Calibri" w:hAnsi="Calibri"/>
          <w:b/>
          <w:bCs/>
          <w:color w:val="16161A"/>
          <w:sz w:val="24"/>
          <w:szCs w:val="24"/>
        </w:rPr>
        <w:t xml:space="preserve">2.3 Competitive intelligence</w:t>
      </w:r>
    </w:p>
    <w:p>
      <w:pPr>
        <w:spacing w:after="120" w:line="276"/>
      </w:pPr>
      <w:r>
        <w:rPr>
          <w:rFonts w:ascii="Calibri" w:cs="Calibri" w:eastAsia="Calibri" w:hAnsi="Calibri"/>
          <w:color w:val="16161A"/>
          <w:sz w:val="21"/>
          <w:szCs w:val="21"/>
        </w:rPr>
        <w:t xml:space="preserve">Seven platforms were assessed across four axes — AI content generation, autonomous optimization, experiment intelligence, and agentic behaviour — with the objective of locating white space rather than scoring features.</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4000"/>
      </w:tblGrid>
      <w:tr>
        <w:trPr>
          <w:tblHeader/>
        </w:trPr>
        <w:tc>
          <w:tcPr>
            <w:tcW w:type="dxa" w:w="21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Platform</w:t>
            </w:r>
          </w:p>
        </w:tc>
        <w:tc>
          <w:tcPr>
            <w:tcW w:type="dxa" w:w="32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Strength</w:t>
            </w:r>
          </w:p>
        </w:tc>
        <w:tc>
          <w:tcPr>
            <w:tcW w:type="dxa" w:w="40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Gap / white space it leaves open</w:t>
            </w:r>
          </w:p>
        </w:tc>
      </w:tr>
      <w:tr>
        <w:tc>
          <w:tcPr>
            <w:tcW w:type="dxa" w:w="2100"/>
            <w:tcMar>
              <w:top w:type="dxa" w:w="80"/>
              <w:left w:type="dxa" w:w="120"/>
              <w:bottom w:type="dxa" w:w="80"/>
              <w:right w:type="dxa" w:w="120"/>
            </w:tcMar>
          </w:tcPr>
          <w:p>
            <w:pPr>
              <w:spacing w:after="0"/>
            </w:pPr>
            <w:r>
              <w:rPr>
                <w:rFonts w:ascii="Calibri" w:cs="Calibri" w:eastAsia="Calibri" w:hAnsi="Calibri"/>
                <w:color w:val="16161A"/>
                <w:sz w:val="19"/>
                <w:szCs w:val="19"/>
              </w:rPr>
              <w:t xml:space="preserve">Adobe Experience Cloud</w:t>
            </w:r>
          </w:p>
        </w:tc>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Breadth of suite, enterprise entrenchment</w:t>
            </w:r>
          </w:p>
        </w:tc>
        <w:tc>
          <w:tcPr>
            <w:tcW w:type="dxa" w:w="4000"/>
            <w:tcMar>
              <w:top w:type="dxa" w:w="80"/>
              <w:left w:type="dxa" w:w="120"/>
              <w:bottom w:type="dxa" w:w="80"/>
              <w:right w:type="dxa" w:w="120"/>
            </w:tcMar>
          </w:tcPr>
          <w:p>
            <w:pPr>
              <w:spacing w:after="0"/>
            </w:pPr>
            <w:r>
              <w:rPr>
                <w:rFonts w:ascii="Calibri" w:cs="Calibri" w:eastAsia="Calibri" w:hAnsi="Calibri"/>
                <w:color w:val="16161A"/>
                <w:sz w:val="19"/>
                <w:szCs w:val="19"/>
              </w:rPr>
              <w:t xml:space="preserve">Fragmented AI features; no unified agent across the campaign lifecycle</w:t>
            </w:r>
          </w:p>
        </w:tc>
      </w:tr>
      <w:tr>
        <w:tc>
          <w:tcPr>
            <w:tcW w:type="dxa" w:w="2100"/>
            <w:tcMar>
              <w:top w:type="dxa" w:w="80"/>
              <w:left w:type="dxa" w:w="120"/>
              <w:bottom w:type="dxa" w:w="80"/>
              <w:right w:type="dxa" w:w="120"/>
            </w:tcMar>
          </w:tcPr>
          <w:p>
            <w:pPr>
              <w:spacing w:after="0"/>
            </w:pPr>
            <w:r>
              <w:rPr>
                <w:rFonts w:ascii="Calibri" w:cs="Calibri" w:eastAsia="Calibri" w:hAnsi="Calibri"/>
                <w:color w:val="16161A"/>
                <w:sz w:val="19"/>
                <w:szCs w:val="19"/>
              </w:rPr>
              <w:t xml:space="preserve">Optimizely</w:t>
            </w:r>
          </w:p>
        </w:tc>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Deepest, most decade-earned statistical engine</w:t>
            </w:r>
          </w:p>
        </w:tc>
        <w:tc>
          <w:tcPr>
            <w:tcW w:type="dxa" w:w="4000"/>
            <w:tcMar>
              <w:top w:type="dxa" w:w="80"/>
              <w:left w:type="dxa" w:w="120"/>
              <w:bottom w:type="dxa" w:w="80"/>
              <w:right w:type="dxa" w:w="120"/>
            </w:tcMar>
          </w:tcPr>
          <w:p>
            <w:pPr>
              <w:spacing w:after="0"/>
            </w:pPr>
            <w:r>
              <w:rPr>
                <w:rFonts w:ascii="Calibri" w:cs="Calibri" w:eastAsia="Calibri" w:hAnsi="Calibri"/>
                <w:color w:val="16161A"/>
                <w:sz w:val="19"/>
                <w:szCs w:val="19"/>
              </w:rPr>
              <w:t xml:space="preserve">Strong testing, comparatively weak content generation; agentic layer is a recommender</w:t>
            </w:r>
          </w:p>
        </w:tc>
      </w:tr>
      <w:tr>
        <w:tc>
          <w:tcPr>
            <w:tcW w:type="dxa" w:w="2100"/>
            <w:tcMar>
              <w:top w:type="dxa" w:w="80"/>
              <w:left w:type="dxa" w:w="120"/>
              <w:bottom w:type="dxa" w:w="80"/>
              <w:right w:type="dxa" w:w="120"/>
            </w:tcMar>
          </w:tcPr>
          <w:p>
            <w:pPr>
              <w:spacing w:after="0"/>
            </w:pPr>
            <w:r>
              <w:rPr>
                <w:rFonts w:ascii="Calibri" w:cs="Calibri" w:eastAsia="Calibri" w:hAnsi="Calibri"/>
                <w:color w:val="16161A"/>
                <w:sz w:val="19"/>
                <w:szCs w:val="19"/>
              </w:rPr>
              <w:t xml:space="preserve">Salesforce Marketing Cloud</w:t>
            </w:r>
          </w:p>
        </w:tc>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Data richness and CRM adjacency</w:t>
            </w:r>
          </w:p>
        </w:tc>
        <w:tc>
          <w:tcPr>
            <w:tcW w:type="dxa" w:w="4000"/>
            <w:tcMar>
              <w:top w:type="dxa" w:w="80"/>
              <w:left w:type="dxa" w:w="120"/>
              <w:bottom w:type="dxa" w:w="80"/>
              <w:right w:type="dxa" w:w="120"/>
            </w:tcMar>
          </w:tcPr>
          <w:p>
            <w:pPr>
              <w:spacing w:after="0"/>
            </w:pPr>
            <w:r>
              <w:rPr>
                <w:rFonts w:ascii="Calibri" w:cs="Calibri" w:eastAsia="Calibri" w:hAnsi="Calibri"/>
                <w:color w:val="16161A"/>
                <w:sz w:val="19"/>
                <w:szCs w:val="19"/>
              </w:rPr>
              <w:t xml:space="preserve">Low creative/generative AI capability</w:t>
            </w:r>
          </w:p>
        </w:tc>
      </w:tr>
      <w:tr>
        <w:tc>
          <w:tcPr>
            <w:tcW w:type="dxa" w:w="2100"/>
            <w:tcMar>
              <w:top w:type="dxa" w:w="80"/>
              <w:left w:type="dxa" w:w="120"/>
              <w:bottom w:type="dxa" w:w="80"/>
              <w:right w:type="dxa" w:w="120"/>
            </w:tcMar>
          </w:tcPr>
          <w:p>
            <w:pPr>
              <w:spacing w:after="0"/>
            </w:pPr>
            <w:r>
              <w:rPr>
                <w:rFonts w:ascii="Calibri" w:cs="Calibri" w:eastAsia="Calibri" w:hAnsi="Calibri"/>
                <w:color w:val="16161A"/>
                <w:sz w:val="19"/>
                <w:szCs w:val="19"/>
              </w:rPr>
              <w:t xml:space="preserve">Sitecore</w:t>
            </w:r>
          </w:p>
        </w:tc>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Established enterprise CMS footprint</w:t>
            </w:r>
          </w:p>
        </w:tc>
        <w:tc>
          <w:tcPr>
            <w:tcW w:type="dxa" w:w="4000"/>
            <w:tcMar>
              <w:top w:type="dxa" w:w="80"/>
              <w:left w:type="dxa" w:w="120"/>
              <w:bottom w:type="dxa" w:w="80"/>
              <w:right w:type="dxa" w:w="120"/>
            </w:tcMar>
          </w:tcPr>
          <w:p>
            <w:pPr>
              <w:spacing w:after="0"/>
            </w:pPr>
            <w:r>
              <w:rPr>
                <w:rFonts w:ascii="Calibri" w:cs="Calibri" w:eastAsia="Calibri" w:hAnsi="Calibri"/>
                <w:color w:val="16161A"/>
                <w:sz w:val="19"/>
                <w:szCs w:val="19"/>
              </w:rPr>
              <w:t xml:space="preserve">Legacy architecture; slow AI adoption</w:t>
            </w:r>
          </w:p>
        </w:tc>
      </w:tr>
      <w:tr>
        <w:tc>
          <w:tcPr>
            <w:tcW w:type="dxa" w:w="2100"/>
            <w:tcMar>
              <w:top w:type="dxa" w:w="80"/>
              <w:left w:type="dxa" w:w="120"/>
              <w:bottom w:type="dxa" w:w="80"/>
              <w:right w:type="dxa" w:w="120"/>
            </w:tcMar>
          </w:tcPr>
          <w:p>
            <w:pPr>
              <w:spacing w:after="0"/>
            </w:pPr>
            <w:r>
              <w:rPr>
                <w:rFonts w:ascii="Calibri" w:cs="Calibri" w:eastAsia="Calibri" w:hAnsi="Calibri"/>
                <w:color w:val="16161A"/>
                <w:sz w:val="19"/>
                <w:szCs w:val="19"/>
              </w:rPr>
              <w:t xml:space="preserve">Webflow / Wix</w:t>
            </w:r>
          </w:p>
        </w:tc>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Design-first authoring experience</w:t>
            </w:r>
          </w:p>
        </w:tc>
        <w:tc>
          <w:tcPr>
            <w:tcW w:type="dxa" w:w="4000"/>
            <w:tcMar>
              <w:top w:type="dxa" w:w="80"/>
              <w:left w:type="dxa" w:w="120"/>
              <w:bottom w:type="dxa" w:w="80"/>
              <w:right w:type="dxa" w:w="120"/>
            </w:tcMar>
          </w:tcPr>
          <w:p>
            <w:pPr>
              <w:spacing w:after="0"/>
            </w:pPr>
            <w:r>
              <w:rPr>
                <w:rFonts w:ascii="Calibri" w:cs="Calibri" w:eastAsia="Calibri" w:hAnsi="Calibri"/>
                <w:color w:val="16161A"/>
                <w:sz w:val="19"/>
                <w:szCs w:val="19"/>
              </w:rPr>
              <w:t xml:space="preserve">No campaign "brain" — no hypothesis generation, no learning loop</w:t>
            </w:r>
          </w:p>
        </w:tc>
      </w:tr>
      <w:tr>
        <w:tc>
          <w:tcPr>
            <w:tcW w:type="dxa" w:w="2100"/>
            <w:tcMar>
              <w:top w:type="dxa" w:w="80"/>
              <w:left w:type="dxa" w:w="120"/>
              <w:bottom w:type="dxa" w:w="80"/>
              <w:right w:type="dxa" w:w="120"/>
            </w:tcMar>
          </w:tcPr>
          <w:p>
            <w:pPr>
              <w:spacing w:after="0"/>
            </w:pPr>
            <w:r>
              <w:rPr>
                <w:rFonts w:ascii="Calibri" w:cs="Calibri" w:eastAsia="Calibri" w:hAnsi="Calibri"/>
                <w:color w:val="16161A"/>
                <w:sz w:val="19"/>
                <w:szCs w:val="19"/>
              </w:rPr>
              <w:t xml:space="preserve">Dynamic Yield</w:t>
            </w:r>
          </w:p>
        </w:tc>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Mature personalization and optimization</w:t>
            </w:r>
          </w:p>
        </w:tc>
        <w:tc>
          <w:tcPr>
            <w:tcW w:type="dxa" w:w="4000"/>
            <w:tcMar>
              <w:top w:type="dxa" w:w="80"/>
              <w:left w:type="dxa" w:w="120"/>
              <w:bottom w:type="dxa" w:w="80"/>
              <w:right w:type="dxa" w:w="120"/>
            </w:tcMar>
          </w:tcPr>
          <w:p>
            <w:pPr>
              <w:spacing w:after="0"/>
            </w:pPr>
            <w:r>
              <w:rPr>
                <w:rFonts w:ascii="Calibri" w:cs="Calibri" w:eastAsia="Calibri" w:hAnsi="Calibri"/>
                <w:color w:val="16161A"/>
                <w:sz w:val="19"/>
                <w:szCs w:val="19"/>
              </w:rPr>
              <w:t xml:space="preserve">Personalization without generative content creation</w:t>
            </w:r>
          </w:p>
        </w:tc>
      </w:tr>
      <w:tr>
        <w:tc>
          <w:tcPr>
            <w:tcW w:type="dxa" w:w="2100"/>
            <w:tcMar>
              <w:top w:type="dxa" w:w="80"/>
              <w:left w:type="dxa" w:w="120"/>
              <w:bottom w:type="dxa" w:w="80"/>
              <w:right w:type="dxa" w:w="120"/>
            </w:tcMar>
          </w:tcPr>
          <w:p>
            <w:pPr>
              <w:spacing w:after="0"/>
            </w:pPr>
            <w:r>
              <w:rPr>
                <w:rFonts w:ascii="Calibri" w:cs="Calibri" w:eastAsia="Calibri" w:hAnsi="Calibri"/>
                <w:color w:val="16161A"/>
                <w:sz w:val="19"/>
                <w:szCs w:val="19"/>
              </w:rPr>
              <w:t xml:space="preserve">IntentFlow</w:t>
            </w:r>
          </w:p>
        </w:tc>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Generation + authoring-native experimentation + memory</w:t>
            </w:r>
          </w:p>
        </w:tc>
        <w:tc>
          <w:tcPr>
            <w:tcW w:type="dxa" w:w="4000"/>
            <w:tcMar>
              <w:top w:type="dxa" w:w="80"/>
              <w:left w:type="dxa" w:w="120"/>
              <w:bottom w:type="dxa" w:w="80"/>
              <w:right w:type="dxa" w:w="120"/>
            </w:tcMar>
          </w:tcPr>
          <w:p>
            <w:pPr>
              <w:spacing w:after="0"/>
            </w:pPr>
            <w:r>
              <w:rPr>
                <w:rFonts w:ascii="Calibri" w:cs="Calibri" w:eastAsia="Calibri" w:hAnsi="Calibri"/>
                <w:color w:val="16161A"/>
                <w:sz w:val="19"/>
                <w:szCs w:val="19"/>
              </w:rPr>
              <w:t xml:space="preserve">Unproven, pre-revenue; must earn statistical credibility it has not yet demonstrated at scale</w:t>
            </w:r>
          </w:p>
        </w:tc>
      </w:tr>
    </w:tbl>
    <w:p>
      <w:pPr>
        <w:spacing w:after="120"/>
      </w:pPr>
      <w:r>
        <w:rPr>
          <w:sz w:val="12"/>
          <w:szCs w:val="12"/>
        </w:rPr>
        <w:t xml:space="preserve"/>
      </w:r>
    </w:p>
    <w:p>
      <w:pPr>
        <w:pStyle w:val="Heading3"/>
        <w:spacing w:after="100" w:before="200"/>
      </w:pPr>
      <w:r>
        <w:rPr>
          <w:rFonts w:ascii="Calibri" w:cs="Calibri" w:eastAsia="Calibri" w:hAnsi="Calibri"/>
          <w:b/>
          <w:bCs/>
          <w:color w:val="F04E10"/>
          <w:sz w:val="22"/>
          <w:szCs w:val="22"/>
        </w:rPr>
        <w:t xml:space="preserve">The Optimizely deep-dive — and a correction we made to ourselves</w:t>
      </w:r>
    </w:p>
    <w:p>
      <w:pPr>
        <w:spacing w:after="120" w:line="276"/>
      </w:pPr>
      <w:r>
        <w:rPr>
          <w:rFonts w:ascii="Calibri" w:cs="Calibri" w:eastAsia="Calibri" w:hAnsi="Calibri"/>
          <w:color w:val="16161A"/>
          <w:sz w:val="21"/>
          <w:szCs w:val="21"/>
        </w:rPr>
        <w:t xml:space="preserve">Optimizely was chosen as the named comparator because it is the strongest experimentation product in the market and the one a serious buyer will raise unprompted. The teardown went through two versions, and the revision is worth reporting because it is the clearest example of the research discipline the project adopted.</w:t>
      </w:r>
    </w:p>
    <w:p>
      <w:pPr>
        <w:spacing w:after="120" w:line="276"/>
      </w:pPr>
      <w:r>
        <w:rPr>
          <w:rFonts w:ascii="Calibri" w:cs="Calibri" w:eastAsia="Calibri" w:hAnsi="Calibri"/>
          <w:color w:val="16161A"/>
          <w:sz w:val="21"/>
          <w:szCs w:val="21"/>
        </w:rPr>
        <w:t xml:space="preserve">Version 1 of the positioning claimed that Optimizely requires "a page built somewhere else first." That claim was false on our own evidence — the competitive research we had already gathered documents that Optimizely ships its own CMS and content-marketing product. The claim was retracted in full.</w:t>
      </w:r>
    </w:p>
    <w:p>
      <w:pPr>
        <w:spacing w:after="120" w:line="276"/>
      </w:pPr>
      <w:r>
        <w:rPr>
          <w:rFonts w:ascii="Calibri" w:cs="Calibri" w:eastAsia="Calibri" w:hAnsi="Calibri"/>
          <w:color w:val="16161A"/>
          <w:sz w:val="21"/>
          <w:szCs w:val="21"/>
        </w:rPr>
        <w:t xml:space="preserve">Version 1 also quoted Optimizely's experimentation page as describing agents as "autonomous systems that know your program and move it forward without waiting to be asked." Re-fetching the live page directly revealed that phrase was a search-summary paraphrase, not verbatim text, and that it overstated what Optimizely actually claims. The real page language is "AI telling you exactly what to do next" and "AI that knows your whole program recommends what to test next" — a recommendation engine, not an autonomous actor. Every downstream use of the fabricated quote was replaced.</w:t>
      </w:r>
    </w:p>
    <w:p>
      <w:pPr>
        <w:spacing w:after="120" w:line="276"/>
      </w:pPr>
      <w:r>
        <w:rPr>
          <w:rFonts w:ascii="Calibri" w:cs="Calibri" w:eastAsia="Calibri" w:hAnsi="Calibri"/>
          <w:color w:val="16161A"/>
          <w:sz w:val="21"/>
          <w:szCs w:val="21"/>
        </w:rPr>
        <w:t xml:space="preserve">What survived verification is a single, directly quoted phrase from Optimizely's own product page: it "works with your existing stack." That phrase, not our inference, became the load-bearing evidence for the positioning contrast.</w:t>
      </w:r>
    </w:p>
    <w:p>
      <w:pPr>
        <w:pStyle w:val="Heading3"/>
        <w:spacing w:after="100" w:before="200"/>
      </w:pPr>
      <w:r>
        <w:rPr>
          <w:rFonts w:ascii="Calibri" w:cs="Calibri" w:eastAsia="Calibri" w:hAnsi="Calibri"/>
          <w:b/>
          <w:bCs/>
          <w:color w:val="F04E10"/>
          <w:sz w:val="22"/>
          <w:szCs w:val="22"/>
        </w:rPr>
        <w:t xml:space="preserve">Inferences drawn from the competitive intelligence</w:t>
      </w:r>
    </w:p>
    <w:p>
      <w:pPr>
        <w:pStyle w:val="ListParagraph"/>
        <w:numPr>
          <w:ilvl w:val="0"/>
          <w:numId w:val="3"/>
        </w:numPr>
        <w:spacing w:after="80" w:line="276"/>
      </w:pPr>
      <w:r>
        <w:rPr>
          <w:rFonts w:ascii="Calibri" w:cs="Calibri" w:eastAsia="Calibri" w:hAnsi="Calibri"/>
          <w:color w:val="16161A"/>
          <w:sz w:val="21"/>
          <w:szCs w:val="21"/>
        </w:rPr>
        <w:t xml:space="preserve">The defensible wedge is architectural, not feature-level. Whoever built the underlying page, an Optimizely variant is expressed as a script or SDK-based runtime change; an IntentFlow variant is a block-level JSON patch inside the content model, rendered server-side. That is a difference in kind, and it is the only comparative claim we can support with the competitor's own words.</w:t>
      </w:r>
    </w:p>
    <w:p>
      <w:pPr>
        <w:pStyle w:val="ListParagraph"/>
        <w:numPr>
          <w:ilvl w:val="0"/>
          <w:numId w:val="3"/>
        </w:numPr>
        <w:spacing w:after="80" w:line="276"/>
      </w:pPr>
      <w:r>
        <w:rPr>
          <w:rFonts w:ascii="Calibri" w:cs="Calibri" w:eastAsia="Calibri" w:hAnsi="Calibri"/>
          <w:color w:val="16161A"/>
          <w:sz w:val="21"/>
          <w:szCs w:val="21"/>
        </w:rPr>
        <w:t xml:space="preserve">Statistical rigour is a parity claim, not an advantage. Optimizely's statistics engine is its strongest, most earned asset. The honest position is that IntentFlow matches the rigour — Bayesian posterior probability of being best, credible intervals, pre-computed minimum sample size, sample-ratio-mismatch guards — and adds the content-model claim on top. Any pitch that implies we out-math Optimizely is a credibility risk.</w:t>
      </w:r>
    </w:p>
    <w:p>
      <w:pPr>
        <w:pStyle w:val="ListParagraph"/>
        <w:numPr>
          <w:ilvl w:val="0"/>
          <w:numId w:val="3"/>
        </w:numPr>
        <w:spacing w:after="80" w:line="276"/>
      </w:pPr>
      <w:r>
        <w:rPr>
          <w:rFonts w:ascii="Calibri" w:cs="Calibri" w:eastAsia="Calibri" w:hAnsi="Calibri"/>
          <w:color w:val="16161A"/>
          <w:sz w:val="21"/>
          <w:szCs w:val="21"/>
        </w:rPr>
        <w:t xml:space="preserve">Compounding memory is the long-term moat but was, at positioning time, roadmap rather than shipped. This was labelled as such in every artefact, in the same up-front position as the parity admission, rather than buried in a parenthetical. It has since been delivered.</w:t>
      </w:r>
    </w:p>
    <w:p>
      <w:pPr>
        <w:pStyle w:val="ListParagraph"/>
        <w:numPr>
          <w:ilvl w:val="0"/>
          <w:numId w:val="3"/>
        </w:numPr>
        <w:spacing w:after="80" w:line="276"/>
      </w:pPr>
      <w:r>
        <w:rPr>
          <w:rFonts w:ascii="Calibri" w:cs="Calibri" w:eastAsia="Calibri" w:hAnsi="Calibri"/>
          <w:color w:val="16161A"/>
          <w:sz w:val="21"/>
          <w:szCs w:val="21"/>
        </w:rPr>
        <w:t xml:space="preserve">The market has genuinely cracked open. Google sunset Optimize with no replacement, orphaning a large installed base; Optimizely has been absorbed into a DXP suite; VWO sits under PE ownership with upmarket pricing pressure. These are displacement windows, and they are the practical basis for the 18–24 month runway estimate.</w:t>
      </w:r>
    </w:p>
    <w:p>
      <w:pPr>
        <w:pStyle w:val="ListParagraph"/>
        <w:numPr>
          <w:ilvl w:val="0"/>
          <w:numId w:val="3"/>
        </w:numPr>
        <w:spacing w:after="80" w:line="276"/>
      </w:pPr>
      <w:r>
        <w:rPr>
          <w:rFonts w:ascii="Calibri" w:cs="Calibri" w:eastAsia="Calibri" w:hAnsi="Calibri"/>
          <w:color w:val="16161A"/>
          <w:sz w:val="21"/>
          <w:szCs w:val="21"/>
        </w:rPr>
        <w:t xml:space="preserve">"New category" language is a bet, not a fact. Analyst sentiment on agentic AI is split — some trackers show rapid production adoption, while Gartner warns that over 40% of agentic AI projects could be cancelled by 2027 and Forrester frames 2026 as the end of AI hype. Brand materials assert Autonomous Campaign Optimization as a forward bet on where the market is heading, explicitly distinct from claiming the category already exists in analyst taxonomies.</w:t>
      </w:r>
    </w:p>
    <w:p>
      <w:pPr>
        <w:pStyle w:val="Heading2"/>
        <w:spacing w:after="120" w:before="260"/>
      </w:pPr>
      <w:r>
        <w:rPr>
          <w:rFonts w:ascii="Calibri" w:cs="Calibri" w:eastAsia="Calibri" w:hAnsi="Calibri"/>
          <w:b/>
          <w:bCs/>
          <w:color w:val="16161A"/>
          <w:sz w:val="24"/>
          <w:szCs w:val="24"/>
        </w:rPr>
        <w:t xml:space="preserve">2.4 Claims we could not verify — and kept flagged</w:t>
      </w:r>
    </w:p>
    <w:p>
      <w:pPr>
        <w:spacing w:after="120" w:line="276"/>
      </w:pPr>
      <w:r>
        <w:rPr>
          <w:rFonts w:ascii="Calibri" w:cs="Calibri" w:eastAsia="Calibri" w:hAnsi="Calibri"/>
          <w:color w:val="16161A"/>
          <w:sz w:val="21"/>
          <w:szCs w:val="21"/>
        </w:rPr>
        <w:t xml:space="preserve">The following claims from the original proposal deck could not be corroborated in the research pass and remained explicitly flagged as assumptions in every downstream artefact. Reporting them is part of the deliverable, not an admission tacked onto it.</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300"/>
        <w:gridCol w:w="5000"/>
      </w:tblGrid>
      <w:tr>
        <w:trPr>
          <w:tblHeader/>
        </w:trPr>
        <w:tc>
          <w:tcPr>
            <w:tcW w:type="dxa" w:w="43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Claim carried in the deck</w:t>
            </w:r>
          </w:p>
        </w:tc>
        <w:tc>
          <w:tcPr>
            <w:tcW w:type="dxa" w:w="50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Status after research</w:t>
            </w:r>
          </w:p>
        </w:tc>
      </w:tr>
      <w:tr>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"4–6 weeks average campaign launch time"</w:t>
            </w:r>
          </w:p>
        </w:tc>
        <w:tc>
          <w:tcPr>
            <w:tcW w:type="dxa" w:w="5000"/>
            <w:tcMar>
              <w:top w:type="dxa" w:w="80"/>
              <w:left w:type="dxa" w:w="120"/>
              <w:bottom w:type="dxa" w:w="80"/>
              <w:right w:type="dxa" w:w="120"/>
            </w:tcMar>
          </w:tcPr>
          <w:p>
            <w:pPr>
              <w:spacing w:after="0"/>
            </w:pPr>
            <w:r>
              <w:rPr>
                <w:rFonts w:ascii="Calibri" w:cs="Calibri" w:eastAsia="Calibri" w:hAnsi="Calibri"/>
                <w:color w:val="16161A"/>
                <w:sz w:val="19"/>
                <w:szCs w:val="19"/>
              </w:rPr>
              <w:t xml:space="preserve">No matching primary statistic located in the named sources. ASSUMPTION.</w:t>
            </w:r>
          </w:p>
        </w:tc>
      </w:tr>
      <w:tr>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"12+ tools average martech stack size"</w:t>
            </w:r>
          </w:p>
        </w:tc>
        <w:tc>
          <w:tcPr>
            <w:tcW w:type="dxa" w:w="5000"/>
            <w:tcMar>
              <w:top w:type="dxa" w:w="80"/>
              <w:left w:type="dxa" w:w="120"/>
              <w:bottom w:type="dxa" w:w="80"/>
              <w:right w:type="dxa" w:w="120"/>
            </w:tcMar>
          </w:tcPr>
          <w:p>
            <w:pPr>
              <w:spacing w:after="0"/>
            </w:pPr>
            <w:r>
              <w:rPr>
                <w:rFonts w:ascii="Calibri" w:cs="Calibri" w:eastAsia="Calibri" w:hAnsi="Calibri"/>
                <w:color w:val="16161A"/>
                <w:sz w:val="19"/>
                <w:szCs w:val="19"/>
              </w:rPr>
              <w:t xml:space="preserve">Closest verified figure is 10.2 tools per large organization — same range, different number. Partially corroborated; ASSUMPTION.</w:t>
            </w:r>
          </w:p>
        </w:tc>
      </w:tr>
      <w:tr>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"&lt;15% of campaigns run A/B tests"</w:t>
            </w:r>
          </w:p>
        </w:tc>
        <w:tc>
          <w:tcPr>
            <w:tcW w:type="dxa" w:w="5000"/>
            <w:tcMar>
              <w:top w:type="dxa" w:w="80"/>
              <w:left w:type="dxa" w:w="120"/>
              <w:bottom w:type="dxa" w:w="80"/>
              <w:right w:type="dxa" w:w="120"/>
            </w:tcMar>
          </w:tcPr>
          <w:p>
            <w:pPr>
              <w:spacing w:after="0"/>
            </w:pPr>
            <w:r>
              <w:rPr>
                <w:rFonts w:ascii="Calibri" w:cs="Calibri" w:eastAsia="Calibri" w:hAnsi="Calibri"/>
                <w:color w:val="16161A"/>
                <w:sz w:val="19"/>
                <w:szCs w:val="19"/>
              </w:rPr>
              <w:t xml:space="preserve">In tension with independent figures suggesting 44–58% of companies use split testing. The largest single gap between deck claims and fresh research. Flagged as a discrepancy, not merely unverified.</w:t>
            </w:r>
          </w:p>
        </w:tc>
      </w:tr>
      <w:tr>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"62% of marketers say manual work is the #1 pain"</w:t>
            </w:r>
          </w:p>
        </w:tc>
        <w:tc>
          <w:tcPr>
            <w:tcW w:type="dxa" w:w="5000"/>
            <w:tcMar>
              <w:top w:type="dxa" w:w="80"/>
              <w:left w:type="dxa" w:w="120"/>
              <w:bottom w:type="dxa" w:w="80"/>
              <w:right w:type="dxa" w:w="120"/>
            </w:tcMar>
          </w:tcPr>
          <w:p>
            <w:pPr>
              <w:spacing w:after="0"/>
            </w:pPr>
            <w:r>
              <w:rPr>
                <w:rFonts w:ascii="Calibri" w:cs="Calibri" w:eastAsia="Calibri" w:hAnsi="Calibri"/>
                <w:color w:val="16161A"/>
                <w:sz w:val="19"/>
                <w:szCs w:val="19"/>
              </w:rPr>
              <w:t xml:space="preserve">Not independently located. ASSUMPTION.</w:t>
            </w:r>
          </w:p>
        </w:tc>
      </w:tr>
      <w:tr>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"67% of marketing leaders plan to increase AI spend by 40%+"</w:t>
            </w:r>
          </w:p>
        </w:tc>
        <w:tc>
          <w:tcPr>
            <w:tcW w:type="dxa" w:w="5000"/>
            <w:tcMar>
              <w:top w:type="dxa" w:w="80"/>
              <w:left w:type="dxa" w:w="120"/>
              <w:bottom w:type="dxa" w:w="80"/>
              <w:right w:type="dxa" w:w="120"/>
            </w:tcMar>
          </w:tcPr>
          <w:p>
            <w:pPr>
              <w:spacing w:after="0"/>
            </w:pPr>
            <w:r>
              <w:rPr>
                <w:rFonts w:ascii="Calibri" w:cs="Calibri" w:eastAsia="Calibri" w:hAnsi="Calibri"/>
                <w:color w:val="16161A"/>
                <w:sz w:val="19"/>
                <w:szCs w:val="19"/>
              </w:rPr>
              <w:t xml:space="preserve">Not located in this form. Closest analogues (59.32% planning any increase; 15.3% of budget to AI per Gartner) do not match. ASSUMPTION.</w:t>
            </w:r>
          </w:p>
        </w:tc>
      </w:tr>
      <w:tr>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"80% setup-time reduction, 3× velocity, 25% lift, $12M ARR"</w:t>
            </w:r>
          </w:p>
        </w:tc>
        <w:tc>
          <w:tcPr>
            <w:tcW w:type="dxa" w:w="5000"/>
            <w:tcMar>
              <w:top w:type="dxa" w:w="80"/>
              <w:left w:type="dxa" w:w="120"/>
              <w:bottom w:type="dxa" w:w="80"/>
              <w:right w:type="dxa" w:w="120"/>
            </w:tcMar>
          </w:tcPr>
          <w:p>
            <w:pPr>
              <w:spacing w:after="0"/>
            </w:pPr>
            <w:r>
              <w:rPr>
                <w:rFonts w:ascii="Calibri" w:cs="Calibri" w:eastAsia="Calibri" w:hAnsi="Calibri"/>
                <w:color w:val="16161A"/>
                <w:sz w:val="19"/>
                <w:szCs w:val="19"/>
              </w:rPr>
              <w:t xml:space="preserve">Internal projections, not studies of IntentFlow. The 25% lift sits inside an independently observed 15–40% band. All four retained only with a "projected" or "target" qualifier.</w:t>
            </w:r>
          </w:p>
        </w:tc>
      </w:tr>
    </w:tbl>
    <w:p>
      <w:pPr>
        <w:spacing w:after="120"/>
      </w:pPr>
      <w:r>
        <w:rPr>
          <w:sz w:val="12"/>
          <w:szCs w:val="12"/>
        </w:rPr>
        <w:t xml:space="preserve"/>
      </w:r>
    </w:p>
    <w:p>
      <w:pPr>
        <w:pStyle w:val="Heading2"/>
        <w:spacing w:after="120" w:before="260"/>
      </w:pPr>
      <w:r>
        <w:rPr>
          <w:rFonts w:ascii="Calibri" w:cs="Calibri" w:eastAsia="Calibri" w:hAnsi="Calibri"/>
          <w:b/>
          <w:bCs/>
          <w:color w:val="16161A"/>
          <w:sz w:val="24"/>
          <w:szCs w:val="24"/>
        </w:rPr>
        <w:t xml:space="preserve">2.5 How AI was used in the research phase</w:t>
      </w:r>
    </w:p>
    <w:p>
      <w:pPr>
        <w:spacing w:after="120" w:line="276"/>
      </w:pPr>
      <w:r>
        <w:rPr>
          <w:rFonts w:ascii="Calibri" w:cs="Calibri" w:eastAsia="Calibri" w:hAnsi="Calibri"/>
          <w:color w:val="16161A"/>
          <w:sz w:val="21"/>
          <w:szCs w:val="21"/>
        </w:rPr>
        <w:t xml:space="preserve">Research was run as an AI-orchestrated pipeline rather than manual desk research. A market-research-analyst subagent executed live web search passes, a competitive-research pass produced the platform teardowns, and a positioning-reviewer subagent adversarially critiqued the output and returned a verdict (REVISE, leaning RETHINK) that forced the v1→v2 corrections described above. The reviewer step is the single highest-value part of the pipeline: it caught a claim that contradicted our own cited evidence and a quote that did not exist.</w:t>
      </w:r>
    </w:p>
    <w:p>
      <w:pPr>
        <w:spacing w:after="120" w:line="276"/>
      </w:pPr>
      <w:r>
        <w:rPr>
          <w:rFonts w:ascii="Calibri" w:cs="Calibri" w:eastAsia="Calibri" w:hAnsi="Calibri"/>
          <w:color w:val="16161A"/>
          <w:sz w:val="21"/>
          <w:szCs w:val="21"/>
        </w:rPr>
        <w:t xml:space="preserve">The instruction that made the difference was requiring the model to attach a confidence rating and an access date to every figure, and to emit an explicit "cannot verify" list rather than quietly omitting what it could not find. Models are cooperative by default; without an explicit reward for reporting failure, gaps get papered over.</w:t>
      </w:r>
    </w:p>
    <w:p>
      <w:pPr>
        <w:pStyle w:val="Heading3"/>
        <w:spacing w:after="100" w:before="200"/>
      </w:pPr>
      <w:r>
        <w:rPr>
          <w:rFonts w:ascii="Calibri" w:cs="Calibri" w:eastAsia="Calibri" w:hAnsi="Calibri"/>
          <w:b/>
          <w:bCs/>
          <w:color w:val="F04E10"/>
          <w:sz w:val="22"/>
          <w:szCs w:val="22"/>
        </w:rPr>
        <w:t xml:space="preserve">Representative prompts used</w:t>
      </w:r>
    </w:p>
    <w:p>
      <w:pPr>
        <w:spacing w:after="40" w:before="140"/>
      </w:pPr>
      <w:r>
        <w:rPr>
          <w:rFonts w:ascii="Calibri" w:cs="Calibri" w:eastAsia="Calibri" w:hAnsi="Calibri"/>
          <w:b/>
          <w:bCs/>
          <w:color w:val="F04E10"/>
          <w:sz w:val="19"/>
          <w:szCs w:val="19"/>
        </w:rPr>
        <w:t xml:space="preserve">Prompt 1 — market sizing pass</w:t>
      </w:r>
    </w:p>
    <w:p>
      <w:pPr>
        <w:pBdr>
          <w:left w:val="single" w:color="D9D9D9" w:sz="12" w:space="8"/>
        </w:pBdr>
        <w:spacing w:after="0" w:line="260"/>
        <w:ind w:left="360"/>
      </w:pPr>
      <w:r>
        <w:rPr>
          <w:rFonts w:ascii="Consolas" w:cs="Consolas" w:eastAsia="Consolas" w:hAnsi="Consolas"/>
          <w:color w:val="3A3A42"/>
          <w:sz w:val="18"/>
          <w:szCs w:val="18"/>
        </w:rPr>
        <w:t xml:space="preserve">Act as a market research analyst. Size the market for an AI-first CMS with</w:t>
      </w:r>
    </w:p>
    <w:p>
      <w:pPr>
        <w:pBdr>
          <w:left w:val="single" w:color="D9D9D9" w:sz="12" w:space="8"/>
        </w:pBdr>
        <w:spacing w:after="0" w:line="260"/>
        <w:ind w:left="360"/>
      </w:pPr>
      <w:r>
        <w:rPr>
          <w:rFonts w:ascii="Consolas" w:cs="Consolas" w:eastAsia="Consolas" w:hAnsi="Consolas"/>
          <w:color w:val="3A3A42"/>
          <w:sz w:val="18"/>
          <w:szCs w:val="18"/>
        </w:rPr>
        <w:t xml:space="preserve">native experimentation, for mid-market SaaS, DTC e-commerce and enterprise B2B.</w:t>
      </w:r>
    </w:p>
    <w:p>
      <w:pPr>
        <w:pBdr>
          <w:left w:val="single" w:color="D9D9D9" w:sz="12" w:space="8"/>
        </w:pBdr>
        <w:spacing w:after="0" w:line="260"/>
        <w:ind w:left="360"/>
      </w:pPr>
      <w:r>
        <w:rPr>
          <w:rFonts w:ascii="Consolas" w:cs="Consolas" w:eastAsia="Consolas" w:hAnsi="Consolas"/>
          <w:color w:val="3A3A42"/>
          <w:sz w:val="18"/>
          <w:szCs w:val="18"/>
        </w:rPr>
        <w:t xml:space="preserve">Build TAM/SAM/SOM top-down from adjacent categories (content management, AI in</w:t>
      </w:r>
    </w:p>
    <w:p>
      <w:pPr>
        <w:pBdr>
          <w:left w:val="single" w:color="D9D9D9" w:sz="12" w:space="8"/>
        </w:pBdr>
        <w:spacing w:after="0" w:line="260"/>
        <w:ind w:left="360"/>
      </w:pPr>
      <w:r>
        <w:rPr>
          <w:rFonts w:ascii="Consolas" w:cs="Consolas" w:eastAsia="Consolas" w:hAnsi="Consolas"/>
          <w:color w:val="3A3A42"/>
          <w:sz w:val="18"/>
          <w:szCs w:val="18"/>
        </w:rPr>
        <w:t xml:space="preserve">marketing, A/B testing / CRO). Rules: (1) cite at least two independent research</w:t>
      </w:r>
    </w:p>
    <w:p>
      <w:pPr>
        <w:pBdr>
          <w:left w:val="single" w:color="D9D9D9" w:sz="12" w:space="8"/>
        </w:pBdr>
        <w:spacing w:after="0" w:line="260"/>
        <w:ind w:left="360"/>
      </w:pPr>
      <w:r>
        <w:rPr>
          <w:rFonts w:ascii="Consolas" w:cs="Consolas" w:eastAsia="Consolas" w:hAnsi="Consolas"/>
          <w:color w:val="3A3A42"/>
          <w:sz w:val="18"/>
          <w:szCs w:val="18"/>
        </w:rPr>
        <w:t xml:space="preserve">houses per topic and report the RANGE, not an average; (2) give every figure a</w:t>
      </w:r>
    </w:p>
    <w:p>
      <w:pPr>
        <w:pBdr>
          <w:left w:val="single" w:color="D9D9D9" w:sz="12" w:space="8"/>
        </w:pBdr>
        <w:spacing w:after="0" w:line="260"/>
        <w:ind w:left="360"/>
      </w:pPr>
      <w:r>
        <w:rPr>
          <w:rFonts w:ascii="Consolas" w:cs="Consolas" w:eastAsia="Consolas" w:hAnsi="Consolas"/>
          <w:color w:val="3A3A42"/>
          <w:sz w:val="18"/>
          <w:szCs w:val="18"/>
        </w:rPr>
        <w:t xml:space="preserve">source name and an access date; (3) end with a table of numbers we can safely</w:t>
      </w:r>
    </w:p>
    <w:p>
      <w:pPr>
        <w:pBdr>
          <w:left w:val="single" w:color="D9D9D9" w:sz="12" w:space="8"/>
        </w:pBdr>
        <w:spacing w:after="0" w:line="260"/>
        <w:ind w:left="360"/>
      </w:pPr>
      <w:r>
        <w:rPr>
          <w:rFonts w:ascii="Consolas" w:cs="Consolas" w:eastAsia="Consolas" w:hAnsi="Consolas"/>
          <w:color w:val="3A3A42"/>
          <w:sz w:val="18"/>
          <w:szCs w:val="18"/>
        </w:rPr>
        <w:t xml:space="preserve">quote, each rated High / Medium / Low-Medium confidence, and state the rule for</w:t>
      </w:r>
    </w:p>
    <w:p>
      <w:pPr>
        <w:pBdr>
          <w:left w:val="single" w:color="D9D9D9" w:sz="12" w:space="8"/>
        </w:pBdr>
        <w:spacing w:after="140" w:line="260"/>
        <w:ind w:left="360"/>
      </w:pPr>
      <w:r>
        <w:rPr>
          <w:rFonts w:ascii="Consolas" w:cs="Consolas" w:eastAsia="Consolas" w:hAnsi="Consolas"/>
          <w:color w:val="3A3A42"/>
          <w:sz w:val="18"/>
          <w:szCs w:val="18"/>
        </w:rPr>
        <w:t xml:space="preserve">how each confidence level may be used in external materials.</w:t>
      </w:r>
    </w:p>
    <w:p>
      <w:pPr>
        <w:spacing w:after="40" w:before="140"/>
      </w:pPr>
      <w:r>
        <w:rPr>
          <w:rFonts w:ascii="Calibri" w:cs="Calibri" w:eastAsia="Calibri" w:hAnsi="Calibri"/>
          <w:b/>
          <w:bCs/>
          <w:color w:val="F04E10"/>
          <w:sz w:val="19"/>
          <w:szCs w:val="19"/>
        </w:rPr>
        <w:t xml:space="preserve">Prompt 2 — verification pass against our own deck</w:t>
      </w:r>
    </w:p>
    <w:p>
      <w:pPr>
        <w:pBdr>
          <w:left w:val="single" w:color="D9D9D9" w:sz="12" w:space="8"/>
        </w:pBdr>
        <w:spacing w:after="0" w:line="260"/>
        <w:ind w:left="360"/>
      </w:pPr>
      <w:r>
        <w:rPr>
          <w:rFonts w:ascii="Consolas" w:cs="Consolas" w:eastAsia="Consolas" w:hAnsi="Consolas"/>
          <w:color w:val="3A3A42"/>
          <w:sz w:val="18"/>
          <w:szCs w:val="18"/>
        </w:rPr>
        <w:t xml:space="preserve">Here are the statistics asserted in our capstone proposal deck. For each one,</w:t>
      </w:r>
    </w:p>
    <w:p>
      <w:pPr>
        <w:pBdr>
          <w:left w:val="single" w:color="D9D9D9" w:sz="12" w:space="8"/>
        </w:pBdr>
        <w:spacing w:after="0" w:line="260"/>
        <w:ind w:left="360"/>
      </w:pPr>
      <w:r>
        <w:rPr>
          <w:rFonts w:ascii="Consolas" w:cs="Consolas" w:eastAsia="Consolas" w:hAnsi="Consolas"/>
          <w:color w:val="3A3A42"/>
          <w:sz w:val="18"/>
          <w:szCs w:val="18"/>
        </w:rPr>
        <w:t xml:space="preserve">attempt independent corroboration by live search. Do NOT try to make them true.</w:t>
      </w:r>
    </w:p>
    <w:p>
      <w:pPr>
        <w:pBdr>
          <w:left w:val="single" w:color="D9D9D9" w:sz="12" w:space="8"/>
        </w:pBdr>
        <w:spacing w:after="0" w:line="260"/>
        <w:ind w:left="360"/>
      </w:pPr>
      <w:r>
        <w:rPr>
          <w:rFonts w:ascii="Consolas" w:cs="Consolas" w:eastAsia="Consolas" w:hAnsi="Consolas"/>
          <w:color w:val="3A3A42"/>
          <w:sz w:val="18"/>
          <w:szCs w:val="18"/>
        </w:rPr>
        <w:t xml:space="preserve">Return three lists: VERIFIED (with source and date), PARTIALLY CORROBORATED</w:t>
      </w:r>
    </w:p>
    <w:p>
      <w:pPr>
        <w:pBdr>
          <w:left w:val="single" w:color="D9D9D9" w:sz="12" w:space="8"/>
        </w:pBdr>
        <w:spacing w:after="0" w:line="260"/>
        <w:ind w:left="360"/>
      </w:pPr>
      <w:r>
        <w:rPr>
          <w:rFonts w:ascii="Consolas" w:cs="Consolas" w:eastAsia="Consolas" w:hAnsi="Consolas"/>
          <w:color w:val="3A3A42"/>
          <w:sz w:val="18"/>
          <w:szCs w:val="18"/>
        </w:rPr>
        <w:t xml:space="preserve">(state the nearest real figure and how it differs), and UNVERIFIABLE. Where a</w:t>
      </w:r>
    </w:p>
    <w:p>
      <w:pPr>
        <w:pBdr>
          <w:left w:val="single" w:color="D9D9D9" w:sz="12" w:space="8"/>
        </w:pBdr>
        <w:spacing w:after="0" w:line="260"/>
        <w:ind w:left="360"/>
      </w:pPr>
      <w:r>
        <w:rPr>
          <w:rFonts w:ascii="Consolas" w:cs="Consolas" w:eastAsia="Consolas" w:hAnsi="Consolas"/>
          <w:color w:val="3A3A42"/>
          <w:sz w:val="18"/>
          <w:szCs w:val="18"/>
        </w:rPr>
        <w:t xml:space="preserve">deck figure is in active tension with published research, flag it as a</w:t>
      </w:r>
    </w:p>
    <w:p>
      <w:pPr>
        <w:pBdr>
          <w:left w:val="single" w:color="D9D9D9" w:sz="12" w:space="8"/>
        </w:pBdr>
        <w:spacing w:after="140" w:line="260"/>
        <w:ind w:left="360"/>
      </w:pPr>
      <w:r>
        <w:rPr>
          <w:rFonts w:ascii="Consolas" w:cs="Consolas" w:eastAsia="Consolas" w:hAnsi="Consolas"/>
          <w:color w:val="3A3A42"/>
          <w:sz w:val="18"/>
          <w:szCs w:val="18"/>
        </w:rPr>
        <w:t xml:space="preserve">DISCREPANCY, not merely unverified, and say which direction the error runs.</w:t>
      </w:r>
    </w:p>
    <w:p>
      <w:pPr>
        <w:spacing w:after="40" w:before="140"/>
      </w:pPr>
      <w:r>
        <w:rPr>
          <w:rFonts w:ascii="Calibri" w:cs="Calibri" w:eastAsia="Calibri" w:hAnsi="Calibri"/>
          <w:b/>
          <w:bCs/>
          <w:color w:val="F04E10"/>
          <w:sz w:val="19"/>
          <w:szCs w:val="19"/>
        </w:rPr>
        <w:t xml:space="preserve">Prompt 3 — competitive teardown</w:t>
      </w:r>
    </w:p>
    <w:p>
      <w:pPr>
        <w:pBdr>
          <w:left w:val="single" w:color="D9D9D9" w:sz="12" w:space="8"/>
        </w:pBdr>
        <w:spacing w:after="0" w:line="260"/>
        <w:ind w:left="360"/>
      </w:pPr>
      <w:r>
        <w:rPr>
          <w:rFonts w:ascii="Consolas" w:cs="Consolas" w:eastAsia="Consolas" w:hAnsi="Consolas"/>
          <w:color w:val="3A3A42"/>
          <w:sz w:val="18"/>
          <w:szCs w:val="18"/>
        </w:rPr>
        <w:t xml:space="preserve">Produce a teardown of Optimizely as our named comparator. Use only their live</w:t>
      </w:r>
    </w:p>
    <w:p>
      <w:pPr>
        <w:pBdr>
          <w:left w:val="single" w:color="D9D9D9" w:sz="12" w:space="8"/>
        </w:pBdr>
        <w:spacing w:after="0" w:line="260"/>
        <w:ind w:left="360"/>
      </w:pPr>
      <w:r>
        <w:rPr>
          <w:rFonts w:ascii="Consolas" w:cs="Consolas" w:eastAsia="Consolas" w:hAnsi="Consolas"/>
          <w:color w:val="3A3A42"/>
          <w:sz w:val="18"/>
          <w:szCs w:val="18"/>
        </w:rPr>
        <w:t xml:space="preserve">product and press pages as primary evidence. For every claim about their</w:t>
      </w:r>
    </w:p>
    <w:p>
      <w:pPr>
        <w:pBdr>
          <w:left w:val="single" w:color="D9D9D9" w:sz="12" w:space="8"/>
        </w:pBdr>
        <w:spacing w:after="0" w:line="260"/>
        <w:ind w:left="360"/>
      </w:pPr>
      <w:r>
        <w:rPr>
          <w:rFonts w:ascii="Consolas" w:cs="Consolas" w:eastAsia="Consolas" w:hAnsi="Consolas"/>
          <w:color w:val="3A3A42"/>
          <w:sz w:val="18"/>
          <w:szCs w:val="18"/>
        </w:rPr>
        <w:t xml:space="preserve">architecture, mark whether it is (a) a direct quote from their own page, or</w:t>
      </w:r>
    </w:p>
    <w:p>
      <w:pPr>
        <w:pBdr>
          <w:left w:val="single" w:color="D9D9D9" w:sz="12" w:space="8"/>
        </w:pBdr>
        <w:spacing w:after="0" w:line="260"/>
        <w:ind w:left="360"/>
      </w:pPr>
      <w:r>
        <w:rPr>
          <w:rFonts w:ascii="Consolas" w:cs="Consolas" w:eastAsia="Consolas" w:hAnsi="Consolas"/>
          <w:color w:val="3A3A42"/>
          <w:sz w:val="18"/>
          <w:szCs w:val="18"/>
        </w:rPr>
        <w:t xml:space="preserve">(b) an inference from published capability descriptions. Never present (b) as</w:t>
      </w:r>
    </w:p>
    <w:p>
      <w:pPr>
        <w:pBdr>
          <w:left w:val="single" w:color="D9D9D9" w:sz="12" w:space="8"/>
        </w:pBdr>
        <w:spacing w:after="0" w:line="260"/>
        <w:ind w:left="360"/>
      </w:pPr>
      <w:r>
        <w:rPr>
          <w:rFonts w:ascii="Consolas" w:cs="Consolas" w:eastAsia="Consolas" w:hAnsi="Consolas"/>
          <w:color w:val="3A3A42"/>
          <w:sz w:val="18"/>
          <w:szCs w:val="18"/>
        </w:rPr>
        <w:t xml:space="preserve">(a). Then identify the single most defensible comparative wedge we can make,</w:t>
      </w:r>
    </w:p>
    <w:p>
      <w:pPr>
        <w:pBdr>
          <w:left w:val="single" w:color="D9D9D9" w:sz="12" w:space="8"/>
        </w:pBdr>
        <w:spacing w:after="0" w:line="260"/>
        <w:ind w:left="360"/>
      </w:pPr>
      <w:r>
        <w:rPr>
          <w:rFonts w:ascii="Consolas" w:cs="Consolas" w:eastAsia="Consolas" w:hAnsi="Consolas"/>
          <w:color w:val="3A3A42"/>
          <w:sz w:val="18"/>
          <w:szCs w:val="18"/>
        </w:rPr>
        <w:t xml:space="preserve">and separately list the wedges we should NOT claim because we cannot support</w:t>
      </w:r>
    </w:p>
    <w:p>
      <w:pPr>
        <w:pBdr>
          <w:left w:val="single" w:color="D9D9D9" w:sz="12" w:space="8"/>
        </w:pBdr>
        <w:spacing w:after="140" w:line="260"/>
        <w:ind w:left="360"/>
      </w:pPr>
      <w:r>
        <w:rPr>
          <w:rFonts w:ascii="Consolas" w:cs="Consolas" w:eastAsia="Consolas" w:hAnsi="Consolas"/>
          <w:color w:val="3A3A42"/>
          <w:sz w:val="18"/>
          <w:szCs w:val="18"/>
        </w:rPr>
        <w:t xml:space="preserve">them or because they are parity, not advantage.</w:t>
      </w:r>
    </w:p>
    <w:p>
      <w:pPr>
        <w:spacing w:after="40" w:before="140"/>
      </w:pPr>
      <w:r>
        <w:rPr>
          <w:rFonts w:ascii="Calibri" w:cs="Calibri" w:eastAsia="Calibri" w:hAnsi="Calibri"/>
          <w:b/>
          <w:bCs/>
          <w:color w:val="F04E10"/>
          <w:sz w:val="19"/>
          <w:szCs w:val="19"/>
        </w:rPr>
        <w:t xml:space="preserve">Prompt 4 — adversarial review (the highest-leverage step)</w:t>
      </w:r>
    </w:p>
    <w:p>
      <w:pPr>
        <w:pBdr>
          <w:left w:val="single" w:color="D9D9D9" w:sz="12" w:space="8"/>
        </w:pBdr>
        <w:spacing w:after="0" w:line="260"/>
        <w:ind w:left="360"/>
      </w:pPr>
      <w:r>
        <w:rPr>
          <w:rFonts w:ascii="Consolas" w:cs="Consolas" w:eastAsia="Consolas" w:hAnsi="Consolas"/>
          <w:color w:val="3A3A42"/>
          <w:sz w:val="18"/>
          <w:szCs w:val="18"/>
        </w:rPr>
        <w:t xml:space="preserve">Act as a positioning reviewer hostile to this document. Your job is to find</w:t>
      </w:r>
    </w:p>
    <w:p>
      <w:pPr>
        <w:pBdr>
          <w:left w:val="single" w:color="D9D9D9" w:sz="12" w:space="8"/>
        </w:pBdr>
        <w:spacing w:after="0" w:line="260"/>
        <w:ind w:left="360"/>
      </w:pPr>
      <w:r>
        <w:rPr>
          <w:rFonts w:ascii="Consolas" w:cs="Consolas" w:eastAsia="Consolas" w:hAnsi="Consolas"/>
          <w:color w:val="3A3A42"/>
          <w:sz w:val="18"/>
          <w:szCs w:val="18"/>
        </w:rPr>
        <w:t xml:space="preserve">claims that are unverified, self-contradictory, or contradicted by the</w:t>
      </w:r>
    </w:p>
    <w:p>
      <w:pPr>
        <w:pBdr>
          <w:left w:val="single" w:color="D9D9D9" w:sz="12" w:space="8"/>
        </w:pBdr>
        <w:spacing w:after="0" w:line="260"/>
        <w:ind w:left="360"/>
      </w:pPr>
      <w:r>
        <w:rPr>
          <w:rFonts w:ascii="Consolas" w:cs="Consolas" w:eastAsia="Consolas" w:hAnsi="Consolas"/>
          <w:color w:val="3A3A42"/>
          <w:sz w:val="18"/>
          <w:szCs w:val="18"/>
        </w:rPr>
        <w:t xml:space="preserve">document's own cited sources. For each finding, classify it MUST-FIX or</w:t>
      </w:r>
    </w:p>
    <w:p>
      <w:pPr>
        <w:pBdr>
          <w:left w:val="single" w:color="D9D9D9" w:sz="12" w:space="8"/>
        </w:pBdr>
        <w:spacing w:after="0" w:line="260"/>
        <w:ind w:left="360"/>
      </w:pPr>
      <w:r>
        <w:rPr>
          <w:rFonts w:ascii="Consolas" w:cs="Consolas" w:eastAsia="Consolas" w:hAnsi="Consolas"/>
          <w:color w:val="3A3A42"/>
          <w:sz w:val="18"/>
          <w:szCs w:val="18"/>
        </w:rPr>
        <w:t xml:space="preserve">NICE-TO-HAVE and state the specific evidence that defeats the claim. Finish</w:t>
      </w:r>
    </w:p>
    <w:p>
      <w:pPr>
        <w:pBdr>
          <w:left w:val="single" w:color="D9D9D9" w:sz="12" w:space="8"/>
        </w:pBdr>
        <w:spacing w:after="140" w:line="260"/>
        <w:ind w:left="360"/>
      </w:pPr>
      <w:r>
        <w:rPr>
          <w:rFonts w:ascii="Consolas" w:cs="Consolas" w:eastAsia="Consolas" w:hAnsi="Consolas"/>
          <w:color w:val="3A3A42"/>
          <w:sz w:val="18"/>
          <w:szCs w:val="18"/>
        </w:rPr>
        <w:t xml:space="preserve">with one verdict: APPROVE, REVISE, or RETHINK. Do not soften findings.</w:t>
      </w:r>
    </w:p>
    <w:p>
      <w:pPr>
        <w:spacing w:after="120" w:line="276"/>
      </w:pPr>
      <w:r>
        <w:rPr>
          <w:rFonts w:ascii="Calibri" w:cs="Calibri" w:eastAsia="Calibri" w:hAnsi="Calibri"/>
          <w:i/>
          <w:iCs/>
          <w:color w:val="16161A"/>
          <w:sz w:val="21"/>
          <w:szCs w:val="21"/>
        </w:rPr>
        <w:t xml:space="preserve">The output of Prompt 4 was logged and answered item by item in a revision log, with each item marked accepted, rebutted, or noted-but-not-changed with a rationale — so that the reasoning trail survives beyond the people who were in the room.</w:t>
      </w:r>
    </w:p>
    <w:p>
      <w:r>
        <w:br w:type="page"/>
      </w:r>
    </w:p>
    <w:p>
      <w:pPr>
        <w:pStyle w:val="Heading1"/>
        <w:spacing w:after="160" w:before="360"/>
      </w:pPr>
      <w:r>
        <w:rPr>
          <w:rFonts w:ascii="Calibri" w:cs="Calibri" w:eastAsia="Calibri" w:hAnsi="Calibri"/>
          <w:b/>
          <w:bCs/>
          <w:color w:val="16161A"/>
          <w:sz w:val="30"/>
          <w:szCs w:val="30"/>
        </w:rPr>
        <w:t xml:space="preserve">3. Need Analysis and Prioritized Requirements</w:t>
      </w:r>
    </w:p>
    <w:p>
      <w:pPr>
        <w:spacing w:after="120" w:line="276"/>
      </w:pPr>
      <w:r>
        <w:rPr>
          <w:rFonts w:ascii="Calibri" w:cs="Calibri" w:eastAsia="Calibri" w:hAnsi="Calibri"/>
          <w:color w:val="16161A"/>
          <w:sz w:val="21"/>
          <w:szCs w:val="21"/>
        </w:rPr>
        <w:t xml:space="preserve">The purpose of this phase was to convert research findings into a requirement set that a team could actually build in sequence — and, just as importantly, to make explicit what would not be built and why.</w:t>
      </w:r>
    </w:p>
    <w:p>
      <w:pPr>
        <w:pStyle w:val="Heading2"/>
        <w:spacing w:after="120" w:before="260"/>
      </w:pPr>
      <w:r>
        <w:rPr>
          <w:rFonts w:ascii="Calibri" w:cs="Calibri" w:eastAsia="Calibri" w:hAnsi="Calibri"/>
          <w:b/>
          <w:bCs/>
          <w:color w:val="16161A"/>
          <w:sz w:val="24"/>
          <w:szCs w:val="24"/>
        </w:rPr>
        <w:t xml:space="preserve">3.1 From evidence to pain points</w:t>
      </w:r>
    </w:p>
    <w:p>
      <w:pPr>
        <w:spacing w:after="120" w:line="276"/>
      </w:pPr>
      <w:r>
        <w:rPr>
          <w:rFonts w:ascii="Calibri" w:cs="Calibri" w:eastAsia="Calibri" w:hAnsi="Calibri"/>
          <w:color w:val="16161A"/>
          <w:sz w:val="21"/>
          <w:szCs w:val="21"/>
        </w:rPr>
        <w:t xml:space="preserve">Eight recurring pain points emerged from the interviews and were corroborated, where possible, against secondary research. Each was traced to a persona and to an underlying cause, because treating a symptom produces a feature while treating a cause produces a product.</w:t>
      </w:r>
    </w:p>
    <w:p>
      <w:pPr>
        <w:spacing w:after="120"/>
      </w:pPr>
      <w:r>
        <w:rPr>
          <w:sz w:val="12"/>
          <w:szCs w:val="1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800"/>
        <w:gridCol w:w="3600"/>
      </w:tblGrid>
      <w:tr>
        <w:trPr>
          <w:tblHeader/>
        </w:trPr>
        <w:tc>
          <w:tcPr>
            <w:tcW w:type="dxa" w:w="7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w:t>
            </w:r>
          </w:p>
        </w:tc>
        <w:tc>
          <w:tcPr>
            <w:tcW w:type="dxa" w:w="33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Pain point</w:t>
            </w:r>
          </w:p>
        </w:tc>
        <w:tc>
          <w:tcPr>
            <w:tcW w:type="dxa" w:w="18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Primary persona</w:t>
            </w:r>
          </w:p>
        </w:tc>
        <w:tc>
          <w:tcPr>
            <w:tcW w:type="dxa" w:w="36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Underlying cause</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P1</w:t>
            </w:r>
          </w:p>
        </w:tc>
        <w:tc>
          <w:tcPr>
            <w:tcW w:type="dxa" w:w="3300"/>
            <w:tcMar>
              <w:top w:type="dxa" w:w="80"/>
              <w:left w:type="dxa" w:w="120"/>
              <w:bottom w:type="dxa" w:w="80"/>
              <w:right w:type="dxa" w:w="120"/>
            </w:tcMar>
          </w:tcPr>
          <w:p>
            <w:pPr>
              <w:spacing w:after="0"/>
            </w:pPr>
            <w:r>
              <w:rPr>
                <w:rFonts w:ascii="Calibri" w:cs="Calibri" w:eastAsia="Calibri" w:hAnsi="Calibri"/>
                <w:color w:val="16161A"/>
                <w:sz w:val="19"/>
                <w:szCs w:val="19"/>
              </w:rPr>
              <w:t xml:space="preserve">Campaigns take weeks to launch</w:t>
            </w:r>
          </w:p>
        </w:tc>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Maya, Raj</w:t>
            </w:r>
          </w:p>
        </w:tc>
        <w:tc>
          <w:tcPr>
            <w:tcW w:type="dxa" w:w="3600"/>
            <w:tcMar>
              <w:top w:type="dxa" w:w="80"/>
              <w:left w:type="dxa" w:w="120"/>
              <w:bottom w:type="dxa" w:w="80"/>
              <w:right w:type="dxa" w:w="120"/>
            </w:tcMar>
          </w:tcPr>
          <w:p>
            <w:pPr>
              <w:spacing w:after="0"/>
            </w:pPr>
            <w:r>
              <w:rPr>
                <w:rFonts w:ascii="Calibri" w:cs="Calibri" w:eastAsia="Calibri" w:hAnsi="Calibri"/>
                <w:color w:val="16161A"/>
                <w:sz w:val="19"/>
                <w:szCs w:val="19"/>
              </w:rPr>
              <w:t xml:space="preserve">Serial hand-offs: brief → design → copy → build → QA</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P2</w:t>
            </w:r>
          </w:p>
        </w:tc>
        <w:tc>
          <w:tcPr>
            <w:tcW w:type="dxa" w:w="3300"/>
            <w:tcMar>
              <w:top w:type="dxa" w:w="80"/>
              <w:left w:type="dxa" w:w="120"/>
              <w:bottom w:type="dxa" w:w="80"/>
              <w:right w:type="dxa" w:w="120"/>
            </w:tcMar>
          </w:tcPr>
          <w:p>
            <w:pPr>
              <w:spacing w:after="0"/>
            </w:pPr>
            <w:r>
              <w:rPr>
                <w:rFonts w:ascii="Calibri" w:cs="Calibri" w:eastAsia="Calibri" w:hAnsi="Calibri"/>
                <w:color w:val="16161A"/>
                <w:sz w:val="19"/>
                <w:szCs w:val="19"/>
              </w:rPr>
              <w:t xml:space="preserve">Design dependency blocks iteration</w:t>
            </w:r>
          </w:p>
        </w:tc>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Maya</w:t>
            </w:r>
          </w:p>
        </w:tc>
        <w:tc>
          <w:tcPr>
            <w:tcW w:type="dxa" w:w="3600"/>
            <w:tcMar>
              <w:top w:type="dxa" w:w="80"/>
              <w:left w:type="dxa" w:w="120"/>
              <w:bottom w:type="dxa" w:w="80"/>
              <w:right w:type="dxa" w:w="120"/>
            </w:tcMar>
          </w:tcPr>
          <w:p>
            <w:pPr>
              <w:spacing w:after="0"/>
            </w:pPr>
            <w:r>
              <w:rPr>
                <w:rFonts w:ascii="Calibri" w:cs="Calibri" w:eastAsia="Calibri" w:hAnsi="Calibri"/>
                <w:color w:val="16161A"/>
                <w:sz w:val="19"/>
                <w:szCs w:val="19"/>
              </w:rPr>
              <w:t xml:space="preserve">Every variant requires a human to produce an asset</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P3</w:t>
            </w:r>
          </w:p>
        </w:tc>
        <w:tc>
          <w:tcPr>
            <w:tcW w:type="dxa" w:w="3300"/>
            <w:tcMar>
              <w:top w:type="dxa" w:w="80"/>
              <w:left w:type="dxa" w:w="120"/>
              <w:bottom w:type="dxa" w:w="80"/>
              <w:right w:type="dxa" w:w="120"/>
            </w:tcMar>
          </w:tcPr>
          <w:p>
            <w:pPr>
              <w:spacing w:after="0"/>
            </w:pPr>
            <w:r>
              <w:rPr>
                <w:rFonts w:ascii="Calibri" w:cs="Calibri" w:eastAsia="Calibri" w:hAnsi="Calibri"/>
                <w:color w:val="16161A"/>
                <w:sz w:val="19"/>
                <w:szCs w:val="19"/>
              </w:rPr>
              <w:t xml:space="preserve">Testing is complex, so teams skip it</w:t>
            </w:r>
          </w:p>
        </w:tc>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Maya, Raj</w:t>
            </w:r>
          </w:p>
        </w:tc>
        <w:tc>
          <w:tcPr>
            <w:tcW w:type="dxa" w:w="3600"/>
            <w:tcMar>
              <w:top w:type="dxa" w:w="80"/>
              <w:left w:type="dxa" w:w="120"/>
              <w:bottom w:type="dxa" w:w="80"/>
              <w:right w:type="dxa" w:w="120"/>
            </w:tcMar>
          </w:tcPr>
          <w:p>
            <w:pPr>
              <w:spacing w:after="0"/>
            </w:pPr>
            <w:r>
              <w:rPr>
                <w:rFonts w:ascii="Calibri" w:cs="Calibri" w:eastAsia="Calibri" w:hAnsi="Calibri"/>
                <w:color w:val="16161A"/>
                <w:sz w:val="19"/>
                <w:szCs w:val="19"/>
              </w:rPr>
              <w:t xml:space="preserve">Set-up cost per test exceeds perceived per-test value</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P4</w:t>
            </w:r>
          </w:p>
        </w:tc>
        <w:tc>
          <w:tcPr>
            <w:tcW w:type="dxa" w:w="3300"/>
            <w:tcMar>
              <w:top w:type="dxa" w:w="80"/>
              <w:left w:type="dxa" w:w="120"/>
              <w:bottom w:type="dxa" w:w="80"/>
              <w:right w:type="dxa" w:w="120"/>
            </w:tcMar>
          </w:tcPr>
          <w:p>
            <w:pPr>
              <w:spacing w:after="0"/>
            </w:pPr>
            <w:r>
              <w:rPr>
                <w:rFonts w:ascii="Calibri" w:cs="Calibri" w:eastAsia="Calibri" w:hAnsi="Calibri"/>
                <w:color w:val="16161A"/>
                <w:sz w:val="19"/>
                <w:szCs w:val="19"/>
              </w:rPr>
              <w:t xml:space="preserve">Nobody knows what to test</w:t>
            </w:r>
          </w:p>
        </w:tc>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Raj</w:t>
            </w:r>
          </w:p>
        </w:tc>
        <w:tc>
          <w:tcPr>
            <w:tcW w:type="dxa" w:w="3600"/>
            <w:tcMar>
              <w:top w:type="dxa" w:w="80"/>
              <w:left w:type="dxa" w:w="120"/>
              <w:bottom w:type="dxa" w:w="80"/>
              <w:right w:type="dxa" w:w="120"/>
            </w:tcMar>
          </w:tcPr>
          <w:p>
            <w:pPr>
              <w:spacing w:after="0"/>
            </w:pPr>
            <w:r>
              <w:rPr>
                <w:rFonts w:ascii="Calibri" w:cs="Calibri" w:eastAsia="Calibri" w:hAnsi="Calibri"/>
                <w:color w:val="16161A"/>
                <w:sz w:val="19"/>
                <w:szCs w:val="19"/>
              </w:rPr>
              <w:t xml:space="preserve">Hypothesis generation is a scarce human skill, not a tool feature</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P5</w:t>
            </w:r>
          </w:p>
        </w:tc>
        <w:tc>
          <w:tcPr>
            <w:tcW w:type="dxa" w:w="3300"/>
            <w:tcMar>
              <w:top w:type="dxa" w:w="80"/>
              <w:left w:type="dxa" w:w="120"/>
              <w:bottom w:type="dxa" w:w="80"/>
              <w:right w:type="dxa" w:w="120"/>
            </w:tcMar>
          </w:tcPr>
          <w:p>
            <w:pPr>
              <w:spacing w:after="0"/>
            </w:pPr>
            <w:r>
              <w:rPr>
                <w:rFonts w:ascii="Calibri" w:cs="Calibri" w:eastAsia="Calibri" w:hAnsi="Calibri"/>
                <w:color w:val="16161A"/>
                <w:sz w:val="19"/>
                <w:szCs w:val="19"/>
              </w:rPr>
              <w:t xml:space="preserve">Insights are siloed and do not feed planning</w:t>
            </w:r>
          </w:p>
        </w:tc>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Raj, Sarah</w:t>
            </w:r>
          </w:p>
        </w:tc>
        <w:tc>
          <w:tcPr>
            <w:tcW w:type="dxa" w:w="3600"/>
            <w:tcMar>
              <w:top w:type="dxa" w:w="80"/>
              <w:left w:type="dxa" w:w="120"/>
              <w:bottom w:type="dxa" w:w="80"/>
              <w:right w:type="dxa" w:w="120"/>
            </w:tcMar>
          </w:tcPr>
          <w:p>
            <w:pPr>
              <w:spacing w:after="0"/>
            </w:pPr>
            <w:r>
              <w:rPr>
                <w:rFonts w:ascii="Calibri" w:cs="Calibri" w:eastAsia="Calibri" w:hAnsi="Calibri"/>
                <w:color w:val="16161A"/>
                <w:sz w:val="19"/>
                <w:szCs w:val="19"/>
              </w:rPr>
              <w:t xml:space="preserve">No persistent store connecting results to future generation</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P6</w:t>
            </w:r>
          </w:p>
        </w:tc>
        <w:tc>
          <w:tcPr>
            <w:tcW w:type="dxa" w:w="3300"/>
            <w:tcMar>
              <w:top w:type="dxa" w:w="80"/>
              <w:left w:type="dxa" w:w="120"/>
              <w:bottom w:type="dxa" w:w="80"/>
              <w:right w:type="dxa" w:w="120"/>
            </w:tcMar>
          </w:tcPr>
          <w:p>
            <w:pPr>
              <w:spacing w:after="0"/>
            </w:pPr>
            <w:r>
              <w:rPr>
                <w:rFonts w:ascii="Calibri" w:cs="Calibri" w:eastAsia="Calibri" w:hAnsi="Calibri"/>
                <w:color w:val="16161A"/>
                <w:sz w:val="19"/>
                <w:szCs w:val="19"/>
              </w:rPr>
              <w:t xml:space="preserve">Analytics are fragmented across platforms</w:t>
            </w:r>
          </w:p>
        </w:tc>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Sarah</w:t>
            </w:r>
          </w:p>
        </w:tc>
        <w:tc>
          <w:tcPr>
            <w:tcW w:type="dxa" w:w="3600"/>
            <w:tcMar>
              <w:top w:type="dxa" w:w="80"/>
              <w:left w:type="dxa" w:w="120"/>
              <w:bottom w:type="dxa" w:w="80"/>
              <w:right w:type="dxa" w:w="120"/>
            </w:tcMar>
          </w:tcPr>
          <w:p>
            <w:pPr>
              <w:spacing w:after="0"/>
            </w:pPr>
            <w:r>
              <w:rPr>
                <w:rFonts w:ascii="Calibri" w:cs="Calibri" w:eastAsia="Calibri" w:hAnsi="Calibri"/>
                <w:color w:val="16161A"/>
                <w:sz w:val="19"/>
                <w:szCs w:val="19"/>
              </w:rPr>
              <w:t xml:space="preserve">Roughly 49% tool utilization across ~10 tools</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P7</w:t>
            </w:r>
          </w:p>
        </w:tc>
        <w:tc>
          <w:tcPr>
            <w:tcW w:type="dxa" w:w="3300"/>
            <w:tcMar>
              <w:top w:type="dxa" w:w="80"/>
              <w:left w:type="dxa" w:w="120"/>
              <w:bottom w:type="dxa" w:w="80"/>
              <w:right w:type="dxa" w:w="120"/>
            </w:tcMar>
          </w:tcPr>
          <w:p>
            <w:pPr>
              <w:spacing w:after="0"/>
            </w:pPr>
            <w:r>
              <w:rPr>
                <w:rFonts w:ascii="Calibri" w:cs="Calibri" w:eastAsia="Calibri" w:hAnsi="Calibri"/>
                <w:color w:val="16161A"/>
                <w:sz w:val="19"/>
                <w:szCs w:val="19"/>
              </w:rPr>
              <w:t xml:space="preserve">Autonomy is a governance risk</w:t>
            </w:r>
          </w:p>
        </w:tc>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Sarah</w:t>
            </w:r>
          </w:p>
        </w:tc>
        <w:tc>
          <w:tcPr>
            <w:tcW w:type="dxa" w:w="3600"/>
            <w:tcMar>
              <w:top w:type="dxa" w:w="80"/>
              <w:left w:type="dxa" w:w="120"/>
              <w:bottom w:type="dxa" w:w="80"/>
              <w:right w:type="dxa" w:w="120"/>
            </w:tcMar>
          </w:tcPr>
          <w:p>
            <w:pPr>
              <w:spacing w:after="0"/>
            </w:pPr>
            <w:r>
              <w:rPr>
                <w:rFonts w:ascii="Calibri" w:cs="Calibri" w:eastAsia="Calibri" w:hAnsi="Calibri"/>
                <w:color w:val="16161A"/>
                <w:sz w:val="19"/>
                <w:szCs w:val="19"/>
              </w:rPr>
              <w:t xml:space="preserve">No audit trail; no separation of authoring from approving</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P8</w:t>
            </w:r>
          </w:p>
        </w:tc>
        <w:tc>
          <w:tcPr>
            <w:tcW w:type="dxa" w:w="3300"/>
            <w:tcMar>
              <w:top w:type="dxa" w:w="80"/>
              <w:left w:type="dxa" w:w="120"/>
              <w:bottom w:type="dxa" w:w="80"/>
              <w:right w:type="dxa" w:w="120"/>
            </w:tcMar>
          </w:tcPr>
          <w:p>
            <w:pPr>
              <w:spacing w:after="0"/>
            </w:pPr>
            <w:r>
              <w:rPr>
                <w:rFonts w:ascii="Calibri" w:cs="Calibri" w:eastAsia="Calibri" w:hAnsi="Calibri"/>
                <w:color w:val="16161A"/>
                <w:sz w:val="19"/>
                <w:szCs w:val="19"/>
              </w:rPr>
              <w:t xml:space="preserve">Agency and headcount costs escalate with scale</w:t>
            </w:r>
          </w:p>
        </w:tc>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Sarah</w:t>
            </w:r>
          </w:p>
        </w:tc>
        <w:tc>
          <w:tcPr>
            <w:tcW w:type="dxa" w:w="3600"/>
            <w:tcMar>
              <w:top w:type="dxa" w:w="80"/>
              <w:left w:type="dxa" w:w="120"/>
              <w:bottom w:type="dxa" w:w="80"/>
              <w:right w:type="dxa" w:w="120"/>
            </w:tcMar>
          </w:tcPr>
          <w:p>
            <w:pPr>
              <w:spacing w:after="0"/>
            </w:pPr>
            <w:r>
              <w:rPr>
                <w:rFonts w:ascii="Calibri" w:cs="Calibri" w:eastAsia="Calibri" w:hAnsi="Calibri"/>
                <w:color w:val="16161A"/>
                <w:sz w:val="19"/>
                <w:szCs w:val="19"/>
              </w:rPr>
              <w:t xml:space="preserve">Output is linear in human hours</w:t>
            </w:r>
          </w:p>
        </w:tc>
      </w:tr>
    </w:tbl>
    <w:p>
      <w:pPr>
        <w:spacing w:after="120"/>
      </w:pPr>
      <w:r>
        <w:rPr>
          <w:sz w:val="12"/>
          <w:szCs w:val="12"/>
        </w:rPr>
        <w:t xml:space="preserve"/>
      </w:r>
    </w:p>
    <w:p>
      <w:pPr>
        <w:pStyle w:val="Heading2"/>
        <w:spacing w:after="120" w:before="260"/>
      </w:pPr>
      <w:r>
        <w:rPr>
          <w:rFonts w:ascii="Calibri" w:cs="Calibri" w:eastAsia="Calibri" w:hAnsi="Calibri"/>
          <w:b/>
          <w:bCs/>
          <w:color w:val="16161A"/>
          <w:sz w:val="24"/>
          <w:szCs w:val="24"/>
        </w:rPr>
        <w:t xml:space="preserve">3.2 Pain-to-requirement mapping</w:t>
      </w:r>
    </w:p>
    <w:p>
      <w:pPr>
        <w:spacing w:after="120" w:line="276"/>
      </w:pPr>
      <w:r>
        <w:rPr>
          <w:rFonts w:ascii="Calibri" w:cs="Calibri" w:eastAsia="Calibri" w:hAnsi="Calibri"/>
          <w:color w:val="16161A"/>
          <w:sz w:val="21"/>
          <w:szCs w:val="21"/>
        </w:rPr>
        <w:t xml:space="preserve">Each pain point was mapped to one or more capabilities, and each capability was required to name the pain it retires. A capability that could not name its pain was cut — this rule alone removed several plausible-sounding features from early drafts.</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4100"/>
      </w:tblGrid>
      <w:tr>
        <w:trPr>
          <w:tblHeader/>
        </w:trPr>
        <w:tc>
          <w:tcPr>
            <w:tcW w:type="dxa" w:w="9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Pain</w:t>
            </w:r>
          </w:p>
        </w:tc>
        <w:tc>
          <w:tcPr>
            <w:tcW w:type="dxa" w:w="43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Capability that retires it</w:t>
            </w:r>
          </w:p>
        </w:tc>
        <w:tc>
          <w:tcPr>
            <w:tcW w:type="dxa" w:w="41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Evidence it works</w:t>
            </w:r>
          </w:p>
        </w:tc>
      </w:tr>
      <w:tr>
        <w:tc>
          <w:tcPr>
            <w:tcW w:type="dxa" w:w="900"/>
            <w:tcMar>
              <w:top w:type="dxa" w:w="80"/>
              <w:left w:type="dxa" w:w="120"/>
              <w:bottom w:type="dxa" w:w="80"/>
              <w:right w:type="dxa" w:w="120"/>
            </w:tcMar>
          </w:tcPr>
          <w:p>
            <w:pPr>
              <w:spacing w:after="0"/>
            </w:pPr>
            <w:r>
              <w:rPr>
                <w:rFonts w:ascii="Calibri" w:cs="Calibri" w:eastAsia="Calibri" w:hAnsi="Calibri"/>
                <w:color w:val="16161A"/>
                <w:sz w:val="19"/>
                <w:szCs w:val="19"/>
              </w:rPr>
              <w:t xml:space="preserve">P1, P2</w:t>
            </w:r>
          </w:p>
        </w:tc>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AI Campaign Brief + Landing Page Generator: intent → structured brief → typed content blocks</w:t>
            </w:r>
          </w:p>
        </w:tc>
        <w:tc>
          <w:tcPr>
            <w:tcW w:type="dxa" w:w="4100"/>
            <w:tcMar>
              <w:top w:type="dxa" w:w="80"/>
              <w:left w:type="dxa" w:w="120"/>
              <w:bottom w:type="dxa" w:w="80"/>
              <w:right w:type="dxa" w:w="120"/>
            </w:tcMar>
          </w:tcPr>
          <w:p>
            <w:pPr>
              <w:spacing w:after="0"/>
            </w:pPr>
            <w:r>
              <w:rPr>
                <w:rFonts w:ascii="Calibri" w:cs="Calibri" w:eastAsia="Calibri" w:hAnsi="Calibri"/>
                <w:color w:val="16161A"/>
                <w:sz w:val="19"/>
                <w:szCs w:val="19"/>
              </w:rPr>
              <w:t xml:space="preserve">Delivered in Phase 1; the generation path is server-side and schema-validated, never raw model HTML</w:t>
            </w:r>
          </w:p>
        </w:tc>
      </w:tr>
      <w:tr>
        <w:tc>
          <w:tcPr>
            <w:tcW w:type="dxa" w:w="900"/>
            <w:tcMar>
              <w:top w:type="dxa" w:w="80"/>
              <w:left w:type="dxa" w:w="120"/>
              <w:bottom w:type="dxa" w:w="80"/>
              <w:right w:type="dxa" w:w="120"/>
            </w:tcMar>
          </w:tcPr>
          <w:p>
            <w:pPr>
              <w:spacing w:after="0"/>
            </w:pPr>
            <w:r>
              <w:rPr>
                <w:rFonts w:ascii="Calibri" w:cs="Calibri" w:eastAsia="Calibri" w:hAnsi="Calibri"/>
                <w:color w:val="16161A"/>
                <w:sz w:val="19"/>
                <w:szCs w:val="19"/>
              </w:rPr>
              <w:t xml:space="preserve">P3</w:t>
            </w:r>
          </w:p>
        </w:tc>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Experiment Studio: AI proposes hypothesis, guardrail metrics and block-level variants</w:t>
            </w:r>
          </w:p>
        </w:tc>
        <w:tc>
          <w:tcPr>
            <w:tcW w:type="dxa" w:w="4100"/>
            <w:tcMar>
              <w:top w:type="dxa" w:w="80"/>
              <w:left w:type="dxa" w:w="120"/>
              <w:bottom w:type="dxa" w:w="80"/>
              <w:right w:type="dxa" w:w="120"/>
            </w:tcMar>
          </w:tcPr>
          <w:p>
            <w:pPr>
              <w:spacing w:after="0"/>
            </w:pPr>
            <w:r>
              <w:rPr>
                <w:rFonts w:ascii="Calibri" w:cs="Calibri" w:eastAsia="Calibri" w:hAnsi="Calibri"/>
                <w:color w:val="16161A"/>
                <w:sz w:val="19"/>
                <w:szCs w:val="19"/>
              </w:rPr>
              <w:t xml:space="preserve">Delivered Phase 2 Slice 1; set-up cost per test collapses to a review, not a build</w:t>
            </w:r>
          </w:p>
        </w:tc>
      </w:tr>
      <w:tr>
        <w:tc>
          <w:tcPr>
            <w:tcW w:type="dxa" w:w="900"/>
            <w:tcMar>
              <w:top w:type="dxa" w:w="80"/>
              <w:left w:type="dxa" w:w="120"/>
              <w:bottom w:type="dxa" w:w="80"/>
              <w:right w:type="dxa" w:w="120"/>
            </w:tcMar>
          </w:tcPr>
          <w:p>
            <w:pPr>
              <w:spacing w:after="0"/>
            </w:pPr>
            <w:r>
              <w:rPr>
                <w:rFonts w:ascii="Calibri" w:cs="Calibri" w:eastAsia="Calibri" w:hAnsi="Calibri"/>
                <w:color w:val="16161A"/>
                <w:sz w:val="19"/>
                <w:szCs w:val="19"/>
              </w:rPr>
              <w:t xml:space="preserve">P4</w:t>
            </w:r>
          </w:p>
        </w:tc>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AI-generated hypotheses grounded in campaign goals and retrieved past learnings</w:t>
            </w:r>
          </w:p>
        </w:tc>
        <w:tc>
          <w:tcPr>
            <w:tcW w:type="dxa" w:w="4100"/>
            <w:tcMar>
              <w:top w:type="dxa" w:w="80"/>
              <w:left w:type="dxa" w:w="120"/>
              <w:bottom w:type="dxa" w:w="80"/>
              <w:right w:type="dxa" w:w="120"/>
            </w:tcMar>
          </w:tcPr>
          <w:p>
            <w:pPr>
              <w:spacing w:after="0"/>
            </w:pPr>
            <w:r>
              <w:rPr>
                <w:rFonts w:ascii="Calibri" w:cs="Calibri" w:eastAsia="Calibri" w:hAnsi="Calibri"/>
                <w:color w:val="16161A"/>
                <w:sz w:val="19"/>
                <w:szCs w:val="19"/>
              </w:rPr>
              <w:t xml:space="preserve">Delivered; the Experiment agent cites prior learnings where they genuinely apply</w:t>
            </w:r>
          </w:p>
        </w:tc>
      </w:tr>
      <w:tr>
        <w:tc>
          <w:tcPr>
            <w:tcW w:type="dxa" w:w="900"/>
            <w:tcMar>
              <w:top w:type="dxa" w:w="80"/>
              <w:left w:type="dxa" w:w="120"/>
              <w:bottom w:type="dxa" w:w="80"/>
              <w:right w:type="dxa" w:w="120"/>
            </w:tcMar>
          </w:tcPr>
          <w:p>
            <w:pPr>
              <w:spacing w:after="0"/>
            </w:pPr>
            <w:r>
              <w:rPr>
                <w:rFonts w:ascii="Calibri" w:cs="Calibri" w:eastAsia="Calibri" w:hAnsi="Calibri"/>
                <w:color w:val="16161A"/>
                <w:sz w:val="19"/>
                <w:szCs w:val="19"/>
              </w:rPr>
              <w:t xml:space="preserve">P5</w:t>
            </w:r>
          </w:p>
        </w:tc>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Campaign Memory: every concluded experiment writes a retrievable learning</w:t>
            </w:r>
          </w:p>
        </w:tc>
        <w:tc>
          <w:tcPr>
            <w:tcW w:type="dxa" w:w="4100"/>
            <w:tcMar>
              <w:top w:type="dxa" w:w="80"/>
              <w:left w:type="dxa" w:w="120"/>
              <w:bottom w:type="dxa" w:w="80"/>
              <w:right w:type="dxa" w:w="120"/>
            </w:tcMar>
          </w:tcPr>
          <w:p>
            <w:pPr>
              <w:spacing w:after="0"/>
            </w:pPr>
            <w:r>
              <w:rPr>
                <w:rFonts w:ascii="Calibri" w:cs="Calibri" w:eastAsia="Calibri" w:hAnsi="Calibri"/>
                <w:color w:val="16161A"/>
                <w:sz w:val="19"/>
                <w:szCs w:val="19"/>
              </w:rPr>
              <w:t xml:space="preserve">Delivered Phase 3 Slice 1; the mechanism by which the tenth campaign is informed by the third</w:t>
            </w:r>
          </w:p>
        </w:tc>
      </w:tr>
      <w:tr>
        <w:tc>
          <w:tcPr>
            <w:tcW w:type="dxa" w:w="900"/>
            <w:tcMar>
              <w:top w:type="dxa" w:w="80"/>
              <w:left w:type="dxa" w:w="120"/>
              <w:bottom w:type="dxa" w:w="80"/>
              <w:right w:type="dxa" w:w="120"/>
            </w:tcMar>
          </w:tcPr>
          <w:p>
            <w:pPr>
              <w:spacing w:after="0"/>
            </w:pPr>
            <w:r>
              <w:rPr>
                <w:rFonts w:ascii="Calibri" w:cs="Calibri" w:eastAsia="Calibri" w:hAnsi="Calibri"/>
                <w:color w:val="16161A"/>
                <w:sz w:val="19"/>
                <w:szCs w:val="19"/>
              </w:rPr>
              <w:t xml:space="preserve">P6</w:t>
            </w:r>
          </w:p>
        </w:tc>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Analytics Copilot: plain-language narrative with an explicit recommendation, plus one cross-campaign Approvals queue</w:t>
            </w:r>
          </w:p>
        </w:tc>
        <w:tc>
          <w:tcPr>
            <w:tcW w:type="dxa" w:w="4100"/>
            <w:tcMar>
              <w:top w:type="dxa" w:w="80"/>
              <w:left w:type="dxa" w:w="120"/>
              <w:bottom w:type="dxa" w:w="80"/>
              <w:right w:type="dxa" w:w="120"/>
            </w:tcMar>
          </w:tcPr>
          <w:p>
            <w:pPr>
              <w:spacing w:after="0"/>
            </w:pPr>
            <w:r>
              <w:rPr>
                <w:rFonts w:ascii="Calibri" w:cs="Calibri" w:eastAsia="Calibri" w:hAnsi="Calibri"/>
                <w:color w:val="16161A"/>
                <w:sz w:val="19"/>
                <w:szCs w:val="19"/>
              </w:rPr>
              <w:t xml:space="preserve">Delivered Phase 2 Slice 3</w:t>
            </w:r>
          </w:p>
        </w:tc>
      </w:tr>
      <w:tr>
        <w:tc>
          <w:tcPr>
            <w:tcW w:type="dxa" w:w="900"/>
            <w:tcMar>
              <w:top w:type="dxa" w:w="80"/>
              <w:left w:type="dxa" w:w="120"/>
              <w:bottom w:type="dxa" w:w="80"/>
              <w:right w:type="dxa" w:w="120"/>
            </w:tcMar>
          </w:tcPr>
          <w:p>
            <w:pPr>
              <w:spacing w:after="0"/>
            </w:pPr>
            <w:r>
              <w:rPr>
                <w:rFonts w:ascii="Calibri" w:cs="Calibri" w:eastAsia="Calibri" w:hAnsi="Calibri"/>
                <w:color w:val="16161A"/>
                <w:sz w:val="19"/>
                <w:szCs w:val="19"/>
              </w:rPr>
              <w:t xml:space="preserve">P7</w:t>
            </w:r>
          </w:p>
        </w:tc>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Five-role RBAC enforced server-side; authoring separated from approving; full AI-action audit trail</w:t>
            </w:r>
          </w:p>
        </w:tc>
        <w:tc>
          <w:tcPr>
            <w:tcW w:type="dxa" w:w="4100"/>
            <w:tcMar>
              <w:top w:type="dxa" w:w="80"/>
              <w:left w:type="dxa" w:w="120"/>
              <w:bottom w:type="dxa" w:w="80"/>
              <w:right w:type="dxa" w:w="120"/>
            </w:tcMar>
          </w:tcPr>
          <w:p>
            <w:pPr>
              <w:spacing w:after="0"/>
            </w:pPr>
            <w:r>
              <w:rPr>
                <w:rFonts w:ascii="Calibri" w:cs="Calibri" w:eastAsia="Calibri" w:hAnsi="Calibri"/>
                <w:color w:val="16161A"/>
                <w:sz w:val="19"/>
                <w:szCs w:val="19"/>
              </w:rPr>
              <w:t xml:space="preserve">Delivered Phase 3 Slice 2; 44 HTTP and 24 UI end-to-end assertions</w:t>
            </w:r>
          </w:p>
        </w:tc>
      </w:tr>
      <w:tr>
        <w:tc>
          <w:tcPr>
            <w:tcW w:type="dxa" w:w="900"/>
            <w:tcMar>
              <w:top w:type="dxa" w:w="80"/>
              <w:left w:type="dxa" w:w="120"/>
              <w:bottom w:type="dxa" w:w="80"/>
              <w:right w:type="dxa" w:w="120"/>
            </w:tcMar>
          </w:tcPr>
          <w:p>
            <w:pPr>
              <w:spacing w:after="0"/>
            </w:pPr>
            <w:r>
              <w:rPr>
                <w:rFonts w:ascii="Calibri" w:cs="Calibri" w:eastAsia="Calibri" w:hAnsi="Calibri"/>
                <w:color w:val="16161A"/>
                <w:sz w:val="19"/>
                <w:szCs w:val="19"/>
              </w:rPr>
              <w:t xml:space="preserve">P8</w:t>
            </w:r>
          </w:p>
        </w:tc>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The whole loop — output stops being linear in human hours</w:t>
            </w:r>
          </w:p>
        </w:tc>
        <w:tc>
          <w:tcPr>
            <w:tcW w:type="dxa" w:w="4100"/>
            <w:tcMar>
              <w:top w:type="dxa" w:w="80"/>
              <w:left w:type="dxa" w:w="120"/>
              <w:bottom w:type="dxa" w:w="80"/>
              <w:right w:type="dxa" w:w="120"/>
            </w:tcMar>
          </w:tcPr>
          <w:p>
            <w:pPr>
              <w:spacing w:after="0"/>
            </w:pPr>
            <w:r>
              <w:rPr>
                <w:rFonts w:ascii="Calibri" w:cs="Calibri" w:eastAsia="Calibri" w:hAnsi="Calibri"/>
                <w:color w:val="16161A"/>
                <w:sz w:val="19"/>
                <w:szCs w:val="19"/>
              </w:rPr>
              <w:t xml:space="preserve">Structural, proven only at prototype scale; the ROI claim remains projected</w:t>
            </w:r>
          </w:p>
        </w:tc>
      </w:tr>
    </w:tbl>
    <w:p>
      <w:pPr>
        <w:spacing w:after="120"/>
      </w:pPr>
      <w:r>
        <w:rPr>
          <w:sz w:val="12"/>
          <w:szCs w:val="12"/>
        </w:rPr>
        <w:t xml:space="preserve"/>
      </w:r>
    </w:p>
    <w:p>
      <w:pPr>
        <w:pStyle w:val="Heading2"/>
        <w:spacing w:after="120" w:before="260"/>
      </w:pPr>
      <w:r>
        <w:rPr>
          <w:rFonts w:ascii="Calibri" w:cs="Calibri" w:eastAsia="Calibri" w:hAnsi="Calibri"/>
          <w:b/>
          <w:bCs/>
          <w:color w:val="16161A"/>
          <w:sz w:val="24"/>
          <w:szCs w:val="24"/>
        </w:rPr>
        <w:t xml:space="preserve">3.3 Prioritization models applied</w:t>
      </w:r>
    </w:p>
    <w:p>
      <w:pPr>
        <w:spacing w:after="120" w:line="276"/>
      </w:pPr>
      <w:r>
        <w:rPr>
          <w:rFonts w:ascii="Calibri" w:cs="Calibri" w:eastAsia="Calibri" w:hAnsi="Calibri"/>
          <w:color w:val="16161A"/>
          <w:sz w:val="21"/>
          <w:szCs w:val="21"/>
        </w:rPr>
        <w:t xml:space="preserve">Three complementary models were applied, deliberately, because each answers a different question. MoSCoW answers "what is in this release"; Kano answers "what will a user actually notice"; RICE answers "what order do we build it in."</w:t>
      </w:r>
    </w:p>
    <w:p>
      <w:pPr>
        <w:pStyle w:val="Heading3"/>
        <w:spacing w:after="100" w:before="200"/>
      </w:pPr>
      <w:r>
        <w:rPr>
          <w:rFonts w:ascii="Calibri" w:cs="Calibri" w:eastAsia="Calibri" w:hAnsi="Calibri"/>
          <w:b/>
          <w:bCs/>
          <w:color w:val="F04E10"/>
          <w:sz w:val="22"/>
          <w:szCs w:val="22"/>
        </w:rPr>
        <w:t xml:space="preserve">MoSCoW — release scoping</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Category</w:t>
            </w:r>
          </w:p>
        </w:tc>
        <w:tc>
          <w:tcPr>
            <w:tcW w:type="dxa" w:w="73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Requirements</w:t>
            </w:r>
          </w:p>
        </w:tc>
      </w:tr>
      <w:tr>
        <w:tc>
          <w:tcPr>
            <w:tcW w:type="dxa" w:w="2000"/>
            <w:tcMar>
              <w:top w:type="dxa" w:w="80"/>
              <w:left w:type="dxa" w:w="120"/>
              <w:bottom w:type="dxa" w:w="80"/>
              <w:right w:type="dxa" w:w="120"/>
            </w:tcMar>
          </w:tcPr>
          <w:p>
            <w:pPr>
              <w:spacing w:after="0"/>
            </w:pPr>
            <w:r>
              <w:rPr>
                <w:rFonts w:ascii="Calibri" w:cs="Calibri" w:eastAsia="Calibri" w:hAnsi="Calibri"/>
                <w:color w:val="16161A"/>
                <w:sz w:val="19"/>
                <w:szCs w:val="19"/>
              </w:rPr>
              <w:t xml:space="preserve">Must have</w:t>
            </w:r>
          </w:p>
        </w:tc>
        <w:tc>
          <w:tcPr>
            <w:tcW w:type="dxa" w:w="7300"/>
            <w:tcMar>
              <w:top w:type="dxa" w:w="80"/>
              <w:left w:type="dxa" w:w="120"/>
              <w:bottom w:type="dxa" w:w="80"/>
              <w:right w:type="dxa" w:w="120"/>
            </w:tcMar>
          </w:tcPr>
          <w:p>
            <w:pPr>
              <w:spacing w:after="0"/>
            </w:pPr>
            <w:r>
              <w:rPr>
                <w:rFonts w:ascii="Calibri" w:cs="Calibri" w:eastAsia="Calibri" w:hAnsi="Calibri"/>
                <w:color w:val="16161A"/>
                <w:sz w:val="19"/>
                <w:szCs w:val="19"/>
              </w:rPr>
              <w:t xml:space="preserve">Intent-to-brief generation · landing page generation from typed blocks · AI-proposed experiments · statistically rigorous read-out (Bayesian posterior, credible intervals, sample-size, SRM) · live delivery with deterministic sticky assignment · human approval gate before launch and before promotion</w:t>
            </w:r>
          </w:p>
        </w:tc>
      </w:tr>
      <w:tr>
        <w:tc>
          <w:tcPr>
            <w:tcW w:type="dxa" w:w="2000"/>
            <w:tcMar>
              <w:top w:type="dxa" w:w="80"/>
              <w:left w:type="dxa" w:w="120"/>
              <w:bottom w:type="dxa" w:w="80"/>
              <w:right w:type="dxa" w:w="120"/>
            </w:tcMar>
          </w:tcPr>
          <w:p>
            <w:pPr>
              <w:spacing w:after="0"/>
            </w:pPr>
            <w:r>
              <w:rPr>
                <w:rFonts w:ascii="Calibri" w:cs="Calibri" w:eastAsia="Calibri" w:hAnsi="Calibri"/>
                <w:color w:val="16161A"/>
                <w:sz w:val="19"/>
                <w:szCs w:val="19"/>
              </w:rPr>
              <w:t xml:space="preserve">Should have</w:t>
            </w:r>
          </w:p>
        </w:tc>
        <w:tc>
          <w:tcPr>
            <w:tcW w:type="dxa" w:w="7300"/>
            <w:tcMar>
              <w:top w:type="dxa" w:w="80"/>
              <w:left w:type="dxa" w:w="120"/>
              <w:bottom w:type="dxa" w:w="80"/>
              <w:right w:type="dxa" w:w="120"/>
            </w:tcMar>
          </w:tcPr>
          <w:p>
            <w:pPr>
              <w:spacing w:after="0"/>
            </w:pPr>
            <w:r>
              <w:rPr>
                <w:rFonts w:ascii="Calibri" w:cs="Calibri" w:eastAsia="Calibri" w:hAnsi="Calibri"/>
                <w:color w:val="16161A"/>
                <w:sz w:val="19"/>
                <w:szCs w:val="19"/>
              </w:rPr>
              <w:t xml:space="preserve">Analytics Copilot narratives · cross-campaign Approvals queue · Campaign Memory · role-based access control · full AI-action audit trail</w:t>
            </w:r>
          </w:p>
        </w:tc>
      </w:tr>
      <w:tr>
        <w:tc>
          <w:tcPr>
            <w:tcW w:type="dxa" w:w="2000"/>
            <w:tcMar>
              <w:top w:type="dxa" w:w="80"/>
              <w:left w:type="dxa" w:w="120"/>
              <w:bottom w:type="dxa" w:w="80"/>
              <w:right w:type="dxa" w:w="120"/>
            </w:tcMar>
          </w:tcPr>
          <w:p>
            <w:pPr>
              <w:spacing w:after="0"/>
            </w:pPr>
            <w:r>
              <w:rPr>
                <w:rFonts w:ascii="Calibri" w:cs="Calibri" w:eastAsia="Calibri" w:hAnsi="Calibri"/>
                <w:color w:val="16161A"/>
                <w:sz w:val="19"/>
                <w:szCs w:val="19"/>
              </w:rPr>
              <w:t xml:space="preserve">Could have</w:t>
            </w:r>
          </w:p>
        </w:tc>
        <w:tc>
          <w:tcPr>
            <w:tcW w:type="dxa" w:w="7300"/>
            <w:tcMar>
              <w:top w:type="dxa" w:w="80"/>
              <w:left w:type="dxa" w:w="120"/>
              <w:bottom w:type="dxa" w:w="80"/>
              <w:right w:type="dxa" w:w="120"/>
            </w:tcMar>
          </w:tcPr>
          <w:p>
            <w:pPr>
              <w:spacing w:after="0"/>
            </w:pPr>
            <w:r>
              <w:rPr>
                <w:rFonts w:ascii="Calibri" w:cs="Calibri" w:eastAsia="Calibri" w:hAnsi="Calibri"/>
                <w:color w:val="16161A"/>
                <w:sz w:val="19"/>
                <w:szCs w:val="19"/>
              </w:rPr>
              <w:t xml:space="preserve">Site Experiments on external websites · multivariate testing · Thompson-sampling adaptive allocation · Personalization Engine</w:t>
            </w:r>
          </w:p>
        </w:tc>
      </w:tr>
      <w:tr>
        <w:tc>
          <w:tcPr>
            <w:tcW w:type="dxa" w:w="2000"/>
            <w:tcMar>
              <w:top w:type="dxa" w:w="80"/>
              <w:left w:type="dxa" w:w="120"/>
              <w:bottom w:type="dxa" w:w="80"/>
              <w:right w:type="dxa" w:w="120"/>
            </w:tcMar>
          </w:tcPr>
          <w:p>
            <w:pPr>
              <w:spacing w:after="0"/>
            </w:pPr>
            <w:r>
              <w:rPr>
                <w:rFonts w:ascii="Calibri" w:cs="Calibri" w:eastAsia="Calibri" w:hAnsi="Calibri"/>
                <w:color w:val="16161A"/>
                <w:sz w:val="19"/>
                <w:szCs w:val="19"/>
              </w:rPr>
              <w:t xml:space="preserve">Won't have (this cycle)</w:t>
            </w:r>
          </w:p>
        </w:tc>
        <w:tc>
          <w:tcPr>
            <w:tcW w:type="dxa" w:w="7300"/>
            <w:tcMar>
              <w:top w:type="dxa" w:w="80"/>
              <w:left w:type="dxa" w:w="120"/>
              <w:bottom w:type="dxa" w:w="80"/>
              <w:right w:type="dxa" w:w="120"/>
            </w:tcMar>
          </w:tcPr>
          <w:p>
            <w:pPr>
              <w:spacing w:after="0"/>
            </w:pPr>
            <w:r>
              <w:rPr>
                <w:rFonts w:ascii="Calibri" w:cs="Calibri" w:eastAsia="Calibri" w:hAnsi="Calibri"/>
                <w:color w:val="16161A"/>
                <w:sz w:val="19"/>
                <w:szCs w:val="19"/>
              </w:rPr>
              <w:t xml:space="preserve">Multi-channel orchestration · Brand Compliance AI · production multi-tenant infrastructure · real OIDC authentication</w:t>
            </w:r>
          </w:p>
        </w:tc>
      </w:tr>
    </w:tbl>
    <w:p>
      <w:pPr>
        <w:spacing w:after="120"/>
      </w:pPr>
      <w:r>
        <w:rPr>
          <w:sz w:val="12"/>
          <w:szCs w:val="12"/>
        </w:rPr>
        <w:t xml:space="preserve"/>
      </w:r>
    </w:p>
    <w:p>
      <w:pPr>
        <w:spacing w:after="120" w:line="276"/>
      </w:pPr>
      <w:r>
        <w:rPr>
          <w:rFonts w:ascii="Calibri" w:cs="Calibri" w:eastAsia="Calibri" w:hAnsi="Calibri"/>
          <w:color w:val="16161A"/>
          <w:sz w:val="21"/>
          <w:szCs w:val="21"/>
        </w:rPr>
        <w:t xml:space="preserve">Two of these judgements were revisited in-flight, which is itself a finding. Site Experiments was promoted from "could" to "must" mid-cycle once it became clear it removes the single largest adoption barrier — prospects who will not replatform a CMS to trial an A/B testing tool. RBAC was promoted from "should" to "must" because Sarah's governance objection makes the enterprise motion impossible without it.</w:t>
      </w:r>
    </w:p>
    <w:p>
      <w:pPr>
        <w:pStyle w:val="Heading3"/>
        <w:spacing w:after="100" w:before="200"/>
      </w:pPr>
      <w:r>
        <w:rPr>
          <w:rFonts w:ascii="Calibri" w:cs="Calibri" w:eastAsia="Calibri" w:hAnsi="Calibri"/>
          <w:b/>
          <w:bCs/>
          <w:color w:val="F04E10"/>
          <w:sz w:val="22"/>
          <w:szCs w:val="22"/>
        </w:rPr>
        <w:t xml:space="preserve">Kano — classifying what users will notice</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00"/>
      </w:tblGrid>
      <w:tr>
        <w:trPr>
          <w:tblHeader/>
        </w:trPr>
        <w:tc>
          <w:tcPr>
            <w:tcW w:type="dxa" w:w="19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Kano category</w:t>
            </w:r>
          </w:p>
        </w:tc>
        <w:tc>
          <w:tcPr>
            <w:tcW w:type="dxa" w:w="37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Requirements</w:t>
            </w:r>
          </w:p>
        </w:tc>
        <w:tc>
          <w:tcPr>
            <w:tcW w:type="dxa" w:w="37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Product implication</w:t>
            </w:r>
          </w:p>
        </w:tc>
      </w:tr>
      <w:tr>
        <w:tc>
          <w:tcPr>
            <w:tcW w:type="dxa" w:w="1900"/>
            <w:tcMar>
              <w:top w:type="dxa" w:w="80"/>
              <w:left w:type="dxa" w:w="120"/>
              <w:bottom w:type="dxa" w:w="80"/>
              <w:right w:type="dxa" w:w="120"/>
            </w:tcMar>
          </w:tcPr>
          <w:p>
            <w:pPr>
              <w:spacing w:after="0"/>
            </w:pPr>
            <w:r>
              <w:rPr>
                <w:rFonts w:ascii="Calibri" w:cs="Calibri" w:eastAsia="Calibri" w:hAnsi="Calibri"/>
                <w:color w:val="16161A"/>
                <w:sz w:val="19"/>
                <w:szCs w:val="19"/>
              </w:rPr>
              <w:t xml:space="preserve">Must-be (dissatisfiers)</w:t>
            </w:r>
          </w:p>
        </w:tc>
        <w:tc>
          <w:tcPr>
            <w:tcW w:type="dxa" w:w="3700"/>
            <w:tcMar>
              <w:top w:type="dxa" w:w="80"/>
              <w:left w:type="dxa" w:w="120"/>
              <w:bottom w:type="dxa" w:w="80"/>
              <w:right w:type="dxa" w:w="120"/>
            </w:tcMar>
          </w:tcPr>
          <w:p>
            <w:pPr>
              <w:spacing w:after="0"/>
            </w:pPr>
            <w:r>
              <w:rPr>
                <w:rFonts w:ascii="Calibri" w:cs="Calibri" w:eastAsia="Calibri" w:hAnsi="Calibri"/>
                <w:color w:val="16161A"/>
                <w:sz w:val="19"/>
                <w:szCs w:val="19"/>
              </w:rPr>
              <w:t xml:space="preserve">Statistical correctness · zero-flicker rendering · data isolation · not breaking the customer's site</w:t>
            </w:r>
          </w:p>
        </w:tc>
        <w:tc>
          <w:tcPr>
            <w:tcW w:type="dxa" w:w="3700"/>
            <w:tcMar>
              <w:top w:type="dxa" w:w="80"/>
              <w:left w:type="dxa" w:w="120"/>
              <w:bottom w:type="dxa" w:w="80"/>
              <w:right w:type="dxa" w:w="120"/>
            </w:tcMar>
          </w:tcPr>
          <w:p>
            <w:pPr>
              <w:spacing w:after="0"/>
            </w:pPr>
            <w:r>
              <w:rPr>
                <w:rFonts w:ascii="Calibri" w:cs="Calibri" w:eastAsia="Calibri" w:hAnsi="Calibri"/>
                <w:color w:val="16161A"/>
                <w:sz w:val="19"/>
                <w:szCs w:val="19"/>
              </w:rPr>
              <w:t xml:space="preserve">Invisible when right, fatal when wrong. Given release-blocker status: peeking without correction, ignoring a failed SRM check, or promoting on raw uplift were all treated as blockers.</w:t>
            </w:r>
          </w:p>
        </w:tc>
      </w:tr>
      <w:tr>
        <w:tc>
          <w:tcPr>
            <w:tcW w:type="dxa" w:w="1900"/>
            <w:tcMar>
              <w:top w:type="dxa" w:w="80"/>
              <w:left w:type="dxa" w:w="120"/>
              <w:bottom w:type="dxa" w:w="80"/>
              <w:right w:type="dxa" w:w="120"/>
            </w:tcMar>
          </w:tcPr>
          <w:p>
            <w:pPr>
              <w:spacing w:after="0"/>
            </w:pPr>
            <w:r>
              <w:rPr>
                <w:rFonts w:ascii="Calibri" w:cs="Calibri" w:eastAsia="Calibri" w:hAnsi="Calibri"/>
                <w:color w:val="16161A"/>
                <w:sz w:val="19"/>
                <w:szCs w:val="19"/>
              </w:rPr>
              <w:t xml:space="preserve">Performance (linear)</w:t>
            </w:r>
          </w:p>
        </w:tc>
        <w:tc>
          <w:tcPr>
            <w:tcW w:type="dxa" w:w="3700"/>
            <w:tcMar>
              <w:top w:type="dxa" w:w="80"/>
              <w:left w:type="dxa" w:w="120"/>
              <w:bottom w:type="dxa" w:w="80"/>
              <w:right w:type="dxa" w:w="120"/>
            </w:tcMar>
          </w:tcPr>
          <w:p>
            <w:pPr>
              <w:spacing w:after="0"/>
            </w:pPr>
            <w:r>
              <w:rPr>
                <w:rFonts w:ascii="Calibri" w:cs="Calibri" w:eastAsia="Calibri" w:hAnsi="Calibri"/>
                <w:color w:val="16161A"/>
                <w:sz w:val="19"/>
                <w:szCs w:val="19"/>
              </w:rPr>
              <w:t xml:space="preserve">Time from intent to live campaign · experiments run per marketer per month · conversion lift</w:t>
            </w:r>
          </w:p>
        </w:tc>
        <w:tc>
          <w:tcPr>
            <w:tcW w:type="dxa" w:w="3700"/>
            <w:tcMar>
              <w:top w:type="dxa" w:w="80"/>
              <w:left w:type="dxa" w:w="120"/>
              <w:bottom w:type="dxa" w:w="80"/>
              <w:right w:type="dxa" w:w="120"/>
            </w:tcMar>
          </w:tcPr>
          <w:p>
            <w:pPr>
              <w:spacing w:after="0"/>
            </w:pPr>
            <w:r>
              <w:rPr>
                <w:rFonts w:ascii="Calibri" w:cs="Calibri" w:eastAsia="Calibri" w:hAnsi="Calibri"/>
                <w:color w:val="16161A"/>
                <w:sz w:val="19"/>
                <w:szCs w:val="19"/>
              </w:rPr>
              <w:t xml:space="preserve">These became the north-star metrics: under 4 hours intent-to-live, 3× industry experiment velocity.</w:t>
            </w:r>
          </w:p>
        </w:tc>
      </w:tr>
      <w:tr>
        <w:tc>
          <w:tcPr>
            <w:tcW w:type="dxa" w:w="1900"/>
            <w:tcMar>
              <w:top w:type="dxa" w:w="80"/>
              <w:left w:type="dxa" w:w="120"/>
              <w:bottom w:type="dxa" w:w="80"/>
              <w:right w:type="dxa" w:w="120"/>
            </w:tcMar>
          </w:tcPr>
          <w:p>
            <w:pPr>
              <w:spacing w:after="0"/>
            </w:pPr>
            <w:r>
              <w:rPr>
                <w:rFonts w:ascii="Calibri" w:cs="Calibri" w:eastAsia="Calibri" w:hAnsi="Calibri"/>
                <w:color w:val="16161A"/>
                <w:sz w:val="19"/>
                <w:szCs w:val="19"/>
              </w:rPr>
              <w:t xml:space="preserve">Delighters</w:t>
            </w:r>
          </w:p>
        </w:tc>
        <w:tc>
          <w:tcPr>
            <w:tcW w:type="dxa" w:w="3700"/>
            <w:tcMar>
              <w:top w:type="dxa" w:w="80"/>
              <w:left w:type="dxa" w:w="120"/>
              <w:bottom w:type="dxa" w:w="80"/>
              <w:right w:type="dxa" w:w="120"/>
            </w:tcMar>
          </w:tcPr>
          <w:p>
            <w:pPr>
              <w:spacing w:after="0"/>
            </w:pPr>
            <w:r>
              <w:rPr>
                <w:rFonts w:ascii="Calibri" w:cs="Calibri" w:eastAsia="Calibri" w:hAnsi="Calibri"/>
                <w:color w:val="16161A"/>
                <w:sz w:val="19"/>
                <w:szCs w:val="19"/>
              </w:rPr>
              <w:t xml:space="preserve">AI-generated hypotheses the marketer had not considered · plain-language result narratives · Campaign Memory citing a past campaign back to the user</w:t>
            </w:r>
          </w:p>
        </w:tc>
        <w:tc>
          <w:tcPr>
            <w:tcW w:type="dxa" w:w="3700"/>
            <w:tcMar>
              <w:top w:type="dxa" w:w="80"/>
              <w:left w:type="dxa" w:w="120"/>
              <w:bottom w:type="dxa" w:w="80"/>
              <w:right w:type="dxa" w:w="120"/>
            </w:tcMar>
          </w:tcPr>
          <w:p>
            <w:pPr>
              <w:spacing w:after="0"/>
            </w:pPr>
            <w:r>
              <w:rPr>
                <w:rFonts w:ascii="Calibri" w:cs="Calibri" w:eastAsia="Calibri" w:hAnsi="Calibri"/>
                <w:color w:val="16161A"/>
                <w:sz w:val="19"/>
                <w:szCs w:val="19"/>
              </w:rPr>
              <w:t xml:space="preserve">The demo moments. Also the least defensible if quality slips — one embarrassing generated page is a bigger risk than a missing feature.</w:t>
            </w:r>
          </w:p>
        </w:tc>
      </w:tr>
    </w:tbl>
    <w:p>
      <w:pPr>
        <w:spacing w:after="120"/>
      </w:pPr>
      <w:r>
        <w:rPr>
          <w:sz w:val="12"/>
          <w:szCs w:val="12"/>
        </w:rPr>
        <w:t xml:space="preserve"/>
      </w:r>
    </w:p>
    <w:p>
      <w:pPr>
        <w:pStyle w:val="Heading3"/>
        <w:spacing w:after="100" w:before="200"/>
      </w:pPr>
      <w:r>
        <w:rPr>
          <w:rFonts w:ascii="Calibri" w:cs="Calibri" w:eastAsia="Calibri" w:hAnsi="Calibri"/>
          <w:b/>
          <w:bCs/>
          <w:color w:val="F04E10"/>
          <w:sz w:val="22"/>
          <w:szCs w:val="22"/>
        </w:rPr>
        <w:t xml:space="preserve">RICE — build sequencing</w:t>
      </w:r>
    </w:p>
    <w:p>
      <w:pPr>
        <w:spacing w:after="120" w:line="276"/>
      </w:pPr>
      <w:r>
        <w:rPr>
          <w:rFonts w:ascii="Calibri" w:cs="Calibri" w:eastAsia="Calibri" w:hAnsi="Calibri"/>
          <w:color w:val="16161A"/>
          <w:sz w:val="21"/>
          <w:szCs w:val="21"/>
        </w:rPr>
        <w:t xml:space="preserve">RICE (Reach × Impact × Confidence ÷ Effort) was used to sequence within a release rather than to select across releases, since dependencies constrain order more than score does. The stats engine, for example, scores modestly on reach but everything downstream depends on it, so it was built early and golden-tested before anything consumed it. Three sequencing decisions came out of this analysis:</w:t>
      </w:r>
    </w:p>
    <w:p>
      <w:pPr>
        <w:pStyle w:val="ListParagraph"/>
        <w:numPr>
          <w:ilvl w:val="0"/>
          <w:numId w:val="2"/>
        </w:numPr>
        <w:spacing w:after="80" w:line="276"/>
      </w:pPr>
      <w:r>
        <w:rPr>
          <w:rFonts w:ascii="Calibri" w:cs="Calibri" w:eastAsia="Calibri" w:hAnsi="Calibri"/>
          <w:color w:val="16161A"/>
          <w:sz w:val="21"/>
          <w:szCs w:val="21"/>
        </w:rPr>
        <w:t xml:space="preserve">Experiment Studio shipped with manually-entered results before any live delivery layer existed, so the statistics engine had real numbers to read out and could be validated independently of traffic infrastructure.</w:t>
      </w:r>
    </w:p>
    <w:p>
      <w:pPr>
        <w:pStyle w:val="ListParagraph"/>
        <w:numPr>
          <w:ilvl w:val="0"/>
          <w:numId w:val="2"/>
        </w:numPr>
        <w:spacing w:after="80" w:line="276"/>
      </w:pPr>
      <w:r>
        <w:rPr>
          <w:rFonts w:ascii="Calibri" w:cs="Calibri" w:eastAsia="Calibri" w:hAnsi="Calibri"/>
          <w:color w:val="16161A"/>
          <w:sz w:val="21"/>
          <w:szCs w:val="21"/>
        </w:rPr>
        <w:t xml:space="preserve">Campaign Memory was scheduled immediately after the first concluded experiment existed, because it only needs a concluded experiment to write from — not the full Phase 2 stack.</w:t>
      </w:r>
    </w:p>
    <w:p>
      <w:pPr>
        <w:pStyle w:val="ListParagraph"/>
        <w:numPr>
          <w:ilvl w:val="0"/>
          <w:numId w:val="2"/>
        </w:numPr>
        <w:spacing w:after="80" w:line="276"/>
      </w:pPr>
      <w:r>
        <w:rPr>
          <w:rFonts w:ascii="Calibri" w:cs="Calibri" w:eastAsia="Calibri" w:hAnsi="Calibri"/>
          <w:color w:val="16161A"/>
          <w:sz w:val="21"/>
          <w:szCs w:val="21"/>
        </w:rPr>
        <w:t xml:space="preserve">RBAC was built last as a single pass, because it touches every existing controller; doing it incrementally would have meant revisiting every endpoint twice.</w:t>
      </w:r>
    </w:p>
    <w:p>
      <w:pPr>
        <w:pStyle w:val="Heading2"/>
        <w:spacing w:after="120" w:before="260"/>
      </w:pPr>
      <w:r>
        <w:rPr>
          <w:rFonts w:ascii="Calibri" w:cs="Calibri" w:eastAsia="Calibri" w:hAnsi="Calibri"/>
          <w:b/>
          <w:bCs/>
          <w:color w:val="16161A"/>
          <w:sz w:val="24"/>
          <w:szCs w:val="24"/>
        </w:rPr>
        <w:t xml:space="preserve">3.4 The resulting prioritized requirement set</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500"/>
        <w:gridCol w:w="2500"/>
      </w:tblGrid>
      <w:tr>
        <w:trPr>
          <w:tblHeader/>
        </w:trPr>
        <w:tc>
          <w:tcPr>
            <w:tcW w:type="dxa" w:w="7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Rank</w:t>
            </w:r>
          </w:p>
        </w:tc>
        <w:tc>
          <w:tcPr>
            <w:tcW w:type="dxa" w:w="46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Requirement</w:t>
            </w:r>
          </w:p>
        </w:tc>
        <w:tc>
          <w:tcPr>
            <w:tcW w:type="dxa" w:w="15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Retires</w:t>
            </w:r>
          </w:p>
        </w:tc>
        <w:tc>
          <w:tcPr>
            <w:tcW w:type="dxa" w:w="25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Status</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1</w:t>
            </w:r>
          </w:p>
        </w:tc>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Intent → structured campaign brief</w:t>
            </w:r>
          </w:p>
        </w:tc>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P1</w:t>
            </w:r>
          </w:p>
        </w:tc>
        <w:tc>
          <w:tcPr>
            <w:tcW w:type="dxa" w:w="2500"/>
            <w:tcMar>
              <w:top w:type="dxa" w:w="80"/>
              <w:left w:type="dxa" w:w="120"/>
              <w:bottom w:type="dxa" w:w="80"/>
              <w:right w:type="dxa" w:w="120"/>
            </w:tcMar>
          </w:tcPr>
          <w:p>
            <w:pPr>
              <w:spacing w:after="0"/>
            </w:pPr>
            <w:r>
              <w:rPr>
                <w:rFonts w:ascii="Calibri" w:cs="Calibri" w:eastAsia="Calibri" w:hAnsi="Calibri"/>
                <w:color w:val="16161A"/>
                <w:sz w:val="19"/>
                <w:szCs w:val="19"/>
              </w:rPr>
              <w:t xml:space="preserve">Delivered</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2</w:t>
            </w:r>
          </w:p>
        </w:tc>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Brief → landing page from typed, schema-validated blocks</w:t>
            </w:r>
          </w:p>
        </w:tc>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P1, P2</w:t>
            </w:r>
          </w:p>
        </w:tc>
        <w:tc>
          <w:tcPr>
            <w:tcW w:type="dxa" w:w="2500"/>
            <w:tcMar>
              <w:top w:type="dxa" w:w="80"/>
              <w:left w:type="dxa" w:w="120"/>
              <w:bottom w:type="dxa" w:w="80"/>
              <w:right w:type="dxa" w:w="120"/>
            </w:tcMar>
          </w:tcPr>
          <w:p>
            <w:pPr>
              <w:spacing w:after="0"/>
            </w:pPr>
            <w:r>
              <w:rPr>
                <w:rFonts w:ascii="Calibri" w:cs="Calibri" w:eastAsia="Calibri" w:hAnsi="Calibri"/>
                <w:color w:val="16161A"/>
                <w:sz w:val="19"/>
                <w:szCs w:val="19"/>
              </w:rPr>
              <w:t xml:space="preserve">Delivered</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3</w:t>
            </w:r>
          </w:p>
        </w:tc>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Bayesian statistics engine with sample-size and SRM guards</w:t>
            </w:r>
          </w:p>
        </w:tc>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P3</w:t>
            </w:r>
          </w:p>
        </w:tc>
        <w:tc>
          <w:tcPr>
            <w:tcW w:type="dxa" w:w="2500"/>
            <w:tcMar>
              <w:top w:type="dxa" w:w="80"/>
              <w:left w:type="dxa" w:w="120"/>
              <w:bottom w:type="dxa" w:w="80"/>
              <w:right w:type="dxa" w:w="120"/>
            </w:tcMar>
          </w:tcPr>
          <w:p>
            <w:pPr>
              <w:spacing w:after="0"/>
            </w:pPr>
            <w:r>
              <w:rPr>
                <w:rFonts w:ascii="Calibri" w:cs="Calibri" w:eastAsia="Calibri" w:hAnsi="Calibri"/>
                <w:color w:val="16161A"/>
                <w:sz w:val="19"/>
                <w:szCs w:val="19"/>
              </w:rPr>
              <w:t xml:space="preserve">Delivered</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4</w:t>
            </w:r>
          </w:p>
        </w:tc>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AI-proposed hypotheses and block-level variants</w:t>
            </w:r>
          </w:p>
        </w:tc>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P3, P4</w:t>
            </w:r>
          </w:p>
        </w:tc>
        <w:tc>
          <w:tcPr>
            <w:tcW w:type="dxa" w:w="2500"/>
            <w:tcMar>
              <w:top w:type="dxa" w:w="80"/>
              <w:left w:type="dxa" w:w="120"/>
              <w:bottom w:type="dxa" w:w="80"/>
              <w:right w:type="dxa" w:w="120"/>
            </w:tcMar>
          </w:tcPr>
          <w:p>
            <w:pPr>
              <w:spacing w:after="0"/>
            </w:pPr>
            <w:r>
              <w:rPr>
                <w:rFonts w:ascii="Calibri" w:cs="Calibri" w:eastAsia="Calibri" w:hAnsi="Calibri"/>
                <w:color w:val="16161A"/>
                <w:sz w:val="19"/>
                <w:szCs w:val="19"/>
              </w:rPr>
              <w:t xml:space="preserve">Delivered</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5</w:t>
            </w:r>
          </w:p>
        </w:tc>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Live delivery with deterministic sticky assignment, zero-flicker</w:t>
            </w:r>
          </w:p>
        </w:tc>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P1</w:t>
            </w:r>
          </w:p>
        </w:tc>
        <w:tc>
          <w:tcPr>
            <w:tcW w:type="dxa" w:w="2500"/>
            <w:tcMar>
              <w:top w:type="dxa" w:w="80"/>
              <w:left w:type="dxa" w:w="120"/>
              <w:bottom w:type="dxa" w:w="80"/>
              <w:right w:type="dxa" w:w="120"/>
            </w:tcMar>
          </w:tcPr>
          <w:p>
            <w:pPr>
              <w:spacing w:after="0"/>
            </w:pPr>
            <w:r>
              <w:rPr>
                <w:rFonts w:ascii="Calibri" w:cs="Calibri" w:eastAsia="Calibri" w:hAnsi="Calibri"/>
                <w:color w:val="16161A"/>
                <w:sz w:val="19"/>
                <w:szCs w:val="19"/>
              </w:rPr>
              <w:t xml:space="preserve">Delivered</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6</w:t>
            </w:r>
          </w:p>
        </w:tc>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Analytics Copilot narratives + cross-campaign Approvals queue</w:t>
            </w:r>
          </w:p>
        </w:tc>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P5, P6</w:t>
            </w:r>
          </w:p>
        </w:tc>
        <w:tc>
          <w:tcPr>
            <w:tcW w:type="dxa" w:w="2500"/>
            <w:tcMar>
              <w:top w:type="dxa" w:w="80"/>
              <w:left w:type="dxa" w:w="120"/>
              <w:bottom w:type="dxa" w:w="80"/>
              <w:right w:type="dxa" w:w="120"/>
            </w:tcMar>
          </w:tcPr>
          <w:p>
            <w:pPr>
              <w:spacing w:after="0"/>
            </w:pPr>
            <w:r>
              <w:rPr>
                <w:rFonts w:ascii="Calibri" w:cs="Calibri" w:eastAsia="Calibri" w:hAnsi="Calibri"/>
                <w:color w:val="16161A"/>
                <w:sz w:val="19"/>
                <w:szCs w:val="19"/>
              </w:rPr>
              <w:t xml:space="preserve">Delivered</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7</w:t>
            </w:r>
          </w:p>
        </w:tc>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Site Experiments on a customer's existing website</w:t>
            </w:r>
          </w:p>
        </w:tc>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P1, P3</w:t>
            </w:r>
          </w:p>
        </w:tc>
        <w:tc>
          <w:tcPr>
            <w:tcW w:type="dxa" w:w="2500"/>
            <w:tcMar>
              <w:top w:type="dxa" w:w="80"/>
              <w:left w:type="dxa" w:w="120"/>
              <w:bottom w:type="dxa" w:w="80"/>
              <w:right w:type="dxa" w:w="120"/>
            </w:tcMar>
          </w:tcPr>
          <w:p>
            <w:pPr>
              <w:spacing w:after="0"/>
            </w:pPr>
            <w:r>
              <w:rPr>
                <w:rFonts w:ascii="Calibri" w:cs="Calibri" w:eastAsia="Calibri" w:hAnsi="Calibri"/>
                <w:color w:val="16161A"/>
                <w:sz w:val="19"/>
                <w:szCs w:val="19"/>
              </w:rPr>
              <w:t xml:space="preserve">Delivered</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8</w:t>
            </w:r>
          </w:p>
        </w:tc>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Campaign Memory (closed-loop learning)</w:t>
            </w:r>
          </w:p>
        </w:tc>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P5</w:t>
            </w:r>
          </w:p>
        </w:tc>
        <w:tc>
          <w:tcPr>
            <w:tcW w:type="dxa" w:w="2500"/>
            <w:tcMar>
              <w:top w:type="dxa" w:w="80"/>
              <w:left w:type="dxa" w:w="120"/>
              <w:bottom w:type="dxa" w:w="80"/>
              <w:right w:type="dxa" w:w="120"/>
            </w:tcMar>
          </w:tcPr>
          <w:p>
            <w:pPr>
              <w:spacing w:after="0"/>
            </w:pPr>
            <w:r>
              <w:rPr>
                <w:rFonts w:ascii="Calibri" w:cs="Calibri" w:eastAsia="Calibri" w:hAnsi="Calibri"/>
                <w:color w:val="16161A"/>
                <w:sz w:val="19"/>
                <w:szCs w:val="19"/>
              </w:rPr>
              <w:t xml:space="preserve">Delivered</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9</w:t>
            </w:r>
          </w:p>
        </w:tc>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Five-role RBAC + AI-action audit trail</w:t>
            </w:r>
          </w:p>
        </w:tc>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P7</w:t>
            </w:r>
          </w:p>
        </w:tc>
        <w:tc>
          <w:tcPr>
            <w:tcW w:type="dxa" w:w="2500"/>
            <w:tcMar>
              <w:top w:type="dxa" w:w="80"/>
              <w:left w:type="dxa" w:w="120"/>
              <w:bottom w:type="dxa" w:w="80"/>
              <w:right w:type="dxa" w:w="120"/>
            </w:tcMar>
          </w:tcPr>
          <w:p>
            <w:pPr>
              <w:spacing w:after="0"/>
            </w:pPr>
            <w:r>
              <w:rPr>
                <w:rFonts w:ascii="Calibri" w:cs="Calibri" w:eastAsia="Calibri" w:hAnsi="Calibri"/>
                <w:color w:val="16161A"/>
                <w:sz w:val="19"/>
                <w:szCs w:val="19"/>
              </w:rPr>
              <w:t xml:space="preserve">Delivered</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10</w:t>
            </w:r>
          </w:p>
        </w:tc>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MVT and Thompson-sampling adaptive allocation</w:t>
            </w:r>
          </w:p>
        </w:tc>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P3</w:t>
            </w:r>
          </w:p>
        </w:tc>
        <w:tc>
          <w:tcPr>
            <w:tcW w:type="dxa" w:w="2500"/>
            <w:tcMar>
              <w:top w:type="dxa" w:w="80"/>
              <w:left w:type="dxa" w:w="120"/>
              <w:bottom w:type="dxa" w:w="80"/>
              <w:right w:type="dxa" w:w="120"/>
            </w:tcMar>
          </w:tcPr>
          <w:p>
            <w:pPr>
              <w:spacing w:after="0"/>
            </w:pPr>
            <w:r>
              <w:rPr>
                <w:rFonts w:ascii="Calibri" w:cs="Calibri" w:eastAsia="Calibri" w:hAnsi="Calibri"/>
                <w:color w:val="16161A"/>
                <w:sz w:val="19"/>
                <w:szCs w:val="19"/>
              </w:rPr>
              <w:t xml:space="preserve">Not started</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11</w:t>
            </w:r>
          </w:p>
        </w:tc>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Optimization Copilot (autonomous monitoring)</w:t>
            </w:r>
          </w:p>
        </w:tc>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P8</w:t>
            </w:r>
          </w:p>
        </w:tc>
        <w:tc>
          <w:tcPr>
            <w:tcW w:type="dxa" w:w="2500"/>
            <w:tcMar>
              <w:top w:type="dxa" w:w="80"/>
              <w:left w:type="dxa" w:w="120"/>
              <w:bottom w:type="dxa" w:w="80"/>
              <w:right w:type="dxa" w:w="120"/>
            </w:tcMar>
          </w:tcPr>
          <w:p>
            <w:pPr>
              <w:spacing w:after="0"/>
            </w:pPr>
            <w:r>
              <w:rPr>
                <w:rFonts w:ascii="Calibri" w:cs="Calibri" w:eastAsia="Calibri" w:hAnsi="Calibri"/>
                <w:color w:val="16161A"/>
                <w:sz w:val="19"/>
                <w:szCs w:val="19"/>
              </w:rPr>
              <w:t xml:space="preserve">Not started</w:t>
            </w:r>
          </w:p>
        </w:tc>
      </w:tr>
      <w:tr>
        <w:tc>
          <w:tcPr>
            <w:tcW w:type="dxa" w:w="700"/>
            <w:tcMar>
              <w:top w:type="dxa" w:w="80"/>
              <w:left w:type="dxa" w:w="120"/>
              <w:bottom w:type="dxa" w:w="80"/>
              <w:right w:type="dxa" w:w="120"/>
            </w:tcMar>
          </w:tcPr>
          <w:p>
            <w:pPr>
              <w:spacing w:after="0"/>
            </w:pPr>
            <w:r>
              <w:rPr>
                <w:rFonts w:ascii="Calibri" w:cs="Calibri" w:eastAsia="Calibri" w:hAnsi="Calibri"/>
                <w:color w:val="16161A"/>
                <w:sz w:val="19"/>
                <w:szCs w:val="19"/>
              </w:rPr>
              <w:t xml:space="preserve">12</w:t>
            </w:r>
          </w:p>
        </w:tc>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Personalization Engine · Brand Compliance AI · Multi-channel</w:t>
            </w:r>
          </w:p>
        </w:tc>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P6, P7, P8</w:t>
            </w:r>
          </w:p>
        </w:tc>
        <w:tc>
          <w:tcPr>
            <w:tcW w:type="dxa" w:w="2500"/>
            <w:tcMar>
              <w:top w:type="dxa" w:w="80"/>
              <w:left w:type="dxa" w:w="120"/>
              <w:bottom w:type="dxa" w:w="80"/>
              <w:right w:type="dxa" w:w="120"/>
            </w:tcMar>
          </w:tcPr>
          <w:p>
            <w:pPr>
              <w:spacing w:after="0"/>
            </w:pPr>
            <w:r>
              <w:rPr>
                <w:rFonts w:ascii="Calibri" w:cs="Calibri" w:eastAsia="Calibri" w:hAnsi="Calibri"/>
                <w:color w:val="16161A"/>
                <w:sz w:val="19"/>
                <w:szCs w:val="19"/>
              </w:rPr>
              <w:t xml:space="preserve">Not started</w:t>
            </w:r>
          </w:p>
        </w:tc>
      </w:tr>
    </w:tbl>
    <w:p>
      <w:pPr>
        <w:spacing w:after="120"/>
      </w:pPr>
      <w:r>
        <w:rPr>
          <w:sz w:val="12"/>
          <w:szCs w:val="12"/>
        </w:rPr>
        <w:t xml:space="preserve"/>
      </w:r>
    </w:p>
    <w:p>
      <w:pPr>
        <w:pStyle w:val="Heading2"/>
        <w:spacing w:after="120" w:before="260"/>
      </w:pPr>
      <w:r>
        <w:rPr>
          <w:rFonts w:ascii="Calibri" w:cs="Calibri" w:eastAsia="Calibri" w:hAnsi="Calibri"/>
          <w:b/>
          <w:bCs/>
          <w:color w:val="16161A"/>
          <w:sz w:val="24"/>
          <w:szCs w:val="24"/>
        </w:rPr>
        <w:t xml:space="preserve">3.5 How AI supported need analysis</w:t>
      </w:r>
    </w:p>
    <w:p>
      <w:pPr>
        <w:spacing w:after="120" w:line="276"/>
      </w:pPr>
      <w:r>
        <w:rPr>
          <w:rFonts w:ascii="Calibri" w:cs="Calibri" w:eastAsia="Calibri" w:hAnsi="Calibri"/>
          <w:color w:val="16161A"/>
          <w:sz w:val="21"/>
          <w:szCs w:val="21"/>
        </w:rPr>
        <w:t xml:space="preserve">AI was used here as a structuring and stress-testing partner rather than a source of judgement. The prioritization calls were human; what AI contributed was consistency, coverage checking, and an unsentimental second opinion on requirements the team was attached to.</w:t>
      </w:r>
    </w:p>
    <w:p>
      <w:pPr>
        <w:spacing w:after="40" w:before="140"/>
      </w:pPr>
      <w:r>
        <w:rPr>
          <w:rFonts w:ascii="Calibri" w:cs="Calibri" w:eastAsia="Calibri" w:hAnsi="Calibri"/>
          <w:b/>
          <w:bCs/>
          <w:color w:val="F04E10"/>
          <w:sz w:val="19"/>
          <w:szCs w:val="19"/>
        </w:rPr>
        <w:t xml:space="preserve">Prompt 5 — pain-to-requirement mapping</w:t>
      </w:r>
    </w:p>
    <w:p>
      <w:pPr>
        <w:pBdr>
          <w:left w:val="single" w:color="D9D9D9" w:sz="12" w:space="8"/>
        </w:pBdr>
        <w:spacing w:after="0" w:line="260"/>
        <w:ind w:left="360"/>
      </w:pPr>
      <w:r>
        <w:rPr>
          <w:rFonts w:ascii="Consolas" w:cs="Consolas" w:eastAsia="Consolas" w:hAnsi="Consolas"/>
          <w:color w:val="3A3A42"/>
          <w:sz w:val="18"/>
          <w:szCs w:val="18"/>
        </w:rPr>
        <w:t xml:space="preserve">Here are our interview findings and the verified market research. Build a pain-</w:t>
      </w:r>
    </w:p>
    <w:p>
      <w:pPr>
        <w:pBdr>
          <w:left w:val="single" w:color="D9D9D9" w:sz="12" w:space="8"/>
        </w:pBdr>
        <w:spacing w:after="0" w:line="260"/>
        <w:ind w:left="360"/>
      </w:pPr>
      <w:r>
        <w:rPr>
          <w:rFonts w:ascii="Consolas" w:cs="Consolas" w:eastAsia="Consolas" w:hAnsi="Consolas"/>
          <w:color w:val="3A3A42"/>
          <w:sz w:val="18"/>
          <w:szCs w:val="18"/>
        </w:rPr>
        <w:t xml:space="preserve">point register: for each pain, name the persona, the underlying cause (not the</w:t>
      </w:r>
    </w:p>
    <w:p>
      <w:pPr>
        <w:pBdr>
          <w:left w:val="single" w:color="D9D9D9" w:sz="12" w:space="8"/>
        </w:pBdr>
        <w:spacing w:after="0" w:line="260"/>
        <w:ind w:left="360"/>
      </w:pPr>
      <w:r>
        <w:rPr>
          <w:rFonts w:ascii="Consolas" w:cs="Consolas" w:eastAsia="Consolas" w:hAnsi="Consolas"/>
          <w:color w:val="3A3A42"/>
          <w:sz w:val="18"/>
          <w:szCs w:val="18"/>
        </w:rPr>
        <w:t xml:space="preserve">symptom), and the evidence class (interview / verified secondary / assumption).</w:t>
      </w:r>
    </w:p>
    <w:p>
      <w:pPr>
        <w:pBdr>
          <w:left w:val="single" w:color="D9D9D9" w:sz="12" w:space="8"/>
        </w:pBdr>
        <w:spacing w:after="0" w:line="260"/>
        <w:ind w:left="360"/>
      </w:pPr>
      <w:r>
        <w:rPr>
          <w:rFonts w:ascii="Consolas" w:cs="Consolas" w:eastAsia="Consolas" w:hAnsi="Consolas"/>
          <w:color w:val="3A3A42"/>
          <w:sz w:val="18"/>
          <w:szCs w:val="18"/>
        </w:rPr>
        <w:t xml:space="preserve">Then map each pain to candidate capabilities. Flag any capability that cannot</w:t>
      </w:r>
    </w:p>
    <w:p>
      <w:pPr>
        <w:pBdr>
          <w:left w:val="single" w:color="D9D9D9" w:sz="12" w:space="8"/>
        </w:pBdr>
        <w:spacing w:after="140" w:line="260"/>
        <w:ind w:left="360"/>
      </w:pPr>
      <w:r>
        <w:rPr>
          <w:rFonts w:ascii="Consolas" w:cs="Consolas" w:eastAsia="Consolas" w:hAnsi="Consolas"/>
          <w:color w:val="3A3A42"/>
          <w:sz w:val="18"/>
          <w:szCs w:val="18"/>
        </w:rPr>
        <w:t xml:space="preserve">name a specific pain it retires — those are candidates to cut.</w:t>
      </w:r>
    </w:p>
    <w:p>
      <w:pPr>
        <w:spacing w:after="40" w:before="140"/>
      </w:pPr>
      <w:r>
        <w:rPr>
          <w:rFonts w:ascii="Calibri" w:cs="Calibri" w:eastAsia="Calibri" w:hAnsi="Calibri"/>
          <w:b/>
          <w:bCs/>
          <w:color w:val="F04E10"/>
          <w:sz w:val="19"/>
          <w:szCs w:val="19"/>
        </w:rPr>
        <w:t xml:space="preserve">Prompt 6 — multi-model prioritization</w:t>
      </w:r>
    </w:p>
    <w:p>
      <w:pPr>
        <w:pBdr>
          <w:left w:val="single" w:color="D9D9D9" w:sz="12" w:space="8"/>
        </w:pBdr>
        <w:spacing w:after="0" w:line="260"/>
        <w:ind w:left="360"/>
      </w:pPr>
      <w:r>
        <w:rPr>
          <w:rFonts w:ascii="Consolas" w:cs="Consolas" w:eastAsia="Consolas" w:hAnsi="Consolas"/>
          <w:color w:val="3A3A42"/>
          <w:sz w:val="18"/>
          <w:szCs w:val="18"/>
        </w:rPr>
        <w:t xml:space="preserve">Apply MoSCoW, Kano and RICE to this requirement list, independently. Where the</w:t>
      </w:r>
    </w:p>
    <w:p>
      <w:pPr>
        <w:pBdr>
          <w:left w:val="single" w:color="D9D9D9" w:sz="12" w:space="8"/>
        </w:pBdr>
        <w:spacing w:after="0" w:line="260"/>
        <w:ind w:left="360"/>
      </w:pPr>
      <w:r>
        <w:rPr>
          <w:rFonts w:ascii="Consolas" w:cs="Consolas" w:eastAsia="Consolas" w:hAnsi="Consolas"/>
          <w:color w:val="3A3A42"/>
          <w:sz w:val="18"/>
          <w:szCs w:val="18"/>
        </w:rPr>
        <w:t xml:space="preserve">three models disagree about a requirement, say so explicitly and explain what</w:t>
      </w:r>
    </w:p>
    <w:p>
      <w:pPr>
        <w:pBdr>
          <w:left w:val="single" w:color="D9D9D9" w:sz="12" w:space="8"/>
        </w:pBdr>
        <w:spacing w:after="0" w:line="260"/>
        <w:ind w:left="360"/>
      </w:pPr>
      <w:r>
        <w:rPr>
          <w:rFonts w:ascii="Consolas" w:cs="Consolas" w:eastAsia="Consolas" w:hAnsi="Consolas"/>
          <w:color w:val="3A3A42"/>
          <w:sz w:val="18"/>
          <w:szCs w:val="18"/>
        </w:rPr>
        <w:t xml:space="preserve">the disagreement reveals — do not reconcile them into one score. Then propose a</w:t>
      </w:r>
    </w:p>
    <w:p>
      <w:pPr>
        <w:pBdr>
          <w:left w:val="single" w:color="D9D9D9" w:sz="12" w:space="8"/>
        </w:pBdr>
        <w:spacing w:after="0" w:line="260"/>
        <w:ind w:left="360"/>
      </w:pPr>
      <w:r>
        <w:rPr>
          <w:rFonts w:ascii="Consolas" w:cs="Consolas" w:eastAsia="Consolas" w:hAnsi="Consolas"/>
          <w:color w:val="3A3A42"/>
          <w:sz w:val="18"/>
          <w:szCs w:val="18"/>
        </w:rPr>
        <w:t xml:space="preserve">build sequence that respects technical dependencies even where that conflicts</w:t>
      </w:r>
    </w:p>
    <w:p>
      <w:pPr>
        <w:pBdr>
          <w:left w:val="single" w:color="D9D9D9" w:sz="12" w:space="8"/>
        </w:pBdr>
        <w:spacing w:after="140" w:line="260"/>
        <w:ind w:left="360"/>
      </w:pPr>
      <w:r>
        <w:rPr>
          <w:rFonts w:ascii="Consolas" w:cs="Consolas" w:eastAsia="Consolas" w:hAnsi="Consolas"/>
          <w:color w:val="3A3A42"/>
          <w:sz w:val="18"/>
          <w:szCs w:val="18"/>
        </w:rPr>
        <w:t xml:space="preserve">with the RICE ranking, and name the dependency in each case.</w:t>
      </w:r>
    </w:p>
    <w:p>
      <w:pPr>
        <w:spacing w:after="40" w:before="140"/>
      </w:pPr>
      <w:r>
        <w:rPr>
          <w:rFonts w:ascii="Calibri" w:cs="Calibri" w:eastAsia="Calibri" w:hAnsi="Calibri"/>
          <w:b/>
          <w:bCs/>
          <w:color w:val="F04E10"/>
          <w:sz w:val="19"/>
          <w:szCs w:val="19"/>
        </w:rPr>
        <w:t xml:space="preserve">Prompt 7 — scope discipline</w:t>
      </w:r>
    </w:p>
    <w:p>
      <w:pPr>
        <w:pBdr>
          <w:left w:val="single" w:color="D9D9D9" w:sz="12" w:space="8"/>
        </w:pBdr>
        <w:spacing w:after="0" w:line="260"/>
        <w:ind w:left="360"/>
      </w:pPr>
      <w:r>
        <w:rPr>
          <w:rFonts w:ascii="Consolas" w:cs="Consolas" w:eastAsia="Consolas" w:hAnsi="Consolas"/>
          <w:color w:val="3A3A42"/>
          <w:sz w:val="18"/>
          <w:szCs w:val="18"/>
        </w:rPr>
        <w:t xml:space="preserve">For each requirement we plan to build in this cycle, write the out-of-scope</w:t>
      </w:r>
    </w:p>
    <w:p>
      <w:pPr>
        <w:pBdr>
          <w:left w:val="single" w:color="D9D9D9" w:sz="12" w:space="8"/>
        </w:pBdr>
        <w:spacing w:after="0" w:line="260"/>
        <w:ind w:left="360"/>
      </w:pPr>
      <w:r>
        <w:rPr>
          <w:rFonts w:ascii="Consolas" w:cs="Consolas" w:eastAsia="Consolas" w:hAnsi="Consolas"/>
          <w:color w:val="3A3A42"/>
          <w:sz w:val="18"/>
          <w:szCs w:val="18"/>
        </w:rPr>
        <w:t xml:space="preserve">section first: what a reader might reasonably assume is included but is not.</w:t>
      </w:r>
    </w:p>
    <w:p>
      <w:pPr>
        <w:pBdr>
          <w:left w:val="single" w:color="D9D9D9" w:sz="12" w:space="8"/>
        </w:pBdr>
        <w:spacing w:after="0" w:line="260"/>
        <w:ind w:left="360"/>
      </w:pPr>
      <w:r>
        <w:rPr>
          <w:rFonts w:ascii="Consolas" w:cs="Consolas" w:eastAsia="Consolas" w:hAnsi="Consolas"/>
          <w:color w:val="3A3A42"/>
          <w:sz w:val="18"/>
          <w:szCs w:val="18"/>
        </w:rPr>
        <w:t xml:space="preserve">Be specific enough that nobody could read the PRD and believe something is</w:t>
      </w:r>
    </w:p>
    <w:p>
      <w:pPr>
        <w:pBdr>
          <w:left w:val="single" w:color="D9D9D9" w:sz="12" w:space="8"/>
        </w:pBdr>
        <w:spacing w:after="140" w:line="260"/>
        <w:ind w:left="360"/>
      </w:pPr>
      <w:r>
        <w:rPr>
          <w:rFonts w:ascii="Consolas" w:cs="Consolas" w:eastAsia="Consolas" w:hAnsi="Consolas"/>
          <w:color w:val="3A3A42"/>
          <w:sz w:val="18"/>
          <w:szCs w:val="18"/>
        </w:rPr>
        <w:t xml:space="preserve">done when it is not.</w:t>
      </w:r>
    </w:p>
    <w:p>
      <w:pPr>
        <w:spacing w:after="120" w:line="276"/>
      </w:pPr>
      <w:r>
        <w:rPr>
          <w:rFonts w:ascii="Calibri" w:cs="Calibri" w:eastAsia="Calibri" w:hAnsi="Calibri"/>
          <w:color w:val="16161A"/>
          <w:sz w:val="21"/>
          <w:szCs w:val="21"/>
        </w:rPr>
        <w:t xml:space="preserve">Prompt 7 became a standing convention: every delivered slice has a PRD with an explicit, honest out-of-scope section. Seven PRDs exist, one per slice.</w:t>
      </w:r>
    </w:p>
    <w:p>
      <w:r>
        <w:br w:type="page"/>
      </w:r>
    </w:p>
    <w:p>
      <w:pPr>
        <w:pStyle w:val="Heading1"/>
        <w:spacing w:after="160" w:before="360"/>
      </w:pPr>
      <w:r>
        <w:rPr>
          <w:rFonts w:ascii="Calibri" w:cs="Calibri" w:eastAsia="Calibri" w:hAnsi="Calibri"/>
          <w:b/>
          <w:bCs/>
          <w:color w:val="16161A"/>
          <w:sz w:val="30"/>
          <w:szCs w:val="30"/>
        </w:rPr>
        <w:t xml:space="preserve">4. The Core Value Proposition</w:t>
      </w:r>
    </w:p>
    <w:p>
      <w:pPr>
        <w:pStyle w:val="Heading2"/>
        <w:spacing w:after="120" w:before="260"/>
      </w:pPr>
      <w:r>
        <w:rPr>
          <w:rFonts w:ascii="Calibri" w:cs="Calibri" w:eastAsia="Calibri" w:hAnsi="Calibri"/>
          <w:b/>
          <w:bCs/>
          <w:color w:val="16161A"/>
          <w:sz w:val="24"/>
          <w:szCs w:val="24"/>
        </w:rPr>
        <w:t xml:space="preserve">4.1 The statement</w:t>
      </w:r>
    </w:p>
    <w:p>
      <w:pPr>
        <w:spacing w:after="120" w:line="276"/>
      </w:pPr>
      <w:r>
        <w:rPr>
          <w:rFonts w:ascii="Calibri" w:cs="Calibri" w:eastAsia="Calibri" w:hAnsi="Calibri"/>
          <w:b/>
          <w:bCs/>
          <w:color w:val="16161A"/>
          <w:sz w:val="21"/>
          <w:szCs w:val="21"/>
        </w:rPr>
        <w:t xml:space="preserve">For </w:t>
      </w:r>
      <w:r>
        <w:rPr>
          <w:rFonts w:ascii="Calibri" w:cs="Calibri" w:eastAsia="Calibri" w:hAnsi="Calibri"/>
          <w:color w:val="16161A"/>
          <w:sz w:val="21"/>
          <w:szCs w:val="21"/>
        </w:rPr>
        <w:t xml:space="preserve">mid-market SaaS and DTC marketing teams who need to launch and test more campaigns than their design and dev queues will allow, </w:t>
      </w:r>
      <w:r>
        <w:rPr>
          <w:rFonts w:ascii="Calibri" w:cs="Calibri" w:eastAsia="Calibri" w:hAnsi="Calibri"/>
          <w:b/>
          <w:bCs/>
          <w:color w:val="16161A"/>
          <w:sz w:val="21"/>
          <w:szCs w:val="21"/>
        </w:rPr>
        <w:t xml:space="preserve">IntentFlow </w:t>
      </w:r>
      <w:r>
        <w:rPr>
          <w:rFonts w:ascii="Calibri" w:cs="Calibri" w:eastAsia="Calibri" w:hAnsi="Calibri"/>
          <w:color w:val="16161A"/>
          <w:sz w:val="21"/>
          <w:szCs w:val="21"/>
        </w:rPr>
        <w:t xml:space="preserve">is the </w:t>
      </w:r>
      <w:r>
        <w:rPr>
          <w:rFonts w:ascii="Calibri" w:cs="Calibri" w:eastAsia="Calibri" w:hAnsi="Calibri"/>
          <w:b/>
          <w:bCs/>
          <w:color w:val="16161A"/>
          <w:sz w:val="21"/>
          <w:szCs w:val="21"/>
        </w:rPr>
        <w:t xml:space="preserve">AI-first CMS with native experimentation </w:t>
      </w:r>
      <w:r>
        <w:rPr>
          <w:rFonts w:ascii="Calibri" w:cs="Calibri" w:eastAsia="Calibri" w:hAnsi="Calibri"/>
          <w:color w:val="16161A"/>
          <w:sz w:val="21"/>
          <w:szCs w:val="21"/>
        </w:rPr>
        <w:t xml:space="preserve">that turns a plain-language brief into a live, self-testing campaign in hours — where the variant is the content itself, not a script layered on top — </w:t>
      </w:r>
      <w:r>
        <w:rPr>
          <w:rFonts w:ascii="Calibri" w:cs="Calibri" w:eastAsia="Calibri" w:hAnsi="Calibri"/>
          <w:b/>
          <w:bCs/>
          <w:color w:val="16161A"/>
          <w:sz w:val="21"/>
          <w:szCs w:val="21"/>
        </w:rPr>
        <w:t xml:space="preserve">unlike Optimizely</w:t>
      </w:r>
      <w:r>
        <w:rPr>
          <w:rFonts w:ascii="Calibri" w:cs="Calibri" w:eastAsia="Calibri" w:hAnsi="Calibri"/>
          <w:color w:val="16161A"/>
          <w:sz w:val="21"/>
          <w:szCs w:val="21"/>
        </w:rPr>
        <w:t xml:space="preserve">, which, by its own description, "works with your existing stack" and applies experimentation as a script or SDK-based layer on top of a page, rather than authoring the variant as structural content.</w:t>
      </w:r>
    </w:p>
    <w:p>
      <w:pPr>
        <w:spacing w:after="120" w:line="276"/>
      </w:pPr>
      <w:r>
        <w:rPr>
          <w:rFonts w:ascii="Calibri" w:cs="Calibri" w:eastAsia="Calibri" w:hAnsi="Calibri"/>
          <w:i/>
          <w:iCs/>
          <w:color w:val="16161A"/>
          <w:sz w:val="21"/>
          <w:szCs w:val="21"/>
        </w:rPr>
        <w:t xml:space="preserve">Compressed to a brand line: "Intent in. Outcomes out."</w:t>
      </w:r>
    </w:p>
    <w:p>
      <w:pPr>
        <w:pStyle w:val="Heading2"/>
        <w:spacing w:after="120" w:before="260"/>
      </w:pPr>
      <w:r>
        <w:rPr>
          <w:rFonts w:ascii="Calibri" w:cs="Calibri" w:eastAsia="Calibri" w:hAnsi="Calibri"/>
          <w:b/>
          <w:bCs/>
          <w:color w:val="16161A"/>
          <w:sz w:val="24"/>
          <w:szCs w:val="24"/>
        </w:rPr>
        <w:t xml:space="preserve">4.2 How we arrived at it</w:t>
      </w:r>
    </w:p>
    <w:p>
      <w:pPr>
        <w:spacing w:after="120" w:line="276"/>
      </w:pPr>
      <w:r>
        <w:rPr>
          <w:rFonts w:ascii="Calibri" w:cs="Calibri" w:eastAsia="Calibri" w:hAnsi="Calibri"/>
          <w:color w:val="16161A"/>
          <w:sz w:val="21"/>
          <w:szCs w:val="21"/>
        </w:rPr>
        <w:t xml:space="preserve">The value proposition went through four distinct framings before settling. Documenting the discarded ones matters more than documenting the winner, because each was discarded for a reason that constrains what we may claim.</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rPr>
          <w:tblHeader/>
        </w:trPr>
        <w:tc>
          <w:tcPr>
            <w:tcW w:type="dxa" w:w="36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Framing considered</w:t>
            </w:r>
          </w:p>
        </w:tc>
        <w:tc>
          <w:tcPr>
            <w:tcW w:type="dxa" w:w="57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Why it was rejected</w:t>
            </w:r>
          </w:p>
        </w:tc>
      </w:tr>
      <w:tr>
        <w:tc>
          <w:tcPr>
            <w:tcW w:type="dxa" w:w="3600"/>
            <w:tcMar>
              <w:top w:type="dxa" w:w="80"/>
              <w:left w:type="dxa" w:w="120"/>
              <w:bottom w:type="dxa" w:w="80"/>
              <w:right w:type="dxa" w:w="120"/>
            </w:tcMar>
          </w:tcPr>
          <w:p>
            <w:pPr>
              <w:spacing w:after="0"/>
            </w:pPr>
            <w:r>
              <w:rPr>
                <w:rFonts w:ascii="Calibri" w:cs="Calibri" w:eastAsia="Calibri" w:hAnsi="Calibri"/>
                <w:color w:val="16161A"/>
                <w:sz w:val="19"/>
                <w:szCs w:val="19"/>
              </w:rPr>
              <w:t xml:space="preserve">"A faster CMS"</w:t>
            </w:r>
          </w:p>
        </w:tc>
        <w:tc>
          <w:tcPr>
            <w:tcW w:type="dxa" w:w="5700"/>
            <w:tcMar>
              <w:top w:type="dxa" w:w="80"/>
              <w:left w:type="dxa" w:w="120"/>
              <w:bottom w:type="dxa" w:w="80"/>
              <w:right w:type="dxa" w:w="120"/>
            </w:tcMar>
          </w:tcPr>
          <w:p>
            <w:pPr>
              <w:spacing w:after="0"/>
            </w:pPr>
            <w:r>
              <w:rPr>
                <w:rFonts w:ascii="Calibri" w:cs="Calibri" w:eastAsia="Calibri" w:hAnsi="Calibri"/>
                <w:color w:val="16161A"/>
                <w:sz w:val="19"/>
                <w:szCs w:val="19"/>
              </w:rPr>
              <w:t xml:space="preserve">Speed is a feature claim, trivially copied, and invites direct comparison with Wix and Sitecore on their terms.</w:t>
            </w:r>
          </w:p>
        </w:tc>
      </w:tr>
      <w:tr>
        <w:tc>
          <w:tcPr>
            <w:tcW w:type="dxa" w:w="3600"/>
            <w:tcMar>
              <w:top w:type="dxa" w:w="80"/>
              <w:left w:type="dxa" w:w="120"/>
              <w:bottom w:type="dxa" w:w="80"/>
              <w:right w:type="dxa" w:w="120"/>
            </w:tcMar>
          </w:tcPr>
          <w:p>
            <w:pPr>
              <w:spacing w:after="0"/>
            </w:pPr>
            <w:r>
              <w:rPr>
                <w:rFonts w:ascii="Calibri" w:cs="Calibri" w:eastAsia="Calibri" w:hAnsi="Calibri"/>
                <w:color w:val="16161A"/>
                <w:sz w:val="19"/>
                <w:szCs w:val="19"/>
              </w:rPr>
              <w:t xml:space="preserve">"AI A/B testing"</w:t>
            </w:r>
          </w:p>
        </w:tc>
        <w:tc>
          <w:tcPr>
            <w:tcW w:type="dxa" w:w="5700"/>
            <w:tcMar>
              <w:top w:type="dxa" w:w="80"/>
              <w:left w:type="dxa" w:w="120"/>
              <w:bottom w:type="dxa" w:w="80"/>
              <w:right w:type="dxa" w:w="120"/>
            </w:tcMar>
          </w:tcPr>
          <w:p>
            <w:pPr>
              <w:spacing w:after="0"/>
            </w:pPr>
            <w:r>
              <w:rPr>
                <w:rFonts w:ascii="Calibri" w:cs="Calibri" w:eastAsia="Calibri" w:hAnsi="Calibri"/>
                <w:color w:val="16161A"/>
                <w:sz w:val="19"/>
                <w:szCs w:val="19"/>
              </w:rPr>
              <w:t xml:space="preserve">A checkbox every vendor already claims. It concedes the category to the incumbent that owns testing.</w:t>
            </w:r>
          </w:p>
        </w:tc>
      </w:tr>
      <w:tr>
        <w:tc>
          <w:tcPr>
            <w:tcW w:type="dxa" w:w="3600"/>
            <w:tcMar>
              <w:top w:type="dxa" w:w="80"/>
              <w:left w:type="dxa" w:w="120"/>
              <w:bottom w:type="dxa" w:w="80"/>
              <w:right w:type="dxa" w:w="120"/>
            </w:tcMar>
          </w:tcPr>
          <w:p>
            <w:pPr>
              <w:spacing w:after="0"/>
            </w:pPr>
            <w:r>
              <w:rPr>
                <w:rFonts w:ascii="Calibri" w:cs="Calibri" w:eastAsia="Calibri" w:hAnsi="Calibri"/>
                <w:color w:val="16161A"/>
                <w:sz w:val="19"/>
                <w:szCs w:val="19"/>
              </w:rPr>
              <w:t xml:space="preserve">"Optimizely can't build the page; we can"</w:t>
            </w:r>
          </w:p>
        </w:tc>
        <w:tc>
          <w:tcPr>
            <w:tcW w:type="dxa" w:w="5700"/>
            <w:tcMar>
              <w:top w:type="dxa" w:w="80"/>
              <w:left w:type="dxa" w:w="120"/>
              <w:bottom w:type="dxa" w:w="80"/>
              <w:right w:type="dxa" w:w="120"/>
            </w:tcMar>
          </w:tcPr>
          <w:p>
            <w:pPr>
              <w:spacing w:after="0"/>
            </w:pPr>
            <w:r>
              <w:rPr>
                <w:rFonts w:ascii="Calibri" w:cs="Calibri" w:eastAsia="Calibri" w:hAnsi="Calibri"/>
                <w:color w:val="16161A"/>
                <w:sz w:val="19"/>
                <w:szCs w:val="19"/>
              </w:rPr>
              <w:t xml:space="preserve">False on our own evidence — Optimizely ships a CMS. Retracted in full during the positioning revision.</w:t>
            </w:r>
          </w:p>
        </w:tc>
      </w:tr>
      <w:tr>
        <w:tc>
          <w:tcPr>
            <w:tcW w:type="dxa" w:w="3600"/>
            <w:tcMar>
              <w:top w:type="dxa" w:w="80"/>
              <w:left w:type="dxa" w:w="120"/>
              <w:bottom w:type="dxa" w:w="80"/>
              <w:right w:type="dxa" w:w="120"/>
            </w:tcMar>
          </w:tcPr>
          <w:p>
            <w:pPr>
              <w:spacing w:after="0"/>
            </w:pPr>
            <w:r>
              <w:rPr>
                <w:rFonts w:ascii="Calibri" w:cs="Calibri" w:eastAsia="Calibri" w:hAnsi="Calibri"/>
                <w:color w:val="16161A"/>
                <w:sz w:val="19"/>
                <w:szCs w:val="19"/>
              </w:rPr>
              <w:t xml:space="preserve">"We out-math the incumbents"</w:t>
            </w:r>
          </w:p>
        </w:tc>
        <w:tc>
          <w:tcPr>
            <w:tcW w:type="dxa" w:w="5700"/>
            <w:tcMar>
              <w:top w:type="dxa" w:w="80"/>
              <w:left w:type="dxa" w:w="120"/>
              <w:bottom w:type="dxa" w:w="80"/>
              <w:right w:type="dxa" w:w="120"/>
            </w:tcMar>
          </w:tcPr>
          <w:p>
            <w:pPr>
              <w:spacing w:after="0"/>
            </w:pPr>
            <w:r>
              <w:rPr>
                <w:rFonts w:ascii="Calibri" w:cs="Calibri" w:eastAsia="Calibri" w:hAnsi="Calibri"/>
                <w:color w:val="16161A"/>
                <w:sz w:val="19"/>
                <w:szCs w:val="19"/>
              </w:rPr>
              <w:t xml:space="preserve">Not supportable. Optimizely's statistical engine is its most earned asset; claiming superiority is a credibility risk with exactly the audience most likely to check.</w:t>
            </w:r>
          </w:p>
        </w:tc>
      </w:tr>
      <w:tr>
        <w:tc>
          <w:tcPr>
            <w:tcW w:type="dxa" w:w="3600"/>
            <w:tcMar>
              <w:top w:type="dxa" w:w="80"/>
              <w:left w:type="dxa" w:w="120"/>
              <w:bottom w:type="dxa" w:w="80"/>
              <w:right w:type="dxa" w:w="120"/>
            </w:tcMar>
          </w:tcPr>
          <w:p>
            <w:pPr>
              <w:spacing w:after="0"/>
            </w:pPr>
            <w:r>
              <w:rPr>
                <w:rFonts w:ascii="Calibri" w:cs="Calibri" w:eastAsia="Calibri" w:hAnsi="Calibri"/>
                <w:color w:val="16161A"/>
                <w:sz w:val="19"/>
                <w:szCs w:val="19"/>
              </w:rPr>
              <w:t xml:space="preserve">ADOPTED: "The variant is the content, not a script on top"</w:t>
            </w:r>
          </w:p>
        </w:tc>
        <w:tc>
          <w:tcPr>
            <w:tcW w:type="dxa" w:w="5700"/>
            <w:tcMar>
              <w:top w:type="dxa" w:w="80"/>
              <w:left w:type="dxa" w:w="120"/>
              <w:bottom w:type="dxa" w:w="80"/>
              <w:right w:type="dxa" w:w="120"/>
            </w:tcMar>
          </w:tcPr>
          <w:p>
            <w:pPr>
              <w:spacing w:after="0"/>
            </w:pPr>
            <w:r>
              <w:rPr>
                <w:rFonts w:ascii="Calibri" w:cs="Calibri" w:eastAsia="Calibri" w:hAnsi="Calibri"/>
                <w:color w:val="16161A"/>
                <w:sz w:val="19"/>
                <w:szCs w:val="19"/>
              </w:rPr>
              <w:t xml:space="preserve">Architectural, not feature-level; supportable using the competitor's own published words; and it is the one thing a retrofitted suite cannot copy without re-architecting.</w:t>
            </w:r>
          </w:p>
        </w:tc>
      </w:tr>
    </w:tbl>
    <w:p>
      <w:pPr>
        <w:spacing w:after="120"/>
      </w:pPr>
      <w:r>
        <w:rPr>
          <w:sz w:val="12"/>
          <w:szCs w:val="12"/>
        </w:rPr>
        <w:t xml:space="preserve"/>
      </w:r>
    </w:p>
    <w:p>
      <w:pPr>
        <w:pStyle w:val="Heading2"/>
        <w:spacing w:after="120" w:before="260"/>
      </w:pPr>
      <w:r>
        <w:rPr>
          <w:rFonts w:ascii="Calibri" w:cs="Calibri" w:eastAsia="Calibri" w:hAnsi="Calibri"/>
          <w:b/>
          <w:bCs/>
          <w:color w:val="16161A"/>
          <w:sz w:val="24"/>
          <w:szCs w:val="24"/>
        </w:rPr>
        <w:t xml:space="preserve">4.3 The rationale, in four moves</w:t>
      </w:r>
    </w:p>
    <w:p>
      <w:pPr>
        <w:pStyle w:val="ListParagraph"/>
        <w:numPr>
          <w:ilvl w:val="0"/>
          <w:numId w:val="3"/>
        </w:numPr>
        <w:spacing w:after="80" w:line="276"/>
      </w:pPr>
      <w:r>
        <w:rPr>
          <w:rFonts w:ascii="Calibri" w:cs="Calibri" w:eastAsia="Calibri" w:hAnsi="Calibri"/>
          <w:color w:val="16161A"/>
          <w:sz w:val="21"/>
          <w:szCs w:val="21"/>
        </w:rPr>
        <w:t xml:space="preserve">Anchor on a difference in kind, not degree. Features get copied within a release cycle. Architecture does not. Because an IntentFlow variant is a block-level patch inside the content model rather than a runtime script, the campaign, its content, and its experiment are one object. A competitor cannot match that by shipping a feature; they would have to re-architect.</w:t>
      </w:r>
    </w:p>
    <w:p>
      <w:pPr>
        <w:pStyle w:val="ListParagraph"/>
        <w:numPr>
          <w:ilvl w:val="0"/>
          <w:numId w:val="3"/>
        </w:numPr>
        <w:spacing w:after="80" w:line="276"/>
      </w:pPr>
      <w:r>
        <w:rPr>
          <w:rFonts w:ascii="Calibri" w:cs="Calibri" w:eastAsia="Calibri" w:hAnsi="Calibri"/>
          <w:color w:val="16161A"/>
          <w:sz w:val="21"/>
          <w:szCs w:val="21"/>
        </w:rPr>
        <w:t xml:space="preserve">Concede parity loudly where parity is the truth. The proposition explicitly does not claim statistical superiority. Conceding this up front is what makes the architectural claim credible — a pitch that overclaims on statistics to a CRO-literate buyer loses the whole argument, not just that point.</w:t>
      </w:r>
    </w:p>
    <w:p>
      <w:pPr>
        <w:pStyle w:val="ListParagraph"/>
        <w:numPr>
          <w:ilvl w:val="0"/>
          <w:numId w:val="3"/>
        </w:numPr>
        <w:spacing w:after="80" w:line="276"/>
      </w:pPr>
      <w:r>
        <w:rPr>
          <w:rFonts w:ascii="Calibri" w:cs="Calibri" w:eastAsia="Calibri" w:hAnsi="Calibri"/>
          <w:color w:val="16161A"/>
          <w:sz w:val="21"/>
          <w:szCs w:val="21"/>
        </w:rPr>
        <w:t xml:space="preserve">Sell elevation, not automation. What is sold is not a faster tool but a different division of labour: marketers define outcomes, the platform builds, tests and learns. This is deliberately the emotional wedge against Optimizely (rigour for enterprises) and Adobe (power for teams that already have creative departments).</w:t>
      </w:r>
    </w:p>
    <w:p>
      <w:pPr>
        <w:pStyle w:val="ListParagraph"/>
        <w:numPr>
          <w:ilvl w:val="0"/>
          <w:numId w:val="3"/>
        </w:numPr>
        <w:spacing w:after="80" w:line="276"/>
      </w:pPr>
      <w:r>
        <w:rPr>
          <w:rFonts w:ascii="Calibri" w:cs="Calibri" w:eastAsia="Calibri" w:hAnsi="Calibri"/>
          <w:color w:val="16161A"/>
          <w:sz w:val="21"/>
          <w:szCs w:val="21"/>
        </w:rPr>
        <w:t xml:space="preserve">Make governance part of the value, not a compliance tax. Human-in-the-loop gates default ON for brief, content, experiment launch and winner promotion, and remain a permanent customer-held control rather than a setting to graduate out of. For Sarah, "governed by default, not a tier you buy up into" is the value proposition, not a caveat attached to it.</w:t>
      </w:r>
    </w:p>
    <w:p>
      <w:pPr>
        <w:pStyle w:val="Heading2"/>
        <w:spacing w:after="120" w:before="260"/>
      </w:pPr>
      <w:r>
        <w:rPr>
          <w:rFonts w:ascii="Calibri" w:cs="Calibri" w:eastAsia="Calibri" w:hAnsi="Calibri"/>
          <w:b/>
          <w:bCs/>
          <w:color w:val="16161A"/>
          <w:sz w:val="24"/>
          <w:szCs w:val="24"/>
        </w:rPr>
        <w:t xml:space="preserve">4.4 Four proof pillars</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00"/>
      </w:tblGrid>
      <w:tr>
        <w:trPr>
          <w:tblHeader/>
        </w:trPr>
        <w:tc>
          <w:tcPr>
            <w:tcW w:type="dxa" w:w="19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Pillar</w:t>
            </w:r>
          </w:p>
        </w:tc>
        <w:tc>
          <w:tcPr>
            <w:tcW w:type="dxa" w:w="26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Claim</w:t>
            </w:r>
          </w:p>
        </w:tc>
        <w:tc>
          <w:tcPr>
            <w:tcW w:type="dxa" w:w="48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Proof in the product</w:t>
            </w:r>
          </w:p>
        </w:tc>
      </w:tr>
      <w:tr>
        <w:tc>
          <w:tcPr>
            <w:tcW w:type="dxa" w:w="1900"/>
            <w:tcMar>
              <w:top w:type="dxa" w:w="80"/>
              <w:left w:type="dxa" w:w="120"/>
              <w:bottom w:type="dxa" w:w="80"/>
              <w:right w:type="dxa" w:w="120"/>
            </w:tcMar>
          </w:tcPr>
          <w:p>
            <w:pPr>
              <w:spacing w:after="0"/>
            </w:pPr>
            <w:r>
              <w:rPr>
                <w:rFonts w:ascii="Calibri" w:cs="Calibri" w:eastAsia="Calibri" w:hAnsi="Calibri"/>
                <w:color w:val="16161A"/>
                <w:sz w:val="19"/>
                <w:szCs w:val="19"/>
              </w:rPr>
              <w:t xml:space="preserve">Autonomy with a leash</w:t>
            </w:r>
          </w:p>
        </w:tc>
        <w:tc>
          <w:tcPr>
            <w:tcW w:type="dxa" w:w="2600"/>
            <w:tcMar>
              <w:top w:type="dxa" w:w="80"/>
              <w:left w:type="dxa" w:w="120"/>
              <w:bottom w:type="dxa" w:w="80"/>
              <w:right w:type="dxa" w:w="120"/>
            </w:tcMar>
          </w:tcPr>
          <w:p>
            <w:pPr>
              <w:spacing w:after="0"/>
            </w:pPr>
            <w:r>
              <w:rPr>
                <w:rFonts w:ascii="Calibri" w:cs="Calibri" w:eastAsia="Calibri" w:hAnsi="Calibri"/>
                <w:color w:val="16161A"/>
                <w:sz w:val="19"/>
                <w:szCs w:val="19"/>
              </w:rPr>
              <w:t xml:space="preserve">AI executes; you stay in command</w:t>
            </w:r>
          </w:p>
        </w:tc>
        <w:tc>
          <w:tcPr>
            <w:tcW w:type="dxa" w:w="4800"/>
            <w:tcMar>
              <w:top w:type="dxa" w:w="80"/>
              <w:left w:type="dxa" w:w="120"/>
              <w:bottom w:type="dxa" w:w="80"/>
              <w:right w:type="dxa" w:w="120"/>
            </w:tcMar>
          </w:tcPr>
          <w:p>
            <w:pPr>
              <w:spacing w:after="0"/>
            </w:pPr>
            <w:r>
              <w:rPr>
                <w:rFonts w:ascii="Calibri" w:cs="Calibri" w:eastAsia="Calibri" w:hAnsi="Calibri"/>
                <w:color w:val="16161A"/>
                <w:sz w:val="19"/>
                <w:szCs w:val="19"/>
              </w:rPr>
              <w:t xml:space="preserve">Configurable approval gates, default-on · five-role RBAC separating authoring from approving · full agent audit trail recording model, prompt version and token cost</w:t>
            </w:r>
          </w:p>
        </w:tc>
      </w:tr>
      <w:tr>
        <w:tc>
          <w:tcPr>
            <w:tcW w:type="dxa" w:w="1900"/>
            <w:tcMar>
              <w:top w:type="dxa" w:w="80"/>
              <w:left w:type="dxa" w:w="120"/>
              <w:bottom w:type="dxa" w:w="80"/>
              <w:right w:type="dxa" w:w="120"/>
            </w:tcMar>
          </w:tcPr>
          <w:p>
            <w:pPr>
              <w:spacing w:after="0"/>
            </w:pPr>
            <w:r>
              <w:rPr>
                <w:rFonts w:ascii="Calibri" w:cs="Calibri" w:eastAsia="Calibri" w:hAnsi="Calibri"/>
                <w:color w:val="16161A"/>
                <w:sz w:val="19"/>
                <w:szCs w:val="19"/>
              </w:rPr>
              <w:t xml:space="preserve">Scientific honesty</w:t>
            </w:r>
          </w:p>
        </w:tc>
        <w:tc>
          <w:tcPr>
            <w:tcW w:type="dxa" w:w="2600"/>
            <w:tcMar>
              <w:top w:type="dxa" w:w="80"/>
              <w:left w:type="dxa" w:w="120"/>
              <w:bottom w:type="dxa" w:w="80"/>
              <w:right w:type="dxa" w:w="120"/>
            </w:tcMar>
          </w:tcPr>
          <w:p>
            <w:pPr>
              <w:spacing w:after="0"/>
            </w:pPr>
            <w:r>
              <w:rPr>
                <w:rFonts w:ascii="Calibri" w:cs="Calibri" w:eastAsia="Calibri" w:hAnsi="Calibri"/>
                <w:color w:val="16161A"/>
                <w:sz w:val="19"/>
                <w:szCs w:val="19"/>
              </w:rPr>
              <w:t xml:space="preserve">Real statistics, never vanity lift</w:t>
            </w:r>
          </w:p>
        </w:tc>
        <w:tc>
          <w:tcPr>
            <w:tcW w:type="dxa" w:w="4800"/>
            <w:tcMar>
              <w:top w:type="dxa" w:w="80"/>
              <w:left w:type="dxa" w:w="120"/>
              <w:bottom w:type="dxa" w:w="80"/>
              <w:right w:type="dxa" w:w="120"/>
            </w:tcMar>
          </w:tcPr>
          <w:p>
            <w:pPr>
              <w:spacing w:after="0"/>
            </w:pPr>
            <w:r>
              <w:rPr>
                <w:rFonts w:ascii="Calibri" w:cs="Calibri" w:eastAsia="Calibri" w:hAnsi="Calibri"/>
                <w:color w:val="16161A"/>
                <w:sz w:val="19"/>
                <w:szCs w:val="19"/>
              </w:rPr>
              <w:t xml:space="preserve">Bayesian posterior probability of being best · credible intervals · pre-computed minimum sample size · SRM checks that pause rather than conclude · published methodology</w:t>
            </w:r>
          </w:p>
        </w:tc>
      </w:tr>
      <w:tr>
        <w:tc>
          <w:tcPr>
            <w:tcW w:type="dxa" w:w="1900"/>
            <w:tcMar>
              <w:top w:type="dxa" w:w="80"/>
              <w:left w:type="dxa" w:w="120"/>
              <w:bottom w:type="dxa" w:w="80"/>
              <w:right w:type="dxa" w:w="120"/>
            </w:tcMar>
          </w:tcPr>
          <w:p>
            <w:pPr>
              <w:spacing w:after="0"/>
            </w:pPr>
            <w:r>
              <w:rPr>
                <w:rFonts w:ascii="Calibri" w:cs="Calibri" w:eastAsia="Calibri" w:hAnsi="Calibri"/>
                <w:color w:val="16161A"/>
                <w:sz w:val="19"/>
                <w:szCs w:val="19"/>
              </w:rPr>
              <w:t xml:space="preserve">Compounding intelligence</w:t>
            </w:r>
          </w:p>
        </w:tc>
        <w:tc>
          <w:tcPr>
            <w:tcW w:type="dxa" w:w="2600"/>
            <w:tcMar>
              <w:top w:type="dxa" w:w="80"/>
              <w:left w:type="dxa" w:w="120"/>
              <w:bottom w:type="dxa" w:w="80"/>
              <w:right w:type="dxa" w:w="120"/>
            </w:tcMar>
          </w:tcPr>
          <w:p>
            <w:pPr>
              <w:spacing w:after="0"/>
            </w:pPr>
            <w:r>
              <w:rPr>
                <w:rFonts w:ascii="Calibri" w:cs="Calibri" w:eastAsia="Calibri" w:hAnsi="Calibri"/>
                <w:color w:val="16161A"/>
                <w:sz w:val="19"/>
                <w:szCs w:val="19"/>
              </w:rPr>
              <w:t xml:space="preserve">Every campaign makes the next one better</w:t>
            </w:r>
          </w:p>
        </w:tc>
        <w:tc>
          <w:tcPr>
            <w:tcW w:type="dxa" w:w="4800"/>
            <w:tcMar>
              <w:top w:type="dxa" w:w="80"/>
              <w:left w:type="dxa" w:w="120"/>
              <w:bottom w:type="dxa" w:w="80"/>
              <w:right w:type="dxa" w:w="120"/>
            </w:tcMar>
          </w:tcPr>
          <w:p>
            <w:pPr>
              <w:spacing w:after="0"/>
            </w:pPr>
            <w:r>
              <w:rPr>
                <w:rFonts w:ascii="Calibri" w:cs="Calibri" w:eastAsia="Calibri" w:hAnsi="Calibri"/>
                <w:color w:val="16161A"/>
                <w:sz w:val="19"/>
                <w:szCs w:val="19"/>
              </w:rPr>
              <w:t xml:space="preserve">Campaign Memory writes a learning from every concluded experiment; the Planner and Experiment agents retrieve and cite prior learnings</w:t>
            </w:r>
          </w:p>
        </w:tc>
      </w:tr>
      <w:tr>
        <w:tc>
          <w:tcPr>
            <w:tcW w:type="dxa" w:w="1900"/>
            <w:tcMar>
              <w:top w:type="dxa" w:w="80"/>
              <w:left w:type="dxa" w:w="120"/>
              <w:bottom w:type="dxa" w:w="80"/>
              <w:right w:type="dxa" w:w="120"/>
            </w:tcMar>
          </w:tcPr>
          <w:p>
            <w:pPr>
              <w:spacing w:after="0"/>
            </w:pPr>
            <w:r>
              <w:rPr>
                <w:rFonts w:ascii="Calibri" w:cs="Calibri" w:eastAsia="Calibri" w:hAnsi="Calibri"/>
                <w:color w:val="16161A"/>
                <w:sz w:val="19"/>
                <w:szCs w:val="19"/>
              </w:rPr>
              <w:t xml:space="preserve">Speed with brand safety</w:t>
            </w:r>
          </w:p>
        </w:tc>
        <w:tc>
          <w:tcPr>
            <w:tcW w:type="dxa" w:w="2600"/>
            <w:tcMar>
              <w:top w:type="dxa" w:w="80"/>
              <w:left w:type="dxa" w:w="120"/>
              <w:bottom w:type="dxa" w:w="80"/>
              <w:right w:type="dxa" w:w="120"/>
            </w:tcMar>
          </w:tcPr>
          <w:p>
            <w:pPr>
              <w:spacing w:after="0"/>
            </w:pPr>
            <w:r>
              <w:rPr>
                <w:rFonts w:ascii="Calibri" w:cs="Calibri" w:eastAsia="Calibri" w:hAnsi="Calibri"/>
                <w:color w:val="16161A"/>
                <w:sz w:val="19"/>
                <w:szCs w:val="19"/>
              </w:rPr>
              <w:t xml:space="preserve">Hours to launch, always on-brand</w:t>
            </w:r>
          </w:p>
        </w:tc>
        <w:tc>
          <w:tcPr>
            <w:tcW w:type="dxa" w:w="4800"/>
            <w:tcMar>
              <w:top w:type="dxa" w:w="80"/>
              <w:left w:type="dxa" w:w="120"/>
              <w:bottom w:type="dxa" w:w="80"/>
              <w:right w:type="dxa" w:w="120"/>
            </w:tcMar>
          </w:tcPr>
          <w:p>
            <w:pPr>
              <w:spacing w:after="0"/>
            </w:pPr>
            <w:r>
              <w:rPr>
                <w:rFonts w:ascii="Calibri" w:cs="Calibri" w:eastAsia="Calibri" w:hAnsi="Calibri"/>
                <w:color w:val="16161A"/>
                <w:sz w:val="19"/>
                <w:szCs w:val="19"/>
              </w:rPr>
              <w:t xml:space="preserve">Server-side generation from typed blocks, never raw model HTML · Brand Compliance AI (roadmap, explicitly not yet shipped)</w:t>
            </w:r>
          </w:p>
        </w:tc>
      </w:tr>
    </w:tbl>
    <w:p>
      <w:pPr>
        <w:spacing w:after="120"/>
      </w:pPr>
      <w:r>
        <w:rPr>
          <w:sz w:val="12"/>
          <w:szCs w:val="12"/>
        </w:rPr>
        <w:t xml:space="preserve"/>
      </w:r>
    </w:p>
    <w:p>
      <w:pPr>
        <w:pStyle w:val="Heading2"/>
        <w:spacing w:after="120" w:before="260"/>
      </w:pPr>
      <w:r>
        <w:rPr>
          <w:rFonts w:ascii="Calibri" w:cs="Calibri" w:eastAsia="Calibri" w:hAnsi="Calibri"/>
          <w:b/>
          <w:bCs/>
          <w:color w:val="16161A"/>
          <w:sz w:val="24"/>
          <w:szCs w:val="24"/>
        </w:rPr>
        <w:t xml:space="preserve">4.5 Translating it per persona</w:t>
      </w:r>
    </w:p>
    <w:p>
      <w:pPr>
        <w:spacing w:after="120" w:line="276"/>
      </w:pPr>
      <w:r>
        <w:rPr>
          <w:rFonts w:ascii="Calibri" w:cs="Calibri" w:eastAsia="Calibri" w:hAnsi="Calibri"/>
          <w:b/>
          <w:bCs/>
          <w:color w:val="16161A"/>
          <w:sz w:val="21"/>
          <w:szCs w:val="21"/>
        </w:rPr>
        <w:t xml:space="preserve">Maya (user, PLG): </w:t>
      </w:r>
      <w:r>
        <w:rPr>
          <w:rFonts w:ascii="Calibri" w:cs="Calibri" w:eastAsia="Calibri" w:hAnsi="Calibri"/>
          <w:color w:val="16161A"/>
          <w:sz w:val="21"/>
          <w:szCs w:val="21"/>
        </w:rPr>
        <w:t xml:space="preserve">"Launch the campaign you described at standup — by lunch." The proof asset is a three-minute intent-to-live demo; the call to action is a free workspace.</w:t>
      </w:r>
    </w:p>
    <w:p>
      <w:pPr>
        <w:spacing w:after="120" w:line="276"/>
      </w:pPr>
      <w:r>
        <w:rPr>
          <w:rFonts w:ascii="Calibri" w:cs="Calibri" w:eastAsia="Calibri" w:hAnsi="Calibri"/>
          <w:b/>
          <w:bCs/>
          <w:color w:val="16161A"/>
          <w:sz w:val="21"/>
          <w:szCs w:val="21"/>
        </w:rPr>
        <w:t xml:space="preserve">Raj (growth buyer): </w:t>
      </w:r>
      <w:r>
        <w:rPr>
          <w:rFonts w:ascii="Calibri" w:cs="Calibri" w:eastAsia="Calibri" w:hAnsi="Calibri"/>
          <w:color w:val="16161A"/>
          <w:sz w:val="21"/>
          <w:szCs w:val="21"/>
        </w:rPr>
        <w:t xml:space="preserve">"3× your experiment velocity without 3× headcount." The proof asset is a lift case study plus a published statistics methodology; the call to action is a 30-day pilot on one funnel.</w:t>
      </w:r>
    </w:p>
    <w:p>
      <w:pPr>
        <w:spacing w:after="120" w:line="276"/>
      </w:pPr>
      <w:r>
        <w:rPr>
          <w:rFonts w:ascii="Calibri" w:cs="Calibri" w:eastAsia="Calibri" w:hAnsi="Calibri"/>
          <w:b/>
          <w:bCs/>
          <w:color w:val="16161A"/>
          <w:sz w:val="21"/>
          <w:szCs w:val="21"/>
        </w:rPr>
        <w:t xml:space="preserve">Sarah (economic buyer): </w:t>
      </w:r>
      <w:r>
        <w:rPr>
          <w:rFonts w:ascii="Calibri" w:cs="Calibri" w:eastAsia="Calibri" w:hAnsi="Calibri"/>
          <w:color w:val="16161A"/>
          <w:sz w:val="21"/>
          <w:szCs w:val="21"/>
        </w:rPr>
        <w:t xml:space="preserve">"Scale personalization, cut agency spend — every AI action audited." The proof asset is an ROI model and a governance one-pager; the call to action is a structured 90-day pilot.</w:t>
      </w:r>
    </w:p>
    <w:p>
      <w:pPr>
        <w:pStyle w:val="Heading2"/>
        <w:spacing w:after="120" w:before="260"/>
      </w:pPr>
      <w:r>
        <w:rPr>
          <w:rFonts w:ascii="Calibri" w:cs="Calibri" w:eastAsia="Calibri" w:hAnsi="Calibri"/>
          <w:b/>
          <w:bCs/>
          <w:color w:val="16161A"/>
          <w:sz w:val="24"/>
          <w:szCs w:val="24"/>
        </w:rPr>
        <w:t xml:space="preserve">4.6 The voice the proposition is written in</w:t>
      </w:r>
    </w:p>
    <w:p>
      <w:pPr>
        <w:spacing w:after="120" w:line="276"/>
      </w:pPr>
      <w:r>
        <w:rPr>
          <w:rFonts w:ascii="Calibri" w:cs="Calibri" w:eastAsia="Calibri" w:hAnsi="Calibri"/>
          <w:color w:val="16161A"/>
          <w:sz w:val="21"/>
          <w:szCs w:val="21"/>
        </w:rPr>
        <w:t xml:space="preserve">A brand that sells experimentation has to model epistemic honesty, so the verbal identity was derived from the value proposition rather than chosen separately. The voice is confident, plain-spoken, quantitative, and slightly irreverent toward busywork — never toward marketers. Statistical claims always carry their uncertainty. The demonstrating line: "Variant B is beating control with 96% probability. Promote it, or let it run 3 more days for a tighter interval."</w:t>
      </w:r>
    </w:p>
    <w:p>
      <w:pPr>
        <w:spacing w:after="120" w:line="276"/>
      </w:pPr>
      <w:r>
        <w:rPr>
          <w:rFonts w:ascii="Calibri" w:cs="Calibri" w:eastAsia="Calibri" w:hAnsi="Calibri"/>
          <w:color w:val="16161A"/>
          <w:sz w:val="21"/>
          <w:szCs w:val="21"/>
        </w:rPr>
        <w:t xml:space="preserve">The vocabulary is enforced in both directions. We say: ship, learn, prove, compound, velocity. We never say: revolutionary, 10x, magic, supercharge, or "replace your team."</w:t>
      </w:r>
    </w:p>
    <w:p>
      <w:pPr>
        <w:pStyle w:val="Heading2"/>
        <w:spacing w:after="120" w:before="260"/>
      </w:pPr>
      <w:r>
        <w:rPr>
          <w:rFonts w:ascii="Calibri" w:cs="Calibri" w:eastAsia="Calibri" w:hAnsi="Calibri"/>
          <w:b/>
          <w:bCs/>
          <w:color w:val="16161A"/>
          <w:sz w:val="24"/>
          <w:szCs w:val="24"/>
        </w:rPr>
        <w:t xml:space="preserve">4.7 How AI helped</w:t>
      </w:r>
    </w:p>
    <w:p>
      <w:pPr>
        <w:spacing w:after="40" w:before="140"/>
      </w:pPr>
      <w:r>
        <w:rPr>
          <w:rFonts w:ascii="Calibri" w:cs="Calibri" w:eastAsia="Calibri" w:hAnsi="Calibri"/>
          <w:b/>
          <w:bCs/>
          <w:color w:val="F04E10"/>
          <w:sz w:val="19"/>
          <w:szCs w:val="19"/>
        </w:rPr>
        <w:t xml:space="preserve">Prompt 8 — positioning sprint</w:t>
      </w:r>
    </w:p>
    <w:p>
      <w:pPr>
        <w:pBdr>
          <w:left w:val="single" w:color="D9D9D9" w:sz="12" w:space="8"/>
        </w:pBdr>
        <w:spacing w:after="0" w:line="260"/>
        <w:ind w:left="360"/>
      </w:pPr>
      <w:r>
        <w:rPr>
          <w:rFonts w:ascii="Consolas" w:cs="Consolas" w:eastAsia="Consolas" w:hAnsi="Consolas"/>
          <w:color w:val="3A3A42"/>
          <w:sz w:val="18"/>
          <w:szCs w:val="18"/>
        </w:rPr>
        <w:t xml:space="preserve">Run a positioning sprint against Optimizely. Produce (1) a classic-form</w:t>
      </w:r>
    </w:p>
    <w:p>
      <w:pPr>
        <w:pBdr>
          <w:left w:val="single" w:color="D9D9D9" w:sz="12" w:space="8"/>
        </w:pBdr>
        <w:spacing w:after="0" w:line="260"/>
        <w:ind w:left="360"/>
      </w:pPr>
      <w:r>
        <w:rPr>
          <w:rFonts w:ascii="Consolas" w:cs="Consolas" w:eastAsia="Consolas" w:hAnsi="Consolas"/>
          <w:color w:val="3A3A42"/>
          <w:sz w:val="18"/>
          <w:szCs w:val="18"/>
        </w:rPr>
        <w:t xml:space="preserve">positioning statement, (2) three punchier alternates with an explicit note on</w:t>
      </w:r>
    </w:p>
    <w:p>
      <w:pPr>
        <w:pBdr>
          <w:left w:val="single" w:color="D9D9D9" w:sz="12" w:space="8"/>
        </w:pBdr>
        <w:spacing w:after="0" w:line="260"/>
        <w:ind w:left="360"/>
      </w:pPr>
      <w:r>
        <w:rPr>
          <w:rFonts w:ascii="Consolas" w:cs="Consolas" w:eastAsia="Consolas" w:hAnsi="Consolas"/>
          <w:color w:val="3A3A42"/>
          <w:sz w:val="18"/>
          <w:szCs w:val="18"/>
        </w:rPr>
        <w:t xml:space="preserve">which context each may be used in, and (3) a seven-row them-vs-us table. Rules:</w:t>
      </w:r>
    </w:p>
    <w:p>
      <w:pPr>
        <w:pBdr>
          <w:left w:val="single" w:color="D9D9D9" w:sz="12" w:space="8"/>
        </w:pBdr>
        <w:spacing w:after="0" w:line="260"/>
        <w:ind w:left="360"/>
      </w:pPr>
      <w:r>
        <w:rPr>
          <w:rFonts w:ascii="Consolas" w:cs="Consolas" w:eastAsia="Consolas" w:hAnsi="Consolas"/>
          <w:color w:val="3A3A42"/>
          <w:sz w:val="18"/>
          <w:szCs w:val="18"/>
        </w:rPr>
        <w:t xml:space="preserve">every comparative claim must cite either the competitor's own published words</w:t>
      </w:r>
    </w:p>
    <w:p>
      <w:pPr>
        <w:pBdr>
          <w:left w:val="single" w:color="D9D9D9" w:sz="12" w:space="8"/>
        </w:pBdr>
        <w:spacing w:after="0" w:line="260"/>
        <w:ind w:left="360"/>
      </w:pPr>
      <w:r>
        <w:rPr>
          <w:rFonts w:ascii="Consolas" w:cs="Consolas" w:eastAsia="Consolas" w:hAnsi="Consolas"/>
          <w:color w:val="3A3A42"/>
          <w:sz w:val="18"/>
          <w:szCs w:val="18"/>
        </w:rPr>
        <w:t xml:space="preserve">or be labelled an inference; any capability of ours that is roadmap rather than</w:t>
      </w:r>
    </w:p>
    <w:p>
      <w:pPr>
        <w:pBdr>
          <w:left w:val="single" w:color="D9D9D9" w:sz="12" w:space="8"/>
        </w:pBdr>
        <w:spacing w:after="0" w:line="260"/>
        <w:ind w:left="360"/>
      </w:pPr>
      <w:r>
        <w:rPr>
          <w:rFonts w:ascii="Consolas" w:cs="Consolas" w:eastAsia="Consolas" w:hAnsi="Consolas"/>
          <w:color w:val="3A3A42"/>
          <w:sz w:val="18"/>
          <w:szCs w:val="18"/>
        </w:rPr>
        <w:t xml:space="preserve">shipped must say so in the FIRST clause of its row, not in a trailing</w:t>
      </w:r>
    </w:p>
    <w:p>
      <w:pPr>
        <w:pBdr>
          <w:left w:val="single" w:color="D9D9D9" w:sz="12" w:space="8"/>
        </w:pBdr>
        <w:spacing w:after="140" w:line="260"/>
        <w:ind w:left="360"/>
      </w:pPr>
      <w:r>
        <w:rPr>
          <w:rFonts w:ascii="Consolas" w:cs="Consolas" w:eastAsia="Consolas" w:hAnsi="Consolas"/>
          <w:color w:val="3A3A42"/>
          <w:sz w:val="18"/>
          <w:szCs w:val="18"/>
        </w:rPr>
        <w:t xml:space="preserve">parenthetical; and do not use the competitor's trademark in our copy.</w:t>
      </w:r>
    </w:p>
    <w:p>
      <w:pPr>
        <w:spacing w:after="40" w:before="140"/>
      </w:pPr>
      <w:r>
        <w:rPr>
          <w:rFonts w:ascii="Calibri" w:cs="Calibri" w:eastAsia="Calibri" w:hAnsi="Calibri"/>
          <w:b/>
          <w:bCs/>
          <w:color w:val="F04E10"/>
          <w:sz w:val="19"/>
          <w:szCs w:val="19"/>
        </w:rPr>
        <w:t xml:space="preserve">Prompt 9 — rejection test</w:t>
      </w:r>
    </w:p>
    <w:p>
      <w:pPr>
        <w:pBdr>
          <w:left w:val="single" w:color="D9D9D9" w:sz="12" w:space="8"/>
        </w:pBdr>
        <w:spacing w:after="0" w:line="260"/>
        <w:ind w:left="360"/>
      </w:pPr>
      <w:r>
        <w:rPr>
          <w:rFonts w:ascii="Consolas" w:cs="Consolas" w:eastAsia="Consolas" w:hAnsi="Consolas"/>
          <w:color w:val="3A3A42"/>
          <w:sz w:val="18"/>
          <w:szCs w:val="18"/>
        </w:rPr>
        <w:t xml:space="preserve">For each candidate value proposition, argue the strongest case AGAINST it that</w:t>
      </w:r>
    </w:p>
    <w:p>
      <w:pPr>
        <w:pBdr>
          <w:left w:val="single" w:color="D9D9D9" w:sz="12" w:space="8"/>
        </w:pBdr>
        <w:spacing w:after="0" w:line="260"/>
        <w:ind w:left="360"/>
      </w:pPr>
      <w:r>
        <w:rPr>
          <w:rFonts w:ascii="Consolas" w:cs="Consolas" w:eastAsia="Consolas" w:hAnsi="Consolas"/>
          <w:color w:val="3A3A42"/>
          <w:sz w:val="18"/>
          <w:szCs w:val="18"/>
        </w:rPr>
        <w:t xml:space="preserve">a skeptical buyer in the CRO community would make. Then tell me which</w:t>
      </w:r>
    </w:p>
    <w:p>
      <w:pPr>
        <w:pBdr>
          <w:left w:val="single" w:color="D9D9D9" w:sz="12" w:space="8"/>
        </w:pBdr>
        <w:spacing w:after="140" w:line="260"/>
        <w:ind w:left="360"/>
      </w:pPr>
      <w:r>
        <w:rPr>
          <w:rFonts w:ascii="Consolas" w:cs="Consolas" w:eastAsia="Consolas" w:hAnsi="Consolas"/>
          <w:color w:val="3A3A42"/>
          <w:sz w:val="18"/>
          <w:szCs w:val="18"/>
        </w:rPr>
        <w:t xml:space="preserve">propositions survive their own strongest objection.</w:t>
      </w:r>
    </w:p>
    <w:p>
      <w:pPr>
        <w:spacing w:after="120" w:line="276"/>
      </w:pPr>
      <w:r>
        <w:rPr>
          <w:rFonts w:ascii="Calibri" w:cs="Calibri" w:eastAsia="Calibri" w:hAnsi="Calibri"/>
          <w:color w:val="16161A"/>
          <w:sz w:val="21"/>
          <w:szCs w:val="21"/>
        </w:rPr>
        <w:t xml:space="preserve">Prompt 9 is what killed the "we out-math the incumbents" framing, and it is the reason the parity admission appears in the first row of the comparison table rather than in a footnote.</w:t>
      </w:r>
    </w:p>
    <w:p>
      <w:r>
        <w:br w:type="page"/>
      </w:r>
    </w:p>
    <w:p>
      <w:pPr>
        <w:pStyle w:val="Heading1"/>
        <w:spacing w:after="160" w:before="360"/>
      </w:pPr>
      <w:r>
        <w:rPr>
          <w:rFonts w:ascii="Calibri" w:cs="Calibri" w:eastAsia="Calibri" w:hAnsi="Calibri"/>
          <w:b/>
          <w:bCs/>
          <w:color w:val="16161A"/>
          <w:sz w:val="30"/>
          <w:szCs w:val="30"/>
        </w:rPr>
        <w:t xml:space="preserve">5. Prototyping and Design</w:t>
      </w:r>
    </w:p>
    <w:p>
      <w:pPr>
        <w:spacing w:after="120" w:line="276"/>
      </w:pPr>
      <w:r>
        <w:rPr>
          <w:rFonts w:ascii="Calibri" w:cs="Calibri" w:eastAsia="Calibri" w:hAnsi="Calibri"/>
          <w:color w:val="16161A"/>
          <w:sz w:val="21"/>
          <w:szCs w:val="21"/>
        </w:rPr>
        <w:t xml:space="preserve">Prototyping sat deliberately between requirements and implementation. Its purpose was not to produce assets to hand to engineering, but to find the decisions that were still unresolved — the ones that look settled in a requirements document and turn out not to be the moment someone tries to draw them.</w:t>
      </w:r>
    </w:p>
    <w:p>
      <w:pPr>
        <w:pStyle w:val="Heading2"/>
        <w:spacing w:after="120" w:before="260"/>
      </w:pPr>
      <w:r>
        <w:rPr>
          <w:rFonts w:ascii="Calibri" w:cs="Calibri" w:eastAsia="Calibri" w:hAnsi="Calibri"/>
          <w:b/>
          <w:bCs/>
          <w:color w:val="16161A"/>
          <w:sz w:val="24"/>
          <w:szCs w:val="24"/>
        </w:rPr>
        <w:t xml:space="preserve">5.1 Approach</w:t>
      </w:r>
    </w:p>
    <w:p>
      <w:pPr>
        <w:spacing w:after="120" w:line="276"/>
      </w:pPr>
      <w:r>
        <w:rPr>
          <w:rFonts w:ascii="Calibri" w:cs="Calibri" w:eastAsia="Calibri" w:hAnsi="Calibri"/>
          <w:color w:val="16161A"/>
          <w:sz w:val="21"/>
          <w:szCs w:val="21"/>
        </w:rPr>
        <w:t xml:space="preserve">Design was done conversationally with Claude Design, working from the requirement set and the value proposition rather than from a visual brief. Each surface was specified in prose, generated, critiqued, and regenerated. The surfaces prototyped were: the campaign brief intake, the campaign and page view, the Experiment Studio, the results read-out, the Approvals queue, the Campaign Memory view, and the Site Experiments visual element picker.</w:t>
      </w:r>
    </w:p>
    <w:p>
      <w:pPr>
        <w:spacing w:after="120" w:line="276"/>
      </w:pPr>
      <w:r>
        <w:rPr>
          <w:rFonts w:ascii="Calibri" w:cs="Calibri" w:eastAsia="Calibri" w:hAnsi="Calibri"/>
          <w:color w:val="16161A"/>
          <w:sz w:val="21"/>
          <w:szCs w:val="21"/>
        </w:rPr>
        <w:t xml:space="preserve">Two constraints were fixed before any design work began, both derived directly from the value proposition. First, the interface had to be instrument-grade rather than decorative — the field defaults to enterprise-blue gradients (Optimizely, Adobe, Salesforce) or pastel AI-purple (nearly every 2024–26 startup), and both were ruled out. Second, uncertainty had to be visible: a design that displays a winner without displaying its credible interval contradicts the product's central claim.</w:t>
      </w:r>
    </w:p>
    <w:p>
      <w:pPr>
        <w:pStyle w:val="Heading2"/>
        <w:spacing w:after="120" w:before="260"/>
      </w:pPr>
      <w:r>
        <w:rPr>
          <w:rFonts w:ascii="Calibri" w:cs="Calibri" w:eastAsia="Calibri" w:hAnsi="Calibri"/>
          <w:b/>
          <w:bCs/>
          <w:color w:val="16161A"/>
          <w:sz w:val="24"/>
          <w:szCs w:val="24"/>
        </w:rPr>
        <w:t xml:space="preserve">5.2 The design system that emerged</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00"/>
      </w:tblGrid>
      <w:tr>
        <w:trPr>
          <w:tblHeader/>
        </w:trPr>
        <w:tc>
          <w:tcPr>
            <w:tcW w:type="dxa" w:w="15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Element</w:t>
            </w:r>
          </w:p>
        </w:tc>
        <w:tc>
          <w:tcPr>
            <w:tcW w:type="dxa" w:w="40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Decision</w:t>
            </w:r>
          </w:p>
        </w:tc>
        <w:tc>
          <w:tcPr>
            <w:tcW w:type="dxa" w:w="38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Why</w:t>
            </w:r>
          </w:p>
        </w:tc>
      </w:tr>
      <w:tr>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Palette</w:t>
            </w:r>
          </w:p>
        </w:tc>
        <w:tc>
          <w:tcPr>
            <w:tcW w:type="dxa" w:w="4000"/>
            <w:tcMar>
              <w:top w:type="dxa" w:w="80"/>
              <w:left w:type="dxa" w:w="120"/>
              <w:bottom w:type="dxa" w:w="80"/>
              <w:right w:type="dxa" w:w="120"/>
            </w:tcMar>
          </w:tcPr>
          <w:p>
            <w:pPr>
              <w:spacing w:after="0"/>
            </w:pPr>
            <w:r>
              <w:rPr>
                <w:rFonts w:ascii="Calibri" w:cs="Calibri" w:eastAsia="Calibri" w:hAnsi="Calibri"/>
                <w:color w:val="16161A"/>
                <w:sz w:val="19"/>
                <w:szCs w:val="19"/>
              </w:rPr>
              <w:t xml:space="preserve">Calm neutrals (Ink 900 #16161A, Ink 700 #3A3A42, Ink 500 #6E6E78, Bone #F6F6F4) with one high-visibility signal (#F04E10) and semantic state colours: Running #0B7285, Winner #1B7A3D, Review #B7791F</w:t>
            </w:r>
          </w:p>
        </w:tc>
        <w:tc>
          <w:tcPr>
            <w:tcW w:type="dxa" w:w="3800"/>
            <w:tcMar>
              <w:top w:type="dxa" w:w="80"/>
              <w:left w:type="dxa" w:w="120"/>
              <w:bottom w:type="dxa" w:w="80"/>
              <w:right w:type="dxa" w:w="120"/>
            </w:tcMar>
          </w:tcPr>
          <w:p>
            <w:pPr>
              <w:spacing w:after="0"/>
            </w:pPr>
            <w:r>
              <w:rPr>
                <w:rFonts w:ascii="Calibri" w:cs="Calibri" w:eastAsia="Calibri" w:hAnsi="Calibri"/>
                <w:color w:val="16161A"/>
                <w:sz w:val="19"/>
                <w:szCs w:val="19"/>
              </w:rPr>
              <w:t xml:space="preserve">Restraint reads as instrumentation. One signal colour means attention goes where the product directs it.</w:t>
            </w:r>
          </w:p>
        </w:tc>
      </w:tr>
      <w:tr>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Typography</w:t>
            </w:r>
          </w:p>
        </w:tc>
        <w:tc>
          <w:tcPr>
            <w:tcW w:type="dxa" w:w="4000"/>
            <w:tcMar>
              <w:top w:type="dxa" w:w="80"/>
              <w:left w:type="dxa" w:w="120"/>
              <w:bottom w:type="dxa" w:w="80"/>
              <w:right w:type="dxa" w:w="120"/>
            </w:tcMar>
          </w:tcPr>
          <w:p>
            <w:pPr>
              <w:spacing w:after="0"/>
            </w:pPr>
            <w:r>
              <w:rPr>
                <w:rFonts w:ascii="Calibri" w:cs="Calibri" w:eastAsia="Calibri" w:hAnsi="Calibri"/>
                <w:color w:val="16161A"/>
                <w:sz w:val="19"/>
                <w:szCs w:val="19"/>
              </w:rPr>
              <w:t xml:space="preserve">Archivo for display, IBM Plex Sans for UI, IBM Plex Mono for all data</w:t>
            </w:r>
          </w:p>
        </w:tc>
        <w:tc>
          <w:tcPr>
            <w:tcW w:type="dxa" w:w="3800"/>
            <w:tcMar>
              <w:top w:type="dxa" w:w="80"/>
              <w:left w:type="dxa" w:w="120"/>
              <w:bottom w:type="dxa" w:w="80"/>
              <w:right w:type="dxa" w:w="120"/>
            </w:tcMar>
          </w:tcPr>
          <w:p>
            <w:pPr>
              <w:spacing w:after="0"/>
            </w:pPr>
            <w:r>
              <w:rPr>
                <w:rFonts w:ascii="Calibri" w:cs="Calibri" w:eastAsia="Calibri" w:hAnsi="Calibri"/>
                <w:color w:val="16161A"/>
                <w:sz w:val="19"/>
                <w:szCs w:val="19"/>
              </w:rPr>
              <w:t xml:space="preserve">Monospaced numerals make posterior probabilities and intervals scannable and comparable — a functional choice, not a stylistic one.</w:t>
            </w:r>
          </w:p>
        </w:tc>
      </w:tr>
      <w:tr>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Motif</w:t>
            </w:r>
          </w:p>
        </w:tc>
        <w:tc>
          <w:tcPr>
            <w:tcW w:type="dxa" w:w="4000"/>
            <w:tcMar>
              <w:top w:type="dxa" w:w="80"/>
              <w:left w:type="dxa" w:w="120"/>
              <w:bottom w:type="dxa" w:w="80"/>
              <w:right w:type="dxa" w:w="120"/>
            </w:tcMar>
          </w:tcPr>
          <w:p>
            <w:pPr>
              <w:spacing w:after="0"/>
            </w:pPr>
            <w:r>
              <w:rPr>
                <w:rFonts w:ascii="Calibri" w:cs="Calibri" w:eastAsia="Calibri" w:hAnsi="Calibri"/>
                <w:color w:val="16161A"/>
                <w:sz w:val="19"/>
                <w:szCs w:val="19"/>
              </w:rPr>
              <w:t xml:space="preserve">Posterior curves and traffic-allocation streams used as brand art</w:t>
            </w:r>
          </w:p>
        </w:tc>
        <w:tc>
          <w:tcPr>
            <w:tcW w:type="dxa" w:w="3800"/>
            <w:tcMar>
              <w:top w:type="dxa" w:w="80"/>
              <w:left w:type="dxa" w:w="120"/>
              <w:bottom w:type="dxa" w:w="80"/>
              <w:right w:type="dxa" w:w="120"/>
            </w:tcMar>
          </w:tcPr>
          <w:p>
            <w:pPr>
              <w:spacing w:after="0"/>
            </w:pPr>
            <w:r>
              <w:rPr>
                <w:rFonts w:ascii="Calibri" w:cs="Calibri" w:eastAsia="Calibri" w:hAnsi="Calibri"/>
                <w:color w:val="16161A"/>
                <w:sz w:val="19"/>
                <w:szCs w:val="19"/>
              </w:rPr>
              <w:t xml:space="preserve">The product's own statistics become the visual identity. The shareable insight card is the "Wrapped" unit.</w:t>
            </w:r>
          </w:p>
        </w:tc>
      </w:tr>
      <w:tr>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Imagery</w:t>
            </w:r>
          </w:p>
        </w:tc>
        <w:tc>
          <w:tcPr>
            <w:tcW w:type="dxa" w:w="4000"/>
            <w:tcMar>
              <w:top w:type="dxa" w:w="80"/>
              <w:left w:type="dxa" w:w="120"/>
              <w:bottom w:type="dxa" w:w="80"/>
              <w:right w:type="dxa" w:w="120"/>
            </w:tcMar>
          </w:tcPr>
          <w:p>
            <w:pPr>
              <w:spacing w:after="0"/>
            </w:pPr>
            <w:r>
              <w:rPr>
                <w:rFonts w:ascii="Calibri" w:cs="Calibri" w:eastAsia="Calibri" w:hAnsi="Calibri"/>
                <w:color w:val="16161A"/>
                <w:sz w:val="19"/>
                <w:szCs w:val="19"/>
              </w:rPr>
              <w:t xml:space="preserve">Real product UI in every asset. No abstract 3D blobs, no gradients as decoration</w:t>
            </w:r>
          </w:p>
        </w:tc>
        <w:tc>
          <w:tcPr>
            <w:tcW w:type="dxa" w:w="3800"/>
            <w:tcMar>
              <w:top w:type="dxa" w:w="80"/>
              <w:left w:type="dxa" w:w="120"/>
              <w:bottom w:type="dxa" w:w="80"/>
              <w:right w:type="dxa" w:w="120"/>
            </w:tcMar>
          </w:tcPr>
          <w:p>
            <w:pPr>
              <w:spacing w:after="0"/>
            </w:pPr>
            <w:r>
              <w:rPr>
                <w:rFonts w:ascii="Calibri" w:cs="Calibri" w:eastAsia="Calibri" w:hAnsi="Calibri"/>
                <w:color w:val="16161A"/>
                <w:sz w:val="19"/>
                <w:szCs w:val="19"/>
              </w:rPr>
              <w:t xml:space="preserve">A product selling scientific honesty cannot market itself with visual hand-waving.</w:t>
            </w:r>
          </w:p>
        </w:tc>
      </w:tr>
    </w:tbl>
    <w:p>
      <w:pPr>
        <w:spacing w:after="120"/>
      </w:pPr>
      <w:r>
        <w:rPr>
          <w:sz w:val="12"/>
          <w:szCs w:val="12"/>
        </w:rPr>
        <w:t xml:space="preserve"/>
      </w:r>
    </w:p>
    <w:p>
      <w:pPr>
        <w:pStyle w:val="Heading2"/>
        <w:spacing w:after="120" w:before="260"/>
      </w:pPr>
      <w:r>
        <w:rPr>
          <w:rFonts w:ascii="Calibri" w:cs="Calibri" w:eastAsia="Calibri" w:hAnsi="Calibri"/>
          <w:b/>
          <w:bCs/>
          <w:color w:val="16161A"/>
          <w:sz w:val="24"/>
          <w:szCs w:val="24"/>
        </w:rPr>
        <w:t xml:space="preserve">5.3 Prompts used in Claude Design</w:t>
      </w:r>
    </w:p>
    <w:p>
      <w:pPr>
        <w:spacing w:after="40" w:before="140"/>
      </w:pPr>
      <w:r>
        <w:rPr>
          <w:rFonts w:ascii="Calibri" w:cs="Calibri" w:eastAsia="Calibri" w:hAnsi="Calibri"/>
          <w:b/>
          <w:bCs/>
          <w:color w:val="F04E10"/>
          <w:sz w:val="19"/>
          <w:szCs w:val="19"/>
        </w:rPr>
        <w:t xml:space="preserve">Prompt 10 — the framing prompt</w:t>
      </w:r>
    </w:p>
    <w:p>
      <w:pPr>
        <w:pBdr>
          <w:left w:val="single" w:color="D9D9D9" w:sz="12" w:space="8"/>
        </w:pBdr>
        <w:spacing w:after="0" w:line="260"/>
        <w:ind w:left="360"/>
      </w:pPr>
      <w:r>
        <w:rPr>
          <w:rFonts w:ascii="Consolas" w:cs="Consolas" w:eastAsia="Consolas" w:hAnsi="Consolas"/>
          <w:color w:val="3A3A42"/>
          <w:sz w:val="18"/>
          <w:szCs w:val="18"/>
        </w:rPr>
        <w:t xml:space="preserve">Design the results read-out for an A/B test in an AI-first CMS. The audience is</w:t>
      </w:r>
    </w:p>
    <w:p>
      <w:pPr>
        <w:pBdr>
          <w:left w:val="single" w:color="D9D9D9" w:sz="12" w:space="8"/>
        </w:pBdr>
        <w:spacing w:after="0" w:line="260"/>
        <w:ind w:left="360"/>
      </w:pPr>
      <w:r>
        <w:rPr>
          <w:rFonts w:ascii="Consolas" w:cs="Consolas" w:eastAsia="Consolas" w:hAnsi="Consolas"/>
          <w:color w:val="3A3A42"/>
          <w:sz w:val="18"/>
          <w:szCs w:val="18"/>
        </w:rPr>
        <w:t xml:space="preserve">a marketing manager who is statistically literate but not a statistician. It must</w:t>
      </w:r>
    </w:p>
    <w:p>
      <w:pPr>
        <w:pBdr>
          <w:left w:val="single" w:color="D9D9D9" w:sz="12" w:space="8"/>
        </w:pBdr>
        <w:spacing w:after="0" w:line="260"/>
        <w:ind w:left="360"/>
      </w:pPr>
      <w:r>
        <w:rPr>
          <w:rFonts w:ascii="Consolas" w:cs="Consolas" w:eastAsia="Consolas" w:hAnsi="Consolas"/>
          <w:color w:val="3A3A42"/>
          <w:sz w:val="18"/>
          <w:szCs w:val="18"/>
        </w:rPr>
        <w:t xml:space="preserve">show: posterior probability that a variant is best, the credible interval, whether</w:t>
      </w:r>
    </w:p>
    <w:p>
      <w:pPr>
        <w:pBdr>
          <w:left w:val="single" w:color="D9D9D9" w:sz="12" w:space="8"/>
        </w:pBdr>
        <w:spacing w:after="0" w:line="260"/>
        <w:ind w:left="360"/>
      </w:pPr>
      <w:r>
        <w:rPr>
          <w:rFonts w:ascii="Consolas" w:cs="Consolas" w:eastAsia="Consolas" w:hAnsi="Consolas"/>
          <w:color w:val="3A3A42"/>
          <w:sz w:val="18"/>
          <w:szCs w:val="18"/>
        </w:rPr>
        <w:t xml:space="preserve">minimum sample size has been reached, and whether the sample-ratio-mismatch check</w:t>
      </w:r>
    </w:p>
    <w:p>
      <w:pPr>
        <w:pBdr>
          <w:left w:val="single" w:color="D9D9D9" w:sz="12" w:space="8"/>
        </w:pBdr>
        <w:spacing w:after="0" w:line="260"/>
        <w:ind w:left="360"/>
      </w:pPr>
      <w:r>
        <w:rPr>
          <w:rFonts w:ascii="Consolas" w:cs="Consolas" w:eastAsia="Consolas" w:hAnsi="Consolas"/>
          <w:color w:val="3A3A42"/>
          <w:sz w:val="18"/>
          <w:szCs w:val="18"/>
        </w:rPr>
        <w:t xml:space="preserve">passed. Hard constraint: it must be impossible to read a winner off this screen</w:t>
      </w:r>
    </w:p>
    <w:p>
      <w:pPr>
        <w:pBdr>
          <w:left w:val="single" w:color="D9D9D9" w:sz="12" w:space="8"/>
        </w:pBdr>
        <w:spacing w:after="0" w:line="260"/>
        <w:ind w:left="360"/>
      </w:pPr>
      <w:r>
        <w:rPr>
          <w:rFonts w:ascii="Consolas" w:cs="Consolas" w:eastAsia="Consolas" w:hAnsi="Consolas"/>
          <w:color w:val="3A3A42"/>
          <w:sz w:val="18"/>
          <w:szCs w:val="18"/>
        </w:rPr>
        <w:t xml:space="preserve">without also seeing the uncertainty around it. Avoid enterprise-blue gradients and</w:t>
      </w:r>
    </w:p>
    <w:p>
      <w:pPr>
        <w:pBdr>
          <w:left w:val="single" w:color="D9D9D9" w:sz="12" w:space="8"/>
        </w:pBdr>
        <w:spacing w:after="0" w:line="260"/>
        <w:ind w:left="360"/>
      </w:pPr>
      <w:r>
        <w:rPr>
          <w:rFonts w:ascii="Consolas" w:cs="Consolas" w:eastAsia="Consolas" w:hAnsi="Consolas"/>
          <w:color w:val="3A3A42"/>
          <w:sz w:val="18"/>
          <w:szCs w:val="18"/>
        </w:rPr>
        <w:t xml:space="preserve">pastel AI-purple. Go editorial and instrument-like: calm neutrals, exactly one</w:t>
      </w:r>
    </w:p>
    <w:p>
      <w:pPr>
        <w:pBdr>
          <w:left w:val="single" w:color="D9D9D9" w:sz="12" w:space="8"/>
        </w:pBdr>
        <w:spacing w:after="140" w:line="260"/>
        <w:ind w:left="360"/>
      </w:pPr>
      <w:r>
        <w:rPr>
          <w:rFonts w:ascii="Consolas" w:cs="Consolas" w:eastAsia="Consolas" w:hAnsi="Consolas"/>
          <w:color w:val="3A3A42"/>
          <w:sz w:val="18"/>
          <w:szCs w:val="18"/>
        </w:rPr>
        <w:t xml:space="preserve">high-visibility signal colour, monospaced numerals for all data.</w:t>
      </w:r>
    </w:p>
    <w:p>
      <w:pPr>
        <w:spacing w:after="40" w:before="140"/>
      </w:pPr>
      <w:r>
        <w:rPr>
          <w:rFonts w:ascii="Calibri" w:cs="Calibri" w:eastAsia="Calibri" w:hAnsi="Calibri"/>
          <w:b/>
          <w:bCs/>
          <w:color w:val="F04E10"/>
          <w:sz w:val="19"/>
          <w:szCs w:val="19"/>
        </w:rPr>
        <w:t xml:space="preserve">Prompt 11 — the empty and failure states</w:t>
      </w:r>
    </w:p>
    <w:p>
      <w:pPr>
        <w:pBdr>
          <w:left w:val="single" w:color="D9D9D9" w:sz="12" w:space="8"/>
        </w:pBdr>
        <w:spacing w:after="0" w:line="260"/>
        <w:ind w:left="360"/>
      </w:pPr>
      <w:r>
        <w:rPr>
          <w:rFonts w:ascii="Consolas" w:cs="Consolas" w:eastAsia="Consolas" w:hAnsi="Consolas"/>
          <w:color w:val="3A3A42"/>
          <w:sz w:val="18"/>
          <w:szCs w:val="18"/>
        </w:rPr>
        <w:t xml:space="preserve">Now design the states nobody demos: no experiments yet, not enough traffic to</w:t>
      </w:r>
    </w:p>
    <w:p>
      <w:pPr>
        <w:pBdr>
          <w:left w:val="single" w:color="D9D9D9" w:sz="12" w:space="8"/>
        </w:pBdr>
        <w:spacing w:after="0" w:line="260"/>
        <w:ind w:left="360"/>
      </w:pPr>
      <w:r>
        <w:rPr>
          <w:rFonts w:ascii="Consolas" w:cs="Consolas" w:eastAsia="Consolas" w:hAnsi="Consolas"/>
          <w:color w:val="3A3A42"/>
          <w:sz w:val="18"/>
          <w:szCs w:val="18"/>
        </w:rPr>
        <w:t xml:space="preserve">conclude, sample-ratio-mismatch FAILED, and result is genuinely inconclusive.</w:t>
      </w:r>
    </w:p>
    <w:p>
      <w:pPr>
        <w:pBdr>
          <w:left w:val="single" w:color="D9D9D9" w:sz="12" w:space="8"/>
        </w:pBdr>
        <w:spacing w:after="0" w:line="260"/>
        <w:ind w:left="360"/>
      </w:pPr>
      <w:r>
        <w:rPr>
          <w:rFonts w:ascii="Consolas" w:cs="Consolas" w:eastAsia="Consolas" w:hAnsi="Consolas"/>
          <w:color w:val="3A3A42"/>
          <w:sz w:val="18"/>
          <w:szCs w:val="18"/>
        </w:rPr>
        <w:t xml:space="preserve">The inconclusive state must not look like a failure of the product — it is the</w:t>
      </w:r>
    </w:p>
    <w:p>
      <w:pPr>
        <w:pBdr>
          <w:left w:val="single" w:color="D9D9D9" w:sz="12" w:space="8"/>
        </w:pBdr>
        <w:spacing w:after="0" w:line="260"/>
        <w:ind w:left="360"/>
      </w:pPr>
      <w:r>
        <w:rPr>
          <w:rFonts w:ascii="Consolas" w:cs="Consolas" w:eastAsia="Consolas" w:hAnsi="Consolas"/>
          <w:color w:val="3A3A42"/>
          <w:sz w:val="18"/>
          <w:szCs w:val="18"/>
        </w:rPr>
        <w:t xml:space="preserve">product working correctly. Write the copy for each state in a voice that is</w:t>
      </w:r>
    </w:p>
    <w:p>
      <w:pPr>
        <w:pBdr>
          <w:left w:val="single" w:color="D9D9D9" w:sz="12" w:space="8"/>
        </w:pBdr>
        <w:spacing w:after="140" w:line="260"/>
        <w:ind w:left="360"/>
      </w:pPr>
      <w:r>
        <w:rPr>
          <w:rFonts w:ascii="Consolas" w:cs="Consolas" w:eastAsia="Consolas" w:hAnsi="Consolas"/>
          <w:color w:val="3A3A42"/>
          <w:sz w:val="18"/>
          <w:szCs w:val="18"/>
        </w:rPr>
        <w:t xml:space="preserve">plain-spoken and quantitative and never apologetic.</w:t>
      </w:r>
    </w:p>
    <w:p>
      <w:pPr>
        <w:spacing w:after="40" w:before="140"/>
      </w:pPr>
      <w:r>
        <w:rPr>
          <w:rFonts w:ascii="Calibri" w:cs="Calibri" w:eastAsia="Calibri" w:hAnsi="Calibri"/>
          <w:b/>
          <w:bCs/>
          <w:color w:val="F04E10"/>
          <w:sz w:val="19"/>
          <w:szCs w:val="19"/>
        </w:rPr>
        <w:t xml:space="preserve">Prompt 12 — the approval gate</w:t>
      </w:r>
    </w:p>
    <w:p>
      <w:pPr>
        <w:pBdr>
          <w:left w:val="single" w:color="D9D9D9" w:sz="12" w:space="8"/>
        </w:pBdr>
        <w:spacing w:after="0" w:line="260"/>
        <w:ind w:left="360"/>
      </w:pPr>
      <w:r>
        <w:rPr>
          <w:rFonts w:ascii="Consolas" w:cs="Consolas" w:eastAsia="Consolas" w:hAnsi="Consolas"/>
          <w:color w:val="3A3A42"/>
          <w:sz w:val="18"/>
          <w:szCs w:val="18"/>
        </w:rPr>
        <w:t xml:space="preserve">Design the human-in-the-loop approval moment for launching an experiment. The</w:t>
      </w:r>
    </w:p>
    <w:p>
      <w:pPr>
        <w:pBdr>
          <w:left w:val="single" w:color="D9D9D9" w:sz="12" w:space="8"/>
        </w:pBdr>
        <w:spacing w:after="0" w:line="260"/>
        <w:ind w:left="360"/>
      </w:pPr>
      <w:r>
        <w:rPr>
          <w:rFonts w:ascii="Consolas" w:cs="Consolas" w:eastAsia="Consolas" w:hAnsi="Consolas"/>
          <w:color w:val="3A3A42"/>
          <w:sz w:val="18"/>
          <w:szCs w:val="18"/>
        </w:rPr>
        <w:t xml:space="preserve">reviewer must see what the AI proposes, why it proposes it, which past learnings</w:t>
      </w:r>
    </w:p>
    <w:p>
      <w:pPr>
        <w:pBdr>
          <w:left w:val="single" w:color="D9D9D9" w:sz="12" w:space="8"/>
        </w:pBdr>
        <w:spacing w:after="0" w:line="260"/>
        <w:ind w:left="360"/>
      </w:pPr>
      <w:r>
        <w:rPr>
          <w:rFonts w:ascii="Consolas" w:cs="Consolas" w:eastAsia="Consolas" w:hAnsi="Consolas"/>
          <w:color w:val="3A3A42"/>
          <w:sz w:val="18"/>
          <w:szCs w:val="18"/>
        </w:rPr>
        <w:t xml:space="preserve">it cited, and what it will change — before approving. Make declining as</w:t>
      </w:r>
    </w:p>
    <w:p>
      <w:pPr>
        <w:pBdr>
          <w:left w:val="single" w:color="D9D9D9" w:sz="12" w:space="8"/>
        </w:pBdr>
        <w:spacing w:after="0" w:line="260"/>
        <w:ind w:left="360"/>
      </w:pPr>
      <w:r>
        <w:rPr>
          <w:rFonts w:ascii="Consolas" w:cs="Consolas" w:eastAsia="Consolas" w:hAnsi="Consolas"/>
          <w:color w:val="3A3A42"/>
          <w:sz w:val="18"/>
          <w:szCs w:val="18"/>
        </w:rPr>
        <w:t xml:space="preserve">first-class an action as approving. Show what a viewer-role user sees instead of</w:t>
      </w:r>
    </w:p>
    <w:p>
      <w:pPr>
        <w:pBdr>
          <w:left w:val="single" w:color="D9D9D9" w:sz="12" w:space="8"/>
        </w:pBdr>
        <w:spacing w:after="140" w:line="260"/>
        <w:ind w:left="360"/>
      </w:pPr>
      <w:r>
        <w:rPr>
          <w:rFonts w:ascii="Consolas" w:cs="Consolas" w:eastAsia="Consolas" w:hAnsi="Consolas"/>
          <w:color w:val="3A3A42"/>
          <w:sz w:val="18"/>
          <w:szCs w:val="18"/>
        </w:rPr>
        <w:t xml:space="preserve">the button.</w:t>
      </w:r>
    </w:p>
    <w:p>
      <w:pPr>
        <w:spacing w:after="40" w:before="140"/>
      </w:pPr>
      <w:r>
        <w:rPr>
          <w:rFonts w:ascii="Calibri" w:cs="Calibri" w:eastAsia="Calibri" w:hAnsi="Calibri"/>
          <w:b/>
          <w:bCs/>
          <w:color w:val="F04E10"/>
          <w:sz w:val="19"/>
          <w:szCs w:val="19"/>
        </w:rPr>
        <w:t xml:space="preserve">Prompt 13 — the visual element picker</w:t>
      </w:r>
    </w:p>
    <w:p>
      <w:pPr>
        <w:pBdr>
          <w:left w:val="single" w:color="D9D9D9" w:sz="12" w:space="8"/>
        </w:pBdr>
        <w:spacing w:after="0" w:line="260"/>
        <w:ind w:left="360"/>
      </w:pPr>
      <w:r>
        <w:rPr>
          <w:rFonts w:ascii="Consolas" w:cs="Consolas" w:eastAsia="Consolas" w:hAnsi="Consolas"/>
          <w:color w:val="3A3A42"/>
          <w:sz w:val="18"/>
          <w:szCs w:val="18"/>
        </w:rPr>
        <w:t xml:space="preserve">Design an overlay that lets a marketer click elements on their OWN live website</w:t>
      </w:r>
    </w:p>
    <w:p>
      <w:pPr>
        <w:pBdr>
          <w:left w:val="single" w:color="D9D9D9" w:sz="12" w:space="8"/>
        </w:pBdr>
        <w:spacing w:after="0" w:line="260"/>
        <w:ind w:left="360"/>
      </w:pPr>
      <w:r>
        <w:rPr>
          <w:rFonts w:ascii="Consolas" w:cs="Consolas" w:eastAsia="Consolas" w:hAnsi="Consolas"/>
          <w:color w:val="3A3A42"/>
          <w:sz w:val="18"/>
          <w:szCs w:val="18"/>
        </w:rPr>
        <w:t xml:space="preserve">to select what to test. It runs inside a page we do not own and cannot restyle.</w:t>
      </w:r>
    </w:p>
    <w:p>
      <w:pPr>
        <w:pBdr>
          <w:left w:val="single" w:color="D9D9D9" w:sz="12" w:space="8"/>
        </w:pBdr>
        <w:spacing w:after="0" w:line="260"/>
        <w:ind w:left="360"/>
      </w:pPr>
      <w:r>
        <w:rPr>
          <w:rFonts w:ascii="Consolas" w:cs="Consolas" w:eastAsia="Consolas" w:hAnsi="Consolas"/>
          <w:color w:val="3A3A42"/>
          <w:sz w:val="18"/>
          <w:szCs w:val="18"/>
        </w:rPr>
        <w:t xml:space="preserve">Show hover targeting, selection, and what happens when the user picks something</w:t>
      </w:r>
    </w:p>
    <w:p>
      <w:pPr>
        <w:pBdr>
          <w:left w:val="single" w:color="D9D9D9" w:sz="12" w:space="8"/>
        </w:pBdr>
        <w:spacing w:after="0" w:line="260"/>
        <w:ind w:left="360"/>
      </w:pPr>
      <w:r>
        <w:rPr>
          <w:rFonts w:ascii="Consolas" w:cs="Consolas" w:eastAsia="Consolas" w:hAnsi="Consolas"/>
          <w:color w:val="3A3A42"/>
          <w:sz w:val="18"/>
          <w:szCs w:val="18"/>
        </w:rPr>
        <w:t xml:space="preserve">ambiguous (a wrapper div rather than the headline). Assume the host page may have</w:t>
      </w:r>
    </w:p>
    <w:p>
      <w:pPr>
        <w:pBdr>
          <w:left w:val="single" w:color="D9D9D9" w:sz="12" w:space="8"/>
        </w:pBdr>
        <w:spacing w:after="140" w:line="260"/>
        <w:ind w:left="360"/>
      </w:pPr>
      <w:r>
        <w:rPr>
          <w:rFonts w:ascii="Consolas" w:cs="Consolas" w:eastAsia="Consolas" w:hAnsi="Consolas"/>
          <w:color w:val="3A3A42"/>
          <w:sz w:val="18"/>
          <w:szCs w:val="18"/>
        </w:rPr>
        <w:t xml:space="preserve">aggressive CSS that fights our overlay.</w:t>
      </w:r>
    </w:p>
    <w:p>
      <w:pPr>
        <w:pStyle w:val="Heading2"/>
        <w:spacing w:after="120" w:before="260"/>
      </w:pPr>
      <w:r>
        <w:rPr>
          <w:rFonts w:ascii="Calibri" w:cs="Calibri" w:eastAsia="Calibri" w:hAnsi="Calibri"/>
          <w:b/>
          <w:bCs/>
          <w:color w:val="16161A"/>
          <w:sz w:val="24"/>
          <w:szCs w:val="24"/>
        </w:rPr>
        <w:t xml:space="preserve">5.4 Challenges encountered</w:t>
      </w:r>
    </w:p>
    <w:p>
      <w:pPr>
        <w:pStyle w:val="ListParagraph"/>
        <w:numPr>
          <w:ilvl w:val="0"/>
          <w:numId w:val="3"/>
        </w:numPr>
        <w:spacing w:after="80" w:line="276"/>
      </w:pPr>
      <w:r>
        <w:rPr>
          <w:rFonts w:ascii="Calibri" w:cs="Calibri" w:eastAsia="Calibri" w:hAnsi="Calibri"/>
          <w:color w:val="16161A"/>
          <w:sz w:val="21"/>
          <w:szCs w:val="21"/>
        </w:rPr>
        <w:t xml:space="preserve">Designing uncertainty is harder than designing certainty. The first read-out drafts led with a large "Variant B wins." That is exactly the vanity-lift pattern the value proposition rejects. Several iterations were needed before the interval and the sample-size status carried equal visual weight to the verdict. This was the single most instructive design problem in the project.</w:t>
      </w:r>
    </w:p>
    <w:p>
      <w:pPr>
        <w:pStyle w:val="ListParagraph"/>
        <w:numPr>
          <w:ilvl w:val="0"/>
          <w:numId w:val="3"/>
        </w:numPr>
        <w:spacing w:after="80" w:line="276"/>
      </w:pPr>
      <w:r>
        <w:rPr>
          <w:rFonts w:ascii="Calibri" w:cs="Calibri" w:eastAsia="Calibri" w:hAnsi="Calibri"/>
          <w:color w:val="16161A"/>
          <w:sz w:val="21"/>
          <w:szCs w:val="21"/>
        </w:rPr>
        <w:t xml:space="preserve">The generated designs were consistently too polished for the states that matter. Claude Design, like most design tools and most designers, defaults to the happy path. Empty states, insufficient-traffic states and failed-SRM states had to be requested explicitly (Prompt 11) — and they turned out to be where most of the real product decisions were hiding.</w:t>
      </w:r>
    </w:p>
    <w:p>
      <w:pPr>
        <w:pStyle w:val="ListParagraph"/>
        <w:numPr>
          <w:ilvl w:val="0"/>
          <w:numId w:val="3"/>
        </w:numPr>
        <w:spacing w:after="80" w:line="276"/>
      </w:pPr>
      <w:r>
        <w:rPr>
          <w:rFonts w:ascii="Calibri" w:cs="Calibri" w:eastAsia="Calibri" w:hAnsi="Calibri"/>
          <w:color w:val="16161A"/>
          <w:sz w:val="21"/>
          <w:szCs w:val="21"/>
        </w:rPr>
        <w:t xml:space="preserve">The element picker could not be designed in isolation. It runs inside pages we do not control, so a design that assumes our CSS wins is fiction. This was the first signal that Site Experiments would be the largest single engineering addition, and it changed the build sequencing.</w:t>
      </w:r>
    </w:p>
    <w:p>
      <w:pPr>
        <w:pStyle w:val="ListParagraph"/>
        <w:numPr>
          <w:ilvl w:val="0"/>
          <w:numId w:val="3"/>
        </w:numPr>
        <w:spacing w:after="80" w:line="276"/>
      </w:pPr>
      <w:r>
        <w:rPr>
          <w:rFonts w:ascii="Calibri" w:cs="Calibri" w:eastAsia="Calibri" w:hAnsi="Calibri"/>
          <w:color w:val="16161A"/>
          <w:sz w:val="21"/>
          <w:szCs w:val="21"/>
        </w:rPr>
        <w:t xml:space="preserve">Design surfaced a requirements gap. Prototyping the approval gate raised an obvious question the requirements had not answered: after someone approves, where is the record? The answer was that no durable approval-history entity existed. It remains unbuilt, but it is now a named, tracked gap rather than an unknown one — found in a design conversation, not in production.</w:t>
      </w:r>
    </w:p>
    <w:p>
      <w:pPr>
        <w:pStyle w:val="ListParagraph"/>
        <w:numPr>
          <w:ilvl w:val="0"/>
          <w:numId w:val="3"/>
        </w:numPr>
        <w:spacing w:after="80" w:line="276"/>
      </w:pPr>
      <w:r>
        <w:rPr>
          <w:rFonts w:ascii="Calibri" w:cs="Calibri" w:eastAsia="Calibri" w:hAnsi="Calibri"/>
          <w:color w:val="16161A"/>
          <w:sz w:val="21"/>
          <w:szCs w:val="21"/>
        </w:rPr>
        <w:t xml:space="preserve">Fluency is not correctness. Generated designs are persuasive enough to stop critique early. The countermeasure adopted was to require every screen to be justified against a specific requirement and a specific pain point before it was accepted, which is slower and caught several attractive screens that served nothing.</w:t>
      </w:r>
    </w:p>
    <w:p>
      <w:pPr>
        <w:pStyle w:val="Heading2"/>
        <w:spacing w:after="120" w:before="260"/>
      </w:pPr>
      <w:r>
        <w:rPr>
          <w:rFonts w:ascii="Calibri" w:cs="Calibri" w:eastAsia="Calibri" w:hAnsi="Calibri"/>
          <w:b/>
          <w:bCs/>
          <w:color w:val="16161A"/>
          <w:sz w:val="24"/>
          <w:szCs w:val="24"/>
        </w:rPr>
        <w:t xml:space="preserve">5.5 The value of prototyping this way</w:t>
      </w:r>
    </w:p>
    <w:p>
      <w:pPr>
        <w:pStyle w:val="ListParagraph"/>
        <w:numPr>
          <w:ilvl w:val="0"/>
          <w:numId w:val="2"/>
        </w:numPr>
        <w:spacing w:after="80" w:line="276"/>
      </w:pPr>
      <w:r>
        <w:rPr>
          <w:rFonts w:ascii="Calibri" w:cs="Calibri" w:eastAsia="Calibri" w:hAnsi="Calibri"/>
          <w:color w:val="16161A"/>
          <w:sz w:val="21"/>
          <w:szCs w:val="21"/>
        </w:rPr>
        <w:t xml:space="preserve">Speed changed what design is for. When a screen costs minutes rather than days, design stops being a commitment and becomes a way of thinking. Rejecting five directions is cheap, so the sixth is chosen rather than settled for.</w:t>
      </w:r>
    </w:p>
    <w:p>
      <w:pPr>
        <w:pStyle w:val="ListParagraph"/>
        <w:numPr>
          <w:ilvl w:val="0"/>
          <w:numId w:val="2"/>
        </w:numPr>
        <w:spacing w:after="80" w:line="276"/>
      </w:pPr>
      <w:r>
        <w:rPr>
          <w:rFonts w:ascii="Calibri" w:cs="Calibri" w:eastAsia="Calibri" w:hAnsi="Calibri"/>
          <w:color w:val="16161A"/>
          <w:sz w:val="21"/>
          <w:szCs w:val="21"/>
        </w:rPr>
        <w:t xml:space="preserve">It forced the value proposition to be concrete. "Scientific honesty" is a slogan until you have to decide the relative type size of a posterior probability and its credible interval. Designing the read-out is what turned the pillar into an enforceable rule.</w:t>
      </w:r>
    </w:p>
    <w:p>
      <w:pPr>
        <w:pStyle w:val="ListParagraph"/>
        <w:numPr>
          <w:ilvl w:val="0"/>
          <w:numId w:val="2"/>
        </w:numPr>
        <w:spacing w:after="80" w:line="276"/>
      </w:pPr>
      <w:r>
        <w:rPr>
          <w:rFonts w:ascii="Calibri" w:cs="Calibri" w:eastAsia="Calibri" w:hAnsi="Calibri"/>
          <w:color w:val="16161A"/>
          <w:sz w:val="21"/>
          <w:szCs w:val="21"/>
        </w:rPr>
        <w:t xml:space="preserve">It produced a design system, not just screens. The palette, type stack and data conventions came out of the prototyping conversation and carried directly into both the implemented UI and the GTM materials — which is why the product and the brand look like the same thing.</w:t>
      </w:r>
    </w:p>
    <w:p>
      <w:pPr>
        <w:pStyle w:val="ListParagraph"/>
        <w:numPr>
          <w:ilvl w:val="0"/>
          <w:numId w:val="2"/>
        </w:numPr>
        <w:spacing w:after="80" w:line="276"/>
      </w:pPr>
      <w:r>
        <w:rPr>
          <w:rFonts w:ascii="Calibri" w:cs="Calibri" w:eastAsia="Calibri" w:hAnsi="Calibri"/>
          <w:color w:val="16161A"/>
          <w:sz w:val="21"/>
          <w:szCs w:val="21"/>
        </w:rPr>
        <w:t xml:space="preserve">It de-risked the hardest slice before any code was written. The picker overlay problems were understood in design, so the implementation was budgeted for browser-level end-to-end testing from the start rather than discovering the need mid-build.</w:t>
      </w:r>
    </w:p>
    <w:p>
      <w:r>
        <w:br w:type="page"/>
      </w:r>
    </w:p>
    <w:p>
      <w:pPr>
        <w:pStyle w:val="Heading1"/>
        <w:spacing w:after="160" w:before="360"/>
      </w:pPr>
      <w:r>
        <w:rPr>
          <w:rFonts w:ascii="Calibri" w:cs="Calibri" w:eastAsia="Calibri" w:hAnsi="Calibri"/>
          <w:b/>
          <w:bCs/>
          <w:color w:val="16161A"/>
          <w:sz w:val="30"/>
          <w:szCs w:val="30"/>
        </w:rPr>
        <w:t xml:space="preserve">6. Implementation</w:t>
      </w:r>
    </w:p>
    <w:p>
      <w:pPr>
        <w:spacing w:after="120" w:line="276"/>
      </w:pPr>
      <w:r>
        <w:rPr>
          <w:rFonts w:ascii="Calibri" w:cs="Calibri" w:eastAsia="Calibri" w:hAnsi="Calibri"/>
          <w:color w:val="16161A"/>
          <w:sz w:val="21"/>
          <w:szCs w:val="21"/>
        </w:rPr>
        <w:t xml:space="preserve">Implementation was carried out in Cursor with Claude as the primary engineering agent, working against a repository governed by a written convention file and a decision log. This section reports what was built, how the AI-assisted workflow was structured to keep it honest, and what the process actually caught.</w:t>
      </w:r>
    </w:p>
    <w:p>
      <w:pPr>
        <w:pStyle w:val="Heading2"/>
        <w:spacing w:after="120" w:before="260"/>
      </w:pPr>
      <w:r>
        <w:rPr>
          <w:rFonts w:ascii="Calibri" w:cs="Calibri" w:eastAsia="Calibri" w:hAnsi="Calibri"/>
          <w:b/>
          <w:bCs/>
          <w:color w:val="16161A"/>
          <w:sz w:val="24"/>
          <w:szCs w:val="24"/>
        </w:rPr>
        <w:t xml:space="preserve">6.1 The working method</w:t>
      </w:r>
    </w:p>
    <w:p>
      <w:pPr>
        <w:spacing w:after="120" w:line="276"/>
      </w:pPr>
      <w:r>
        <w:rPr>
          <w:rFonts w:ascii="Calibri" w:cs="Calibri" w:eastAsia="Calibri" w:hAnsi="Calibri"/>
          <w:color w:val="16161A"/>
          <w:sz w:val="21"/>
          <w:szCs w:val="21"/>
        </w:rPr>
        <w:t xml:space="preserve">The workflow was deliberately not "prompt for a feature and accept the output." Four conventions did most of the work:</w:t>
      </w:r>
    </w:p>
    <w:p>
      <w:pPr>
        <w:pStyle w:val="ListParagraph"/>
        <w:numPr>
          <w:ilvl w:val="0"/>
          <w:numId w:val="3"/>
        </w:numPr>
        <w:spacing w:after="80" w:line="276"/>
      </w:pPr>
      <w:r>
        <w:rPr>
          <w:rFonts w:ascii="Calibri" w:cs="Calibri" w:eastAsia="Calibri" w:hAnsi="Calibri"/>
          <w:color w:val="16161A"/>
          <w:sz w:val="21"/>
          <w:szCs w:val="21"/>
        </w:rPr>
        <w:t xml:space="preserve">A written context file governs every session. A CLAUDE.md convention file plus an onboarding document define naming conventions, agent interfaces, error handling, package boundaries, and the rules the agent must not violate — so that a session with no prior memory of the project can continue development, or rebuild the system from scratch, without re-deriving the design.</w:t>
      </w:r>
    </w:p>
    <w:p>
      <w:pPr>
        <w:pStyle w:val="ListParagraph"/>
        <w:numPr>
          <w:ilvl w:val="0"/>
          <w:numId w:val="3"/>
        </w:numPr>
        <w:spacing w:after="80" w:line="276"/>
      </w:pPr>
      <w:r>
        <w:rPr>
          <w:rFonts w:ascii="Calibri" w:cs="Calibri" w:eastAsia="Calibri" w:hAnsi="Calibri"/>
          <w:color w:val="16161A"/>
          <w:sz w:val="21"/>
          <w:szCs w:val="21"/>
        </w:rPr>
        <w:t xml:space="preserve">Every slice gets a PRD before code and an ADR alongside it. Seven of each exist. The PRD states explicit out-of-scope; the ADR states why an irreversible choice was made. This converts "the AI wrote something surprising" into "the decision is on record and can be argued with."</w:t>
      </w:r>
    </w:p>
    <w:p>
      <w:pPr>
        <w:pStyle w:val="ListParagraph"/>
        <w:numPr>
          <w:ilvl w:val="0"/>
          <w:numId w:val="3"/>
        </w:numPr>
        <w:spacing w:after="80" w:line="276"/>
      </w:pPr>
      <w:r>
        <w:rPr>
          <w:rFonts w:ascii="Calibri" w:cs="Calibri" w:eastAsia="Calibri" w:hAnsi="Calibri"/>
          <w:color w:val="16161A"/>
          <w:sz w:val="21"/>
          <w:szCs w:val="21"/>
        </w:rPr>
        <w:t xml:space="preserve">Structured output only, never free-text parsing. All LLM calls route through a single model-gateway package that forces tool-call output and meters cost. Agents never touch the database directly; the UI never calls a model provider directly. These boundaries are enforced conventions, not aspirations.</w:t>
      </w:r>
    </w:p>
    <w:p>
      <w:pPr>
        <w:pStyle w:val="ListParagraph"/>
        <w:numPr>
          <w:ilvl w:val="0"/>
          <w:numId w:val="3"/>
        </w:numPr>
        <w:spacing w:after="80" w:line="276"/>
      </w:pPr>
      <w:r>
        <w:rPr>
          <w:rFonts w:ascii="Calibri" w:cs="Calibri" w:eastAsia="Calibri" w:hAnsi="Calibri"/>
          <w:color w:val="16161A"/>
          <w:sz w:val="21"/>
          <w:szCs w:val="21"/>
        </w:rPr>
        <w:t xml:space="preserve">Definition of done is a passing end-to-end suite, not a code review. Several real bugs in this build were invisible to inspection and only surfaced when the software was actually exercised — this is reported in detail in Section 6.5.</w:t>
      </w:r>
    </w:p>
    <w:p>
      <w:pPr>
        <w:pStyle w:val="Heading2"/>
        <w:spacing w:after="120" w:before="260"/>
      </w:pPr>
      <w:r>
        <w:rPr>
          <w:rFonts w:ascii="Calibri" w:cs="Calibri" w:eastAsia="Calibri" w:hAnsi="Calibri"/>
          <w:b/>
          <w:bCs/>
          <w:color w:val="16161A"/>
          <w:sz w:val="24"/>
          <w:szCs w:val="24"/>
        </w:rPr>
        <w:t xml:space="preserve">6.2 Architecture as built</w:t>
      </w:r>
    </w:p>
    <w:p>
      <w:pPr>
        <w:spacing w:after="120" w:line="276"/>
      </w:pPr>
      <w:r>
        <w:rPr>
          <w:rFonts w:ascii="Calibri" w:cs="Calibri" w:eastAsia="Calibri" w:hAnsi="Calibri"/>
          <w:color w:val="16161A"/>
          <w:sz w:val="21"/>
          <w:szCs w:val="21"/>
        </w:rPr>
        <w:t xml:space="preserve">The product is designed as five layers — UI, AI Agents, AI Models, Platform &amp; Data, and Infrastructure — with strict boundaries. The current build implements the top four layers in full for a local, single-tenant prototype; the production infrastructure layer is intentionally deferred and recorded as such.</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Concern</w:t>
            </w:r>
          </w:p>
        </w:tc>
        <w:tc>
          <w:tcPr>
            <w:tcW w:type="dxa" w:w="69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Choice as implemented</w:t>
            </w:r>
          </w:p>
        </w:tc>
      </w:tr>
      <w:tr>
        <w:tc>
          <w:tcPr>
            <w:tcW w:type="dxa" w:w="2400"/>
            <w:tcMar>
              <w:top w:type="dxa" w:w="80"/>
              <w:left w:type="dxa" w:w="120"/>
              <w:bottom w:type="dxa" w:w="80"/>
              <w:right w:type="dxa" w:w="120"/>
            </w:tcMar>
          </w:tcPr>
          <w:p>
            <w:pPr>
              <w:spacing w:after="0"/>
            </w:pPr>
            <w:r>
              <w:rPr>
                <w:rFonts w:ascii="Calibri" w:cs="Calibri" w:eastAsia="Calibri" w:hAnsi="Calibri"/>
                <w:color w:val="16161A"/>
                <w:sz w:val="19"/>
                <w:szCs w:val="19"/>
              </w:rPr>
              <w:t xml:space="preserve">Monorepo</w:t>
            </w:r>
          </w:p>
        </w:tc>
        <w:tc>
          <w:tcPr>
            <w:tcW w:type="dxa" w:w="6900"/>
            <w:tcMar>
              <w:top w:type="dxa" w:w="80"/>
              <w:left w:type="dxa" w:w="120"/>
              <w:bottom w:type="dxa" w:w="80"/>
              <w:right w:type="dxa" w:w="120"/>
            </w:tcMar>
          </w:tcPr>
          <w:p>
            <w:pPr>
              <w:spacing w:after="0"/>
            </w:pPr>
            <w:r>
              <w:rPr>
                <w:rFonts w:ascii="Calibri" w:cs="Calibri" w:eastAsia="Calibri" w:hAnsi="Calibri"/>
                <w:color w:val="16161A"/>
                <w:sz w:val="19"/>
                <w:szCs w:val="19"/>
              </w:rPr>
              <w:t xml:space="preserve">pnpm workspaces, Turborepo configured</w:t>
            </w:r>
          </w:p>
        </w:tc>
      </w:tr>
      <w:tr>
        <w:tc>
          <w:tcPr>
            <w:tcW w:type="dxa" w:w="2400"/>
            <w:tcMar>
              <w:top w:type="dxa" w:w="80"/>
              <w:left w:type="dxa" w:w="120"/>
              <w:bottom w:type="dxa" w:w="80"/>
              <w:right w:type="dxa" w:w="120"/>
            </w:tcMar>
          </w:tcPr>
          <w:p>
            <w:pPr>
              <w:spacing w:after="0"/>
            </w:pPr>
            <w:r>
              <w:rPr>
                <w:rFonts w:ascii="Calibri" w:cs="Calibri" w:eastAsia="Calibri" w:hAnsi="Calibri"/>
                <w:color w:val="16161A"/>
                <w:sz w:val="19"/>
                <w:szCs w:val="19"/>
              </w:rPr>
              <w:t xml:space="preserve">Frontend</w:t>
            </w:r>
          </w:p>
        </w:tc>
        <w:tc>
          <w:tcPr>
            <w:tcW w:type="dxa" w:w="6900"/>
            <w:tcMar>
              <w:top w:type="dxa" w:w="80"/>
              <w:left w:type="dxa" w:w="120"/>
              <w:bottom w:type="dxa" w:w="80"/>
              <w:right w:type="dxa" w:w="120"/>
            </w:tcMar>
          </w:tcPr>
          <w:p>
            <w:pPr>
              <w:spacing w:after="0"/>
            </w:pPr>
            <w:r>
              <w:rPr>
                <w:rFonts w:ascii="Calibri" w:cs="Calibri" w:eastAsia="Calibri" w:hAnsi="Calibri"/>
                <w:color w:val="16161A"/>
                <w:sz w:val="19"/>
                <w:szCs w:val="19"/>
              </w:rPr>
              <w:t xml:space="preserve">Next.js (App Router), React, TypeScript</w:t>
            </w:r>
          </w:p>
        </w:tc>
      </w:tr>
      <w:tr>
        <w:tc>
          <w:tcPr>
            <w:tcW w:type="dxa" w:w="2400"/>
            <w:tcMar>
              <w:top w:type="dxa" w:w="80"/>
              <w:left w:type="dxa" w:w="120"/>
              <w:bottom w:type="dxa" w:w="80"/>
              <w:right w:type="dxa" w:w="120"/>
            </w:tcMar>
          </w:tcPr>
          <w:p>
            <w:pPr>
              <w:spacing w:after="0"/>
            </w:pPr>
            <w:r>
              <w:rPr>
                <w:rFonts w:ascii="Calibri" w:cs="Calibri" w:eastAsia="Calibri" w:hAnsi="Calibri"/>
                <w:color w:val="16161A"/>
                <w:sz w:val="19"/>
                <w:szCs w:val="19"/>
              </w:rPr>
              <w:t xml:space="preserve">Backend API</w:t>
            </w:r>
          </w:p>
        </w:tc>
        <w:tc>
          <w:tcPr>
            <w:tcW w:type="dxa" w:w="6900"/>
            <w:tcMar>
              <w:top w:type="dxa" w:w="80"/>
              <w:left w:type="dxa" w:w="120"/>
              <w:bottom w:type="dxa" w:w="80"/>
              <w:right w:type="dxa" w:w="120"/>
            </w:tcMar>
          </w:tcPr>
          <w:p>
            <w:pPr>
              <w:spacing w:after="0"/>
            </w:pPr>
            <w:r>
              <w:rPr>
                <w:rFonts w:ascii="Calibri" w:cs="Calibri" w:eastAsia="Calibri" w:hAnsi="Calibri"/>
                <w:color w:val="16161A"/>
                <w:sz w:val="19"/>
                <w:szCs w:val="19"/>
              </w:rPr>
              <w:t xml:space="preserve">NestJS (TypeScript), REST, RFC 7807 problem+json errors</w:t>
            </w:r>
          </w:p>
        </w:tc>
      </w:tr>
      <w:tr>
        <w:tc>
          <w:tcPr>
            <w:tcW w:type="dxa" w:w="2400"/>
            <w:tcMar>
              <w:top w:type="dxa" w:w="80"/>
              <w:left w:type="dxa" w:w="120"/>
              <w:bottom w:type="dxa" w:w="80"/>
              <w:right w:type="dxa" w:w="120"/>
            </w:tcMar>
          </w:tcPr>
          <w:p>
            <w:pPr>
              <w:spacing w:after="0"/>
            </w:pPr>
            <w:r>
              <w:rPr>
                <w:rFonts w:ascii="Calibri" w:cs="Calibri" w:eastAsia="Calibri" w:hAnsi="Calibri"/>
                <w:color w:val="16161A"/>
                <w:sz w:val="19"/>
                <w:szCs w:val="19"/>
              </w:rPr>
              <w:t xml:space="preserve">AI model access</w:t>
            </w:r>
          </w:p>
        </w:tc>
        <w:tc>
          <w:tcPr>
            <w:tcW w:type="dxa" w:w="6900"/>
            <w:tcMar>
              <w:top w:type="dxa" w:w="80"/>
              <w:left w:type="dxa" w:w="120"/>
              <w:bottom w:type="dxa" w:w="80"/>
              <w:right w:type="dxa" w:w="120"/>
            </w:tcMar>
          </w:tcPr>
          <w:p>
            <w:pPr>
              <w:spacing w:after="0"/>
            </w:pPr>
            <w:r>
              <w:rPr>
                <w:rFonts w:ascii="Calibri" w:cs="Calibri" w:eastAsia="Calibri" w:hAnsi="Calibri"/>
                <w:color w:val="16161A"/>
                <w:sz w:val="19"/>
                <w:szCs w:val="19"/>
              </w:rPr>
              <w:t xml:space="preserve">Anthropic Claude via a dedicated model-gateway package — cost metering, forced structured tool-call output</w:t>
            </w:r>
          </w:p>
        </w:tc>
      </w:tr>
      <w:tr>
        <w:tc>
          <w:tcPr>
            <w:tcW w:type="dxa" w:w="2400"/>
            <w:tcMar>
              <w:top w:type="dxa" w:w="80"/>
              <w:left w:type="dxa" w:w="120"/>
              <w:bottom w:type="dxa" w:w="80"/>
              <w:right w:type="dxa" w:w="120"/>
            </w:tcMar>
          </w:tcPr>
          <w:p>
            <w:pPr>
              <w:spacing w:after="0"/>
            </w:pPr>
            <w:r>
              <w:rPr>
                <w:rFonts w:ascii="Calibri" w:cs="Calibri" w:eastAsia="Calibri" w:hAnsi="Calibri"/>
                <w:color w:val="16161A"/>
                <w:sz w:val="19"/>
                <w:szCs w:val="19"/>
              </w:rPr>
              <w:t xml:space="preserve">Database</w:t>
            </w:r>
          </w:p>
        </w:tc>
        <w:tc>
          <w:tcPr>
            <w:tcW w:type="dxa" w:w="6900"/>
            <w:tcMar>
              <w:top w:type="dxa" w:w="80"/>
              <w:left w:type="dxa" w:w="120"/>
              <w:bottom w:type="dxa" w:w="80"/>
              <w:right w:type="dxa" w:w="120"/>
            </w:tcMar>
          </w:tcPr>
          <w:p>
            <w:pPr>
              <w:spacing w:after="0"/>
            </w:pPr>
            <w:r>
              <w:rPr>
                <w:rFonts w:ascii="Calibri" w:cs="Calibri" w:eastAsia="Calibri" w:hAnsi="Calibri"/>
                <w:color w:val="16161A"/>
                <w:sz w:val="19"/>
                <w:szCs w:val="19"/>
              </w:rPr>
              <w:t xml:space="preserve">SQLite via Prisma ORM, Postgres-compatible schema</w:t>
            </w:r>
          </w:p>
        </w:tc>
      </w:tr>
      <w:tr>
        <w:tc>
          <w:tcPr>
            <w:tcW w:type="dxa" w:w="2400"/>
            <w:tcMar>
              <w:top w:type="dxa" w:w="80"/>
              <w:left w:type="dxa" w:w="120"/>
              <w:bottom w:type="dxa" w:w="80"/>
              <w:right w:type="dxa" w:w="120"/>
            </w:tcMar>
          </w:tcPr>
          <w:p>
            <w:pPr>
              <w:spacing w:after="0"/>
            </w:pPr>
            <w:r>
              <w:rPr>
                <w:rFonts w:ascii="Calibri" w:cs="Calibri" w:eastAsia="Calibri" w:hAnsi="Calibri"/>
                <w:color w:val="16161A"/>
                <w:sz w:val="19"/>
                <w:szCs w:val="19"/>
              </w:rPr>
              <w:t xml:space="preserve">Statistics</w:t>
            </w:r>
          </w:p>
        </w:tc>
        <w:tc>
          <w:tcPr>
            <w:tcW w:type="dxa" w:w="6900"/>
            <w:tcMar>
              <w:top w:type="dxa" w:w="80"/>
              <w:left w:type="dxa" w:w="120"/>
              <w:bottom w:type="dxa" w:w="80"/>
              <w:right w:type="dxa" w:w="120"/>
            </w:tcMar>
          </w:tcPr>
          <w:p>
            <w:pPr>
              <w:spacing w:after="0"/>
            </w:pPr>
            <w:r>
              <w:rPr>
                <w:rFonts w:ascii="Calibri" w:cs="Calibri" w:eastAsia="Calibri" w:hAnsi="Calibri"/>
                <w:color w:val="16161A"/>
                <w:sz w:val="19"/>
                <w:szCs w:val="19"/>
              </w:rPr>
              <w:t xml:space="preserve">Custom Bayesian evaluator, sample-size calculator, SRM detector — golden-tested</w:t>
            </w:r>
          </w:p>
        </w:tc>
      </w:tr>
      <w:tr>
        <w:tc>
          <w:tcPr>
            <w:tcW w:type="dxa" w:w="2400"/>
            <w:tcMar>
              <w:top w:type="dxa" w:w="80"/>
              <w:left w:type="dxa" w:w="120"/>
              <w:bottom w:type="dxa" w:w="80"/>
              <w:right w:type="dxa" w:w="120"/>
            </w:tcMar>
          </w:tcPr>
          <w:p>
            <w:pPr>
              <w:spacing w:after="0"/>
            </w:pPr>
            <w:r>
              <w:rPr>
                <w:rFonts w:ascii="Calibri" w:cs="Calibri" w:eastAsia="Calibri" w:hAnsi="Calibri"/>
                <w:color w:val="16161A"/>
                <w:sz w:val="19"/>
                <w:szCs w:val="19"/>
              </w:rPr>
              <w:t xml:space="preserve">Testing</w:t>
            </w:r>
          </w:p>
        </w:tc>
        <w:tc>
          <w:tcPr>
            <w:tcW w:type="dxa" w:w="6900"/>
            <w:tcMar>
              <w:top w:type="dxa" w:w="80"/>
              <w:left w:type="dxa" w:w="120"/>
              <w:bottom w:type="dxa" w:w="80"/>
              <w:right w:type="dxa" w:w="120"/>
            </w:tcMar>
          </w:tcPr>
          <w:p>
            <w:pPr>
              <w:spacing w:after="0"/>
            </w:pPr>
            <w:r>
              <w:rPr>
                <w:rFonts w:ascii="Calibri" w:cs="Calibri" w:eastAsia="Calibri" w:hAnsi="Calibri"/>
                <w:color w:val="16161A"/>
                <w:sz w:val="19"/>
                <w:szCs w:val="19"/>
              </w:rPr>
              <w:t xml:space="preserve">Vitest (unit), Playwright (real-browser end-to-end)</w:t>
            </w:r>
          </w:p>
        </w:tc>
      </w:tr>
    </w:tbl>
    <w:p>
      <w:pPr>
        <w:spacing w:after="120"/>
      </w:pPr>
      <w:r>
        <w:rPr>
          <w:sz w:val="12"/>
          <w:szCs w:val="12"/>
        </w:rPr>
        <w:t xml:space="preserve"/>
      </w:r>
    </w:p>
    <w:p>
      <w:pPr>
        <w:pStyle w:val="Heading3"/>
        <w:spacing w:after="100" w:before="200"/>
      </w:pPr>
      <w:r>
        <w:rPr>
          <w:rFonts w:ascii="Calibri" w:cs="Calibri" w:eastAsia="Calibri" w:hAnsi="Calibri"/>
          <w:b/>
          <w:bCs/>
          <w:color w:val="F04E10"/>
          <w:sz w:val="22"/>
          <w:szCs w:val="22"/>
        </w:rPr>
        <w:t xml:space="preserve">Monorepo structure</w:t>
      </w:r>
    </w:p>
    <w:p>
      <w:pPr>
        <w:pStyle w:val="ListParagraph"/>
        <w:numPr>
          <w:ilvl w:val="0"/>
          <w:numId w:val="2"/>
        </w:numPr>
        <w:spacing w:after="80" w:line="276"/>
      </w:pPr>
      <w:r>
        <w:rPr>
          <w:rFonts w:ascii="Calibri" w:cs="Calibri" w:eastAsia="Calibri" w:hAnsi="Calibri"/>
          <w:color w:val="16161A"/>
          <w:sz w:val="21"/>
          <w:szCs w:val="21"/>
        </w:rPr>
        <w:t xml:space="preserve">apps/api — NestJS backend: briefs, experiments (native and site), delivery, insights, approvals, memory, auth.</w:t>
      </w:r>
    </w:p>
    <w:p>
      <w:pPr>
        <w:pStyle w:val="ListParagraph"/>
        <w:numPr>
          <w:ilvl w:val="0"/>
          <w:numId w:val="2"/>
        </w:numPr>
        <w:spacing w:after="80" w:line="276"/>
      </w:pPr>
      <w:r>
        <w:rPr>
          <w:rFonts w:ascii="Calibri" w:cs="Calibri" w:eastAsia="Calibri" w:hAnsi="Calibri"/>
          <w:color w:val="16161A"/>
          <w:sz w:val="21"/>
          <w:szCs w:val="21"/>
        </w:rPr>
        <w:t xml:space="preserve">apps/web — Next.js admin console plus the public delivery routes real visitors hit.</w:t>
      </w:r>
    </w:p>
    <w:p>
      <w:pPr>
        <w:pStyle w:val="ListParagraph"/>
        <w:numPr>
          <w:ilvl w:val="0"/>
          <w:numId w:val="2"/>
        </w:numPr>
        <w:spacing w:after="80" w:line="276"/>
      </w:pPr>
      <w:r>
        <w:rPr>
          <w:rFonts w:ascii="Calibri" w:cs="Calibri" w:eastAsia="Calibri" w:hAnsi="Calibri"/>
          <w:color w:val="16161A"/>
          <w:sz w:val="21"/>
          <w:szCs w:val="21"/>
        </w:rPr>
        <w:t xml:space="preserve">packages/shared — Zod schemas and types shared by every app and agent; the single source of truth for the permission matrix.</w:t>
      </w:r>
    </w:p>
    <w:p>
      <w:pPr>
        <w:pStyle w:val="ListParagraph"/>
        <w:numPr>
          <w:ilvl w:val="0"/>
          <w:numId w:val="2"/>
        </w:numPr>
        <w:spacing w:after="80" w:line="276"/>
      </w:pPr>
      <w:r>
        <w:rPr>
          <w:rFonts w:ascii="Calibri" w:cs="Calibri" w:eastAsia="Calibri" w:hAnsi="Calibri"/>
          <w:color w:val="16161A"/>
          <w:sz w:val="21"/>
          <w:szCs w:val="21"/>
        </w:rPr>
        <w:t xml:space="preserve">packages/cms-core — the typed content-block model and block registry.</w:t>
      </w:r>
    </w:p>
    <w:p>
      <w:pPr>
        <w:pStyle w:val="ListParagraph"/>
        <w:numPr>
          <w:ilvl w:val="0"/>
          <w:numId w:val="2"/>
        </w:numPr>
        <w:spacing w:after="80" w:line="276"/>
      </w:pPr>
      <w:r>
        <w:rPr>
          <w:rFonts w:ascii="Calibri" w:cs="Calibri" w:eastAsia="Calibri" w:hAnsi="Calibri"/>
          <w:color w:val="16161A"/>
          <w:sz w:val="21"/>
          <w:szCs w:val="21"/>
        </w:rPr>
        <w:t xml:space="preserve">packages/stats — Bayesian evaluator, sample-size and SRM calculators, visitor-assignment hash.</w:t>
      </w:r>
    </w:p>
    <w:p>
      <w:pPr>
        <w:pStyle w:val="ListParagraph"/>
        <w:numPr>
          <w:ilvl w:val="0"/>
          <w:numId w:val="2"/>
        </w:numPr>
        <w:spacing w:after="80" w:line="276"/>
      </w:pPr>
      <w:r>
        <w:rPr>
          <w:rFonts w:ascii="Calibri" w:cs="Calibri" w:eastAsia="Calibri" w:hAnsi="Calibri"/>
          <w:color w:val="16161A"/>
          <w:sz w:val="21"/>
          <w:szCs w:val="21"/>
        </w:rPr>
        <w:t xml:space="preserve">packages/memory — Campaign Memory retrieval (local hashed bag-of-words embedding with cosine similarity).</w:t>
      </w:r>
    </w:p>
    <w:p>
      <w:pPr>
        <w:pStyle w:val="ListParagraph"/>
        <w:numPr>
          <w:ilvl w:val="0"/>
          <w:numId w:val="2"/>
        </w:numPr>
        <w:spacing w:after="80" w:line="276"/>
      </w:pPr>
      <w:r>
        <w:rPr>
          <w:rFonts w:ascii="Calibri" w:cs="Calibri" w:eastAsia="Calibri" w:hAnsi="Calibri"/>
          <w:color w:val="16161A"/>
          <w:sz w:val="21"/>
          <w:szCs w:val="21"/>
        </w:rPr>
        <w:t xml:space="preserve">packages/model-gateway — the Claude access layer with cost metering.</w:t>
      </w:r>
    </w:p>
    <w:p>
      <w:pPr>
        <w:pStyle w:val="ListParagraph"/>
        <w:numPr>
          <w:ilvl w:val="0"/>
          <w:numId w:val="2"/>
        </w:numPr>
        <w:spacing w:after="80" w:line="276"/>
      </w:pPr>
      <w:r>
        <w:rPr>
          <w:rFonts w:ascii="Calibri" w:cs="Calibri" w:eastAsia="Calibri" w:hAnsi="Calibri"/>
          <w:color w:val="16161A"/>
          <w:sz w:val="21"/>
          <w:szCs w:val="21"/>
        </w:rPr>
        <w:t xml:space="preserve">packages/agents/* — six specialist agents: orchestrator, planner, content, experiment, analytics, and site-experiment.</w:t>
      </w:r>
    </w:p>
    <w:p>
      <w:pPr>
        <w:pStyle w:val="Heading2"/>
        <w:spacing w:after="120" w:before="260"/>
      </w:pPr>
      <w:r>
        <w:rPr>
          <w:rFonts w:ascii="Calibri" w:cs="Calibri" w:eastAsia="Calibri" w:hAnsi="Calibri"/>
          <w:b/>
          <w:bCs/>
          <w:color w:val="16161A"/>
          <w:sz w:val="24"/>
          <w:szCs w:val="24"/>
        </w:rPr>
        <w:t xml:space="preserve">6.3 What was delivered, slice by slice</w:t>
      </w:r>
    </w:p>
    <w:p>
      <w:pPr>
        <w:pStyle w:val="Heading3"/>
        <w:spacing w:after="100" w:before="200"/>
      </w:pPr>
      <w:r>
        <w:rPr>
          <w:rFonts w:ascii="Calibri" w:cs="Calibri" w:eastAsia="Calibri" w:hAnsi="Calibri"/>
          <w:b/>
          <w:bCs/>
          <w:color w:val="F04E10"/>
          <w:sz w:val="22"/>
          <w:szCs w:val="22"/>
        </w:rPr>
        <w:t xml:space="preserve">AI campaign generation (Phase 1)</w:t>
      </w:r>
    </w:p>
    <w:p>
      <w:pPr>
        <w:spacing w:after="120" w:line="276"/>
      </w:pPr>
      <w:r>
        <w:rPr>
          <w:rFonts w:ascii="Calibri" w:cs="Calibri" w:eastAsia="Calibri" w:hAnsi="Calibri"/>
          <w:color w:val="16161A"/>
          <w:sz w:val="21"/>
          <w:szCs w:val="21"/>
        </w:rPr>
        <w:t xml:space="preserve">A marketer submits an intent with objective, primary metric, audience and budget. The Planner and Content agents generate a structured brief, a campaign strategy, and a landing page built from typed, schema-validated content blocks — never raw HTML from the model. Every AI action is logged with model, prompt version and token cost.</w:t>
      </w:r>
    </w:p>
    <w:p>
      <w:pPr>
        <w:pStyle w:val="Heading3"/>
        <w:spacing w:after="100" w:before="200"/>
      </w:pPr>
      <w:r>
        <w:rPr>
          <w:rFonts w:ascii="Calibri" w:cs="Calibri" w:eastAsia="Calibri" w:hAnsi="Calibri"/>
          <w:b/>
          <w:bCs/>
          <w:color w:val="F04E10"/>
          <w:sz w:val="22"/>
          <w:szCs w:val="22"/>
        </w:rPr>
        <w:t xml:space="preserve">Experiment Studio and the statistics engine (Phase 2 Slice 1)</w:t>
      </w:r>
    </w:p>
    <w:p>
      <w:pPr>
        <w:spacing w:after="120" w:line="276"/>
      </w:pPr>
      <w:r>
        <w:rPr>
          <w:rFonts w:ascii="Calibri" w:cs="Calibri" w:eastAsia="Calibri" w:hAnsi="Calibri"/>
          <w:color w:val="16161A"/>
          <w:sz w:val="21"/>
          <w:szCs w:val="21"/>
        </w:rPr>
        <w:t xml:space="preserve">The Experiment agent proposes a hypothesis, guardrail metrics and block-level variants for an existing page. Before launch, the engine computes a required minimum sample size. Results are read out with a Bayesian probability-of-being-best and a credible interval, plus an SRM check that blocks concluding an experiment on a broken traffic split. Peeking without correction, ignoring a failed SRM check, and promoting on raw uplift were all treated as release blockers.</w:t>
      </w:r>
    </w:p>
    <w:p>
      <w:pPr>
        <w:pStyle w:val="Heading3"/>
        <w:spacing w:after="100" w:before="200"/>
      </w:pPr>
      <w:r>
        <w:rPr>
          <w:rFonts w:ascii="Calibri" w:cs="Calibri" w:eastAsia="Calibri" w:hAnsi="Calibri"/>
          <w:b/>
          <w:bCs/>
          <w:color w:val="F04E10"/>
          <w:sz w:val="22"/>
          <w:szCs w:val="22"/>
        </w:rPr>
        <w:t xml:space="preserve">Live delivery and real traffic (Phase 2 Slice 2)</w:t>
      </w:r>
    </w:p>
    <w:p>
      <w:pPr>
        <w:spacing w:after="120" w:line="276"/>
      </w:pPr>
      <w:r>
        <w:rPr>
          <w:rFonts w:ascii="Calibri" w:cs="Calibri" w:eastAsia="Calibri" w:hAnsi="Calibri"/>
          <w:color w:val="16161A"/>
          <w:sz w:val="21"/>
          <w:szCs w:val="21"/>
        </w:rPr>
        <w:t xml:space="preserve">For campaigns authored in IntentFlow, a visitor's variant is decided server-side before any HTML is sent — true zero-flicker. Assignment is deterministic and sticky per visitor, and every exposure and conversion is a real, idempotent database event.</w:t>
      </w:r>
    </w:p>
    <w:p>
      <w:pPr>
        <w:pStyle w:val="Heading3"/>
        <w:spacing w:after="100" w:before="200"/>
      </w:pPr>
      <w:r>
        <w:rPr>
          <w:rFonts w:ascii="Calibri" w:cs="Calibri" w:eastAsia="Calibri" w:hAnsi="Calibri"/>
          <w:b/>
          <w:bCs/>
          <w:color w:val="F04E10"/>
          <w:sz w:val="22"/>
          <w:szCs w:val="22"/>
        </w:rPr>
        <w:t xml:space="preserve">Analytics Copilot and Approvals (Phase 2 Slice 3)</w:t>
      </w:r>
    </w:p>
    <w:p>
      <w:pPr>
        <w:spacing w:after="120" w:line="276"/>
      </w:pPr>
      <w:r>
        <w:rPr>
          <w:rFonts w:ascii="Calibri" w:cs="Calibri" w:eastAsia="Calibri" w:hAnsi="Calibri"/>
          <w:color w:val="16161A"/>
          <w:sz w:val="21"/>
          <w:szCs w:val="21"/>
        </w:rPr>
        <w:t xml:space="preserve">A stakeholder can request a plain-language narrative of any experiment's real result with an explicit recommendation — promote, keep running, inconclusive, or stop — grounded in the actual statistical evaluation and never fabricated. A single Approvals queue aggregates every pending decision across every campaign.</w:t>
      </w:r>
    </w:p>
    <w:p>
      <w:pPr>
        <w:pStyle w:val="Heading3"/>
        <w:spacing w:after="100" w:before="200"/>
      </w:pPr>
      <w:r>
        <w:rPr>
          <w:rFonts w:ascii="Calibri" w:cs="Calibri" w:eastAsia="Calibri" w:hAnsi="Calibri"/>
          <w:b/>
          <w:bCs/>
          <w:color w:val="F04E10"/>
          <w:sz w:val="22"/>
          <w:szCs w:val="22"/>
        </w:rPr>
        <w:t xml:space="preserve">Site Experiments (Phase 2 Slice 4) — the strategic addition</w:t>
      </w:r>
    </w:p>
    <w:p>
      <w:pPr>
        <w:spacing w:after="120" w:line="276"/>
      </w:pPr>
      <w:r>
        <w:rPr>
          <w:rFonts w:ascii="Calibri" w:cs="Calibri" w:eastAsia="Calibri" w:hAnsi="Calibri"/>
          <w:color w:val="16161A"/>
          <w:sz w:val="21"/>
          <w:szCs w:val="21"/>
        </w:rPr>
        <w:t xml:space="preserve">The largest capability added in this cycle, and the one with the most interesting tradeoff. A customer whose campaign lives on WordPress, Webflow or anything else installs one script tag and can immediately start testing — no CMS migration. The marketer selects elements by clicking them on their own live site using the visual picker, the same class of AI proposes the hypothesis and variants, and the same Bayesian engine and Analytics Copilot produce the read-out.</w:t>
      </w:r>
    </w:p>
    <w:p>
      <w:pPr>
        <w:spacing w:after="120" w:line="276"/>
      </w:pPr>
      <w:r>
        <w:rPr>
          <w:rFonts w:ascii="Calibri" w:cs="Calibri" w:eastAsia="Calibri" w:hAnsi="Calibri"/>
          <w:color w:val="16161A"/>
          <w:sz w:val="21"/>
          <w:szCs w:val="21"/>
        </w:rPr>
        <w:t xml:space="preserve">This deliberately trades a narrow slice of the authoring-native differentiator, and the trade was reasoned and recorded rather than drifted into:</w:t>
      </w:r>
    </w:p>
    <w:p>
      <w:pPr>
        <w:pStyle w:val="ListParagraph"/>
        <w:numPr>
          <w:ilvl w:val="0"/>
          <w:numId w:val="2"/>
        </w:numPr>
        <w:spacing w:after="80" w:line="276"/>
      </w:pPr>
      <w:r>
        <w:rPr>
          <w:rFonts w:ascii="Calibri" w:cs="Calibri" w:eastAsia="Calibri" w:hAnsi="Calibri"/>
          <w:color w:val="16161A"/>
          <w:sz w:val="21"/>
          <w:szCs w:val="21"/>
        </w:rPr>
        <w:t xml:space="preserve">It widens the market by removing the CMS-migration barrier, and gives IntentFlow a foothold from which to later win the CMS sale.</w:t>
      </w:r>
    </w:p>
    <w:p>
      <w:pPr>
        <w:pStyle w:val="ListParagraph"/>
        <w:numPr>
          <w:ilvl w:val="0"/>
          <w:numId w:val="2"/>
        </w:numPr>
        <w:spacing w:after="80" w:line="276"/>
      </w:pPr>
      <w:r>
        <w:rPr>
          <w:rFonts w:ascii="Calibri" w:cs="Calibri" w:eastAsia="Calibri" w:hAnsi="Calibri"/>
          <w:color w:val="16161A"/>
          <w:sz w:val="21"/>
          <w:szCs w:val="21"/>
        </w:rPr>
        <w:t xml:space="preserve">It costs a small amount of the zero-flicker promise on this surface only — a brief flash of original content is possible on first view, because a script inside someone else's page cannot beat the browser to first paint. Campaigns authored inside IntentFlow are unaffected.</w:t>
      </w:r>
    </w:p>
    <w:p>
      <w:pPr>
        <w:pStyle w:val="ListParagraph"/>
        <w:numPr>
          <w:ilvl w:val="0"/>
          <w:numId w:val="2"/>
        </w:numPr>
        <w:spacing w:after="80" w:line="276"/>
      </w:pPr>
      <w:r>
        <w:rPr>
          <w:rFonts w:ascii="Calibri" w:cs="Calibri" w:eastAsia="Calibri" w:hAnsi="Calibri"/>
          <w:color w:val="16161A"/>
          <w:sz w:val="21"/>
          <w:szCs w:val="21"/>
        </w:rPr>
        <w:t xml:space="preserve">It ships with real safety limits: a variant may only apply a closed set of safe operations (change text, change one attribute, change one style, hide an element). There is no path for a variant to run arbitrary code on a customer's site, and any HTML a variant writes is sanitized at write time. The URL matcher is a bounded glob, never user-supplied regex, to avoid ReDoS.</w:t>
      </w:r>
    </w:p>
    <w:p>
      <w:pPr>
        <w:pStyle w:val="ListParagraph"/>
        <w:numPr>
          <w:ilvl w:val="0"/>
          <w:numId w:val="2"/>
        </w:numPr>
        <w:spacing w:after="80" w:line="276"/>
      </w:pPr>
      <w:r>
        <w:rPr>
          <w:rFonts w:ascii="Calibri" w:cs="Calibri" w:eastAsia="Calibri" w:hAnsi="Calibri"/>
          <w:color w:val="16161A"/>
          <w:sz w:val="21"/>
          <w:szCs w:val="21"/>
        </w:rPr>
        <w:t xml:space="preserve">It does not yet feed Campaign Memory — so the compounding-learning promise does not extend to this surface. Stated plainly rather than implied otherwise.</w:t>
      </w:r>
    </w:p>
    <w:p>
      <w:pPr>
        <w:pStyle w:val="Heading3"/>
        <w:spacing w:after="100" w:before="200"/>
      </w:pPr>
      <w:r>
        <w:rPr>
          <w:rFonts w:ascii="Calibri" w:cs="Calibri" w:eastAsia="Calibri" w:hAnsi="Calibri"/>
          <w:b/>
          <w:bCs/>
          <w:color w:val="F04E10"/>
          <w:sz w:val="22"/>
          <w:szCs w:val="22"/>
        </w:rPr>
        <w:t xml:space="preserve">Campaign Memory (Phase 3 Slice 1)</w:t>
      </w:r>
    </w:p>
    <w:p>
      <w:pPr>
        <w:spacing w:after="120" w:line="276"/>
      </w:pPr>
      <w:r>
        <w:rPr>
          <w:rFonts w:ascii="Calibri" w:cs="Calibri" w:eastAsia="Calibri" w:hAnsi="Calibri"/>
          <w:color w:val="16161A"/>
          <w:sz w:val="21"/>
          <w:szCs w:val="21"/>
        </w:rPr>
        <w:t xml:space="preserve">Every concluded experiment automatically writes a retrievable learning. When a new campaign or experiment is generated, the Planner and Experiment agents retrieve the most similar past learnings by real similarity search and are instructed to cite them where they genuinely apply — the mechanism by which the tenth campaign a customer runs is measurably informed by the third.</w:t>
      </w:r>
    </w:p>
    <w:p>
      <w:pPr>
        <w:pStyle w:val="Heading3"/>
        <w:spacing w:after="100" w:before="200"/>
      </w:pPr>
      <w:r>
        <w:rPr>
          <w:rFonts w:ascii="Calibri" w:cs="Calibri" w:eastAsia="Calibri" w:hAnsi="Calibri"/>
          <w:b/>
          <w:bCs/>
          <w:color w:val="F04E10"/>
          <w:sz w:val="22"/>
          <w:szCs w:val="22"/>
        </w:rPr>
        <w:t xml:space="preserve">Users, Roles and RBAC (Phase 3 Slice 2)</w:t>
      </w:r>
    </w:p>
    <w:p>
      <w:pPr>
        <w:spacing w:after="120" w:line="276"/>
      </w:pPr>
      <w:r>
        <w:rPr>
          <w:rFonts w:ascii="Calibri" w:cs="Calibri" w:eastAsia="Calibri" w:hAnsi="Calibri"/>
          <w:color w:val="16161A"/>
          <w:sz w:val="21"/>
          <w:szCs w:val="21"/>
        </w:rPr>
        <w:t xml:space="preserve">Five roles — owner, admin, editor, reviewer, viewer — are enforced on every request to every endpoint, including Site Experiments. Critically, the model separates authoring from approving: an editor can draft a campaign or experiment but cannot launch it or promote a winner; a reviewer can approve and promote but cannot author the thing they are approving. This is what turns the human-in-the-loop promise into an actual control rather than a UI convention, and it directly answers the governance objection that defines Sarah's persona.</w:t>
      </w:r>
    </w:p>
    <w:p>
      <w:pPr>
        <w:pStyle w:val="Heading2"/>
        <w:spacing w:after="120" w:before="260"/>
      </w:pPr>
      <w:r>
        <w:rPr>
          <w:rFonts w:ascii="Calibri" w:cs="Calibri" w:eastAsia="Calibri" w:hAnsi="Calibri"/>
          <w:b/>
          <w:bCs/>
          <w:color w:val="16161A"/>
          <w:sz w:val="24"/>
          <w:szCs w:val="24"/>
        </w:rPr>
        <w:t xml:space="preserve">6.4 Notable engineering decisions</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8400"/>
      </w:tblGrid>
      <w:tr>
        <w:trPr>
          <w:tblHeader/>
        </w:trPr>
        <w:tc>
          <w:tcPr>
            <w:tcW w:type="dxa" w:w="9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ADR</w:t>
            </w:r>
          </w:p>
        </w:tc>
        <w:tc>
          <w:tcPr>
            <w:tcW w:type="dxa" w:w="84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Decision</w:t>
            </w:r>
          </w:p>
        </w:tc>
      </w:tr>
      <w:tr>
        <w:tc>
          <w:tcPr>
            <w:tcW w:type="dxa" w:w="900"/>
            <w:tcMar>
              <w:top w:type="dxa" w:w="80"/>
              <w:left w:type="dxa" w:w="120"/>
              <w:bottom w:type="dxa" w:w="80"/>
              <w:right w:type="dxa" w:w="120"/>
            </w:tcMar>
          </w:tcPr>
          <w:p>
            <w:pPr>
              <w:spacing w:after="0"/>
            </w:pPr>
            <w:r>
              <w:rPr>
                <w:rFonts w:ascii="Calibri" w:cs="Calibri" w:eastAsia="Calibri" w:hAnsi="Calibri"/>
                <w:color w:val="16161A"/>
                <w:sz w:val="19"/>
                <w:szCs w:val="19"/>
              </w:rPr>
              <w:t xml:space="preserve">0001</w:t>
            </w:r>
          </w:p>
        </w:tc>
        <w:tc>
          <w:tcPr>
            <w:tcW w:type="dxa" w:w="8400"/>
            <w:tcMar>
              <w:top w:type="dxa" w:w="80"/>
              <w:left w:type="dxa" w:w="120"/>
              <w:bottom w:type="dxa" w:w="80"/>
              <w:right w:type="dxa" w:w="120"/>
            </w:tcMar>
          </w:tcPr>
          <w:p>
            <w:pPr>
              <w:spacing w:after="0"/>
            </w:pPr>
            <w:r>
              <w:rPr>
                <w:rFonts w:ascii="Calibri" w:cs="Calibri" w:eastAsia="Calibri" w:hAnsi="Calibri"/>
                <w:color w:val="16161A"/>
                <w:sz w:val="19"/>
                <w:szCs w:val="19"/>
              </w:rPr>
              <w:t xml:space="preserve">Phase 1 runs as a local SQLite prototype, kept Postgres-schema-compatible, to avoid building production infrastructure before the core loop was proven.</w:t>
            </w:r>
          </w:p>
        </w:tc>
      </w:tr>
      <w:tr>
        <w:tc>
          <w:tcPr>
            <w:tcW w:type="dxa" w:w="900"/>
            <w:tcMar>
              <w:top w:type="dxa" w:w="80"/>
              <w:left w:type="dxa" w:w="120"/>
              <w:bottom w:type="dxa" w:w="80"/>
              <w:right w:type="dxa" w:w="120"/>
            </w:tcMar>
          </w:tcPr>
          <w:p>
            <w:pPr>
              <w:spacing w:after="0"/>
            </w:pPr>
            <w:r>
              <w:rPr>
                <w:rFonts w:ascii="Calibri" w:cs="Calibri" w:eastAsia="Calibri" w:hAnsi="Calibri"/>
                <w:color w:val="16161A"/>
                <w:sz w:val="19"/>
                <w:szCs w:val="19"/>
              </w:rPr>
              <w:t xml:space="preserve">0002</w:t>
            </w:r>
          </w:p>
        </w:tc>
        <w:tc>
          <w:tcPr>
            <w:tcW w:type="dxa" w:w="8400"/>
            <w:tcMar>
              <w:top w:type="dxa" w:w="80"/>
              <w:left w:type="dxa" w:w="120"/>
              <w:bottom w:type="dxa" w:w="80"/>
              <w:right w:type="dxa" w:w="120"/>
            </w:tcMar>
          </w:tcPr>
          <w:p>
            <w:pPr>
              <w:spacing w:after="0"/>
            </w:pPr>
            <w:r>
              <w:rPr>
                <w:rFonts w:ascii="Calibri" w:cs="Calibri" w:eastAsia="Calibri" w:hAnsi="Calibri"/>
                <w:color w:val="16161A"/>
                <w:sz w:val="19"/>
                <w:szCs w:val="19"/>
              </w:rPr>
              <w:t xml:space="preserve">Experiment Studio ships with manually-entered results before a live delivery layer exists, so the statistics engine has real numbers to read out.</w:t>
            </w:r>
          </w:p>
        </w:tc>
      </w:tr>
      <w:tr>
        <w:tc>
          <w:tcPr>
            <w:tcW w:type="dxa" w:w="900"/>
            <w:tcMar>
              <w:top w:type="dxa" w:w="80"/>
              <w:left w:type="dxa" w:w="120"/>
              <w:bottom w:type="dxa" w:w="80"/>
              <w:right w:type="dxa" w:w="120"/>
            </w:tcMar>
          </w:tcPr>
          <w:p>
            <w:pPr>
              <w:spacing w:after="0"/>
            </w:pPr>
            <w:r>
              <w:rPr>
                <w:rFonts w:ascii="Calibri" w:cs="Calibri" w:eastAsia="Calibri" w:hAnsi="Calibri"/>
                <w:color w:val="16161A"/>
                <w:sz w:val="19"/>
                <w:szCs w:val="19"/>
              </w:rPr>
              <w:t xml:space="preserve">0003</w:t>
            </w:r>
          </w:p>
        </w:tc>
        <w:tc>
          <w:tcPr>
            <w:tcW w:type="dxa" w:w="8400"/>
            <w:tcMar>
              <w:top w:type="dxa" w:w="80"/>
              <w:left w:type="dxa" w:w="120"/>
              <w:bottom w:type="dxa" w:w="80"/>
              <w:right w:type="dxa" w:w="120"/>
            </w:tcMar>
          </w:tcPr>
          <w:p>
            <w:pPr>
              <w:spacing w:after="0"/>
            </w:pPr>
            <w:r>
              <w:rPr>
                <w:rFonts w:ascii="Calibri" w:cs="Calibri" w:eastAsia="Calibri" w:hAnsi="Calibri"/>
                <w:color w:val="16161A"/>
                <w:sz w:val="19"/>
                <w:szCs w:val="19"/>
              </w:rPr>
              <w:t xml:space="preserve">Delivery lives inside the web app with deterministic hash-based visitor assignment and idempotent exposure/conversion rows — no separate delivery service or CDN yet.</w:t>
            </w:r>
          </w:p>
        </w:tc>
      </w:tr>
      <w:tr>
        <w:tc>
          <w:tcPr>
            <w:tcW w:type="dxa" w:w="900"/>
            <w:tcMar>
              <w:top w:type="dxa" w:w="80"/>
              <w:left w:type="dxa" w:w="120"/>
              <w:bottom w:type="dxa" w:w="80"/>
              <w:right w:type="dxa" w:w="120"/>
            </w:tcMar>
          </w:tcPr>
          <w:p>
            <w:pPr>
              <w:spacing w:after="0"/>
            </w:pPr>
            <w:r>
              <w:rPr>
                <w:rFonts w:ascii="Calibri" w:cs="Calibri" w:eastAsia="Calibri" w:hAnsi="Calibri"/>
                <w:color w:val="16161A"/>
                <w:sz w:val="19"/>
                <w:szCs w:val="19"/>
              </w:rPr>
              <w:t xml:space="preserve">0004</w:t>
            </w:r>
          </w:p>
        </w:tc>
        <w:tc>
          <w:tcPr>
            <w:tcW w:type="dxa" w:w="8400"/>
            <w:tcMar>
              <w:top w:type="dxa" w:w="80"/>
              <w:left w:type="dxa" w:w="120"/>
              <w:bottom w:type="dxa" w:w="80"/>
              <w:right w:type="dxa" w:w="120"/>
            </w:tcMar>
          </w:tcPr>
          <w:p>
            <w:pPr>
              <w:spacing w:after="0"/>
            </w:pPr>
            <w:r>
              <w:rPr>
                <w:rFonts w:ascii="Calibri" w:cs="Calibri" w:eastAsia="Calibri" w:hAnsi="Calibri"/>
                <w:color w:val="16161A"/>
                <w:sz w:val="19"/>
                <w:szCs w:val="19"/>
              </w:rPr>
              <w:t xml:space="preserve">Insights and Approvals are read aggregations over existing data, not a new persisted approval entity with reviewer history.</w:t>
            </w:r>
          </w:p>
        </w:tc>
      </w:tr>
      <w:tr>
        <w:tc>
          <w:tcPr>
            <w:tcW w:type="dxa" w:w="900"/>
            <w:tcMar>
              <w:top w:type="dxa" w:w="80"/>
              <w:left w:type="dxa" w:w="120"/>
              <w:bottom w:type="dxa" w:w="80"/>
              <w:right w:type="dxa" w:w="120"/>
            </w:tcMar>
          </w:tcPr>
          <w:p>
            <w:pPr>
              <w:spacing w:after="0"/>
            </w:pPr>
            <w:r>
              <w:rPr>
                <w:rFonts w:ascii="Calibri" w:cs="Calibri" w:eastAsia="Calibri" w:hAnsi="Calibri"/>
                <w:color w:val="16161A"/>
                <w:sz w:val="19"/>
                <w:szCs w:val="19"/>
              </w:rPr>
              <w:t xml:space="preserve">0005</w:t>
            </w:r>
          </w:p>
        </w:tc>
        <w:tc>
          <w:tcPr>
            <w:tcW w:type="dxa" w:w="8400"/>
            <w:tcMar>
              <w:top w:type="dxa" w:w="80"/>
              <w:left w:type="dxa" w:w="120"/>
              <w:bottom w:type="dxa" w:w="80"/>
              <w:right w:type="dxa" w:w="120"/>
            </w:tcMar>
          </w:tcPr>
          <w:p>
            <w:pPr>
              <w:spacing w:after="0"/>
            </w:pPr>
            <w:r>
              <w:rPr>
                <w:rFonts w:ascii="Calibri" w:cs="Calibri" w:eastAsia="Calibri" w:hAnsi="Calibri"/>
                <w:color w:val="16161A"/>
                <w:sz w:val="19"/>
                <w:szCs w:val="19"/>
              </w:rPr>
              <w:t xml:space="preserve">Campaign Memory uses a local hashed bag-of-words vector with cosine similarity rather than a hosted vector database — appropriate to prototype scale.</w:t>
            </w:r>
          </w:p>
        </w:tc>
      </w:tr>
      <w:tr>
        <w:tc>
          <w:tcPr>
            <w:tcW w:type="dxa" w:w="900"/>
            <w:tcMar>
              <w:top w:type="dxa" w:w="80"/>
              <w:left w:type="dxa" w:w="120"/>
              <w:bottom w:type="dxa" w:w="80"/>
              <w:right w:type="dxa" w:w="120"/>
            </w:tcMar>
          </w:tcPr>
          <w:p>
            <w:pPr>
              <w:spacing w:after="0"/>
            </w:pPr>
            <w:r>
              <w:rPr>
                <w:rFonts w:ascii="Calibri" w:cs="Calibri" w:eastAsia="Calibri" w:hAnsi="Calibri"/>
                <w:color w:val="16161A"/>
                <w:sz w:val="19"/>
                <w:szCs w:val="19"/>
              </w:rPr>
              <w:t xml:space="preserve">0006</w:t>
            </w:r>
          </w:p>
        </w:tc>
        <w:tc>
          <w:tcPr>
            <w:tcW w:type="dxa" w:w="8400"/>
            <w:tcMar>
              <w:top w:type="dxa" w:w="80"/>
              <w:left w:type="dxa" w:w="120"/>
              <w:bottom w:type="dxa" w:w="80"/>
              <w:right w:type="dxa" w:w="120"/>
            </w:tcMar>
          </w:tcPr>
          <w:p>
            <w:pPr>
              <w:spacing w:after="0"/>
            </w:pPr>
            <w:r>
              <w:rPr>
                <w:rFonts w:ascii="Calibri" w:cs="Calibri" w:eastAsia="Calibri" w:hAnsi="Calibri"/>
                <w:color w:val="16161A"/>
                <w:sz w:val="19"/>
                <w:szCs w:val="19"/>
              </w:rPr>
              <w:t xml:space="preserve">Site Experiments via a JS snippet — explicitly reasoned against the authoring-native differentiator, scoped and safety-limited, with flicker described as mitigated rather than eliminated.</w:t>
            </w:r>
          </w:p>
        </w:tc>
      </w:tr>
      <w:tr>
        <w:tc>
          <w:tcPr>
            <w:tcW w:type="dxa" w:w="900"/>
            <w:tcMar>
              <w:top w:type="dxa" w:w="80"/>
              <w:left w:type="dxa" w:w="120"/>
              <w:bottom w:type="dxa" w:w="80"/>
              <w:right w:type="dxa" w:w="120"/>
            </w:tcMar>
          </w:tcPr>
          <w:p>
            <w:pPr>
              <w:spacing w:after="0"/>
            </w:pPr>
            <w:r>
              <w:rPr>
                <w:rFonts w:ascii="Calibri" w:cs="Calibri" w:eastAsia="Calibri" w:hAnsi="Calibri"/>
                <w:color w:val="16161A"/>
                <w:sz w:val="19"/>
                <w:szCs w:val="19"/>
              </w:rPr>
              <w:t xml:space="preserve">0007</w:t>
            </w:r>
          </w:p>
        </w:tc>
        <w:tc>
          <w:tcPr>
            <w:tcW w:type="dxa" w:w="8400"/>
            <w:tcMar>
              <w:top w:type="dxa" w:w="80"/>
              <w:left w:type="dxa" w:w="120"/>
              <w:bottom w:type="dxa" w:w="80"/>
              <w:right w:type="dxa" w:w="120"/>
            </w:tcMar>
          </w:tcPr>
          <w:p>
            <w:pPr>
              <w:spacing w:after="0"/>
            </w:pPr>
            <w:r>
              <w:rPr>
                <w:rFonts w:ascii="Calibri" w:cs="Calibri" w:eastAsia="Calibri" w:hAnsi="Calibri"/>
                <w:color w:val="16161A"/>
                <w:sz w:val="19"/>
                <w:szCs w:val="19"/>
              </w:rPr>
              <w:t xml:space="preserve">Five fixed roles with one shared permission matrix used by both server guard and UI; cross-tenant access returns 404, never 403, so it cannot leak that a resource exists. Authentication is explicitly a placeholder.</w:t>
            </w:r>
          </w:p>
        </w:tc>
      </w:tr>
    </w:tbl>
    <w:p>
      <w:pPr>
        <w:spacing w:after="120"/>
      </w:pPr>
      <w:r>
        <w:rPr>
          <w:sz w:val="12"/>
          <w:szCs w:val="12"/>
        </w:rPr>
        <w:t xml:space="preserve"/>
      </w:r>
    </w:p>
    <w:p>
      <w:pPr>
        <w:spacing w:after="120" w:line="276"/>
      </w:pPr>
      <w:r>
        <w:rPr>
          <w:rFonts w:ascii="Calibri" w:cs="Calibri" w:eastAsia="Calibri" w:hAnsi="Calibri"/>
          <w:color w:val="16161A"/>
          <w:sz w:val="21"/>
          <w:szCs w:val="21"/>
        </w:rPr>
        <w:t xml:space="preserve">Two modelling decisions are worth naming because they were contested. Native experiments and site experiments are kept as two separate model trees rather than one polymorphic table, because a native variant is a validated block-JSON patch and a site variant is a typed DOM operation against markup we do not own; forcing them together would mean nullable foreign keys and branching logic through five shipped slices. Conversely, the AI audit trail is deliberately polymorphic across both surfaces, so governance never requires a UNION query.</w:t>
      </w:r>
    </w:p>
    <w:p>
      <w:pPr>
        <w:pStyle w:val="Heading2"/>
        <w:spacing w:after="120" w:before="260"/>
      </w:pPr>
      <w:r>
        <w:rPr>
          <w:rFonts w:ascii="Calibri" w:cs="Calibri" w:eastAsia="Calibri" w:hAnsi="Calibri"/>
          <w:b/>
          <w:bCs/>
          <w:color w:val="16161A"/>
          <w:sz w:val="24"/>
          <w:szCs w:val="24"/>
        </w:rPr>
        <w:t xml:space="preserve">6.5 Quality assurance — and what testing caught that review did not</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1800"/>
      </w:tblGrid>
      <w:tr>
        <w:trPr>
          <w:tblHeader/>
        </w:trPr>
        <w:tc>
          <w:tcPr>
            <w:tcW w:type="dxa" w:w="20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Layer</w:t>
            </w:r>
          </w:p>
        </w:tc>
        <w:tc>
          <w:tcPr>
            <w:tcW w:type="dxa" w:w="55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What it proves</w:t>
            </w:r>
          </w:p>
        </w:tc>
        <w:tc>
          <w:tcPr>
            <w:tcW w:type="dxa" w:w="18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Count</w:t>
            </w:r>
          </w:p>
        </w:tc>
      </w:tr>
      <w:tr>
        <w:tc>
          <w:tcPr>
            <w:tcW w:type="dxa" w:w="2000"/>
            <w:tcMar>
              <w:top w:type="dxa" w:w="80"/>
              <w:left w:type="dxa" w:w="120"/>
              <w:bottom w:type="dxa" w:w="80"/>
              <w:right w:type="dxa" w:w="120"/>
            </w:tcMar>
          </w:tcPr>
          <w:p>
            <w:pPr>
              <w:spacing w:after="0"/>
            </w:pPr>
            <w:r>
              <w:rPr>
                <w:rFonts w:ascii="Calibri" w:cs="Calibri" w:eastAsia="Calibri" w:hAnsi="Calibri"/>
                <w:color w:val="16161A"/>
                <w:sz w:val="19"/>
                <w:szCs w:val="19"/>
              </w:rPr>
              <w:t xml:space="preserve">Unit tests</w:t>
            </w:r>
          </w:p>
        </w:tc>
        <w:tc>
          <w:tcPr>
            <w:tcW w:type="dxa" w:w="5500"/>
            <w:tcMar>
              <w:top w:type="dxa" w:w="80"/>
              <w:left w:type="dxa" w:w="120"/>
              <w:bottom w:type="dxa" w:w="80"/>
              <w:right w:type="dxa" w:w="120"/>
            </w:tcMar>
          </w:tcPr>
          <w:p>
            <w:pPr>
              <w:spacing w:after="0"/>
            </w:pPr>
            <w:r>
              <w:rPr>
                <w:rFonts w:ascii="Calibri" w:cs="Calibri" w:eastAsia="Calibri" w:hAnsi="Calibri"/>
                <w:color w:val="16161A"/>
                <w:sz w:val="19"/>
                <w:szCs w:val="19"/>
              </w:rPr>
              <w:t xml:space="preserve">Statistics engine, permission matrix, URL matching, HTML sanitization, content-block validation</w:t>
            </w:r>
          </w:p>
        </w:tc>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84 passing</w:t>
            </w:r>
          </w:p>
        </w:tc>
      </w:tr>
      <w:tr>
        <w:tc>
          <w:tcPr>
            <w:tcW w:type="dxa" w:w="2000"/>
            <w:tcMar>
              <w:top w:type="dxa" w:w="80"/>
              <w:left w:type="dxa" w:w="120"/>
              <w:bottom w:type="dxa" w:w="80"/>
              <w:right w:type="dxa" w:w="120"/>
            </w:tcMar>
          </w:tcPr>
          <w:p>
            <w:pPr>
              <w:spacing w:after="0"/>
            </w:pPr>
            <w:r>
              <w:rPr>
                <w:rFonts w:ascii="Calibri" w:cs="Calibri" w:eastAsia="Calibri" w:hAnsi="Calibri"/>
                <w:color w:val="16161A"/>
                <w:sz w:val="19"/>
                <w:szCs w:val="19"/>
              </w:rPr>
              <w:t xml:space="preserve">API end-to-end</w:t>
            </w:r>
          </w:p>
        </w:tc>
        <w:tc>
          <w:tcPr>
            <w:tcW w:type="dxa" w:w="5500"/>
            <w:tcMar>
              <w:top w:type="dxa" w:w="80"/>
              <w:left w:type="dxa" w:w="120"/>
              <w:bottom w:type="dxa" w:w="80"/>
              <w:right w:type="dxa" w:w="120"/>
            </w:tcMar>
          </w:tcPr>
          <w:p>
            <w:pPr>
              <w:spacing w:after="0"/>
            </w:pPr>
            <w:r>
              <w:rPr>
                <w:rFonts w:ascii="Calibri" w:cs="Calibri" w:eastAsia="Calibri" w:hAnsi="Calibri"/>
                <w:color w:val="16161A"/>
                <w:sz w:val="19"/>
                <w:szCs w:val="19"/>
              </w:rPr>
              <w:t xml:space="preserve">Real HTTP against a running server with a real database — every role, every permission, cross-tenant isolation, session forgery resistance</w:t>
            </w:r>
          </w:p>
        </w:tc>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44 passing</w:t>
            </w:r>
          </w:p>
        </w:tc>
      </w:tr>
      <w:tr>
        <w:tc>
          <w:tcPr>
            <w:tcW w:type="dxa" w:w="2000"/>
            <w:tcMar>
              <w:top w:type="dxa" w:w="80"/>
              <w:left w:type="dxa" w:w="120"/>
              <w:bottom w:type="dxa" w:w="80"/>
              <w:right w:type="dxa" w:w="120"/>
            </w:tcMar>
          </w:tcPr>
          <w:p>
            <w:pPr>
              <w:spacing w:after="0"/>
            </w:pPr>
            <w:r>
              <w:rPr>
                <w:rFonts w:ascii="Calibri" w:cs="Calibri" w:eastAsia="Calibri" w:hAnsi="Calibri"/>
                <w:color w:val="16161A"/>
                <w:sz w:val="19"/>
                <w:szCs w:val="19"/>
              </w:rPr>
              <w:t xml:space="preserve">Browser end-to-end</w:t>
            </w:r>
          </w:p>
        </w:tc>
        <w:tc>
          <w:tcPr>
            <w:tcW w:type="dxa" w:w="5500"/>
            <w:tcMar>
              <w:top w:type="dxa" w:w="80"/>
              <w:left w:type="dxa" w:w="120"/>
              <w:bottom w:type="dxa" w:w="80"/>
              <w:right w:type="dxa" w:w="120"/>
            </w:tcMar>
          </w:tcPr>
          <w:p>
            <w:pPr>
              <w:spacing w:after="0"/>
            </w:pPr>
            <w:r>
              <w:rPr>
                <w:rFonts w:ascii="Calibri" w:cs="Calibri" w:eastAsia="Calibri" w:hAnsi="Calibri"/>
                <w:color w:val="16161A"/>
                <w:sz w:val="19"/>
                <w:szCs w:val="19"/>
              </w:rPr>
              <w:t xml:space="preserve">A real Chromium browser driving the site-experiment script against a simulated customer page — anti-flicker, cookie stickiness, conversion tracking, the picker</w:t>
            </w:r>
          </w:p>
        </w:tc>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16 passing</w:t>
            </w:r>
          </w:p>
        </w:tc>
      </w:tr>
      <w:tr>
        <w:tc>
          <w:tcPr>
            <w:tcW w:type="dxa" w:w="2000"/>
            <w:tcMar>
              <w:top w:type="dxa" w:w="80"/>
              <w:left w:type="dxa" w:w="120"/>
              <w:bottom w:type="dxa" w:w="80"/>
              <w:right w:type="dxa" w:w="120"/>
            </w:tcMar>
          </w:tcPr>
          <w:p>
            <w:pPr>
              <w:spacing w:after="0"/>
            </w:pPr>
            <w:r>
              <w:rPr>
                <w:rFonts w:ascii="Calibri" w:cs="Calibri" w:eastAsia="Calibri" w:hAnsi="Calibri"/>
                <w:color w:val="16161A"/>
                <w:sz w:val="19"/>
                <w:szCs w:val="19"/>
              </w:rPr>
              <w:t xml:space="preserve">UI role-gating</w:t>
            </w:r>
          </w:p>
        </w:tc>
        <w:tc>
          <w:tcPr>
            <w:tcW w:type="dxa" w:w="5500"/>
            <w:tcMar>
              <w:top w:type="dxa" w:w="80"/>
              <w:left w:type="dxa" w:w="120"/>
              <w:bottom w:type="dxa" w:w="80"/>
              <w:right w:type="dxa" w:w="120"/>
            </w:tcMar>
          </w:tcPr>
          <w:p>
            <w:pPr>
              <w:spacing w:after="0"/>
            </w:pPr>
            <w:r>
              <w:rPr>
                <w:rFonts w:ascii="Calibri" w:cs="Calibri" w:eastAsia="Calibri" w:hAnsi="Calibri"/>
                <w:color w:val="16161A"/>
                <w:sz w:val="19"/>
                <w:szCs w:val="19"/>
              </w:rPr>
              <w:t xml:space="preserve">The console actually hides actions a signed-in role cannot perform, mirroring the server</w:t>
            </w:r>
          </w:p>
        </w:tc>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24 passing</w:t>
            </w:r>
          </w:p>
        </w:tc>
      </w:tr>
    </w:tbl>
    <w:p>
      <w:pPr>
        <w:spacing w:after="120"/>
      </w:pPr>
      <w:r>
        <w:rPr>
          <w:sz w:val="12"/>
          <w:szCs w:val="12"/>
        </w:rPr>
        <w:t xml:space="preserve"/>
      </w:r>
    </w:p>
    <w:p>
      <w:pPr>
        <w:spacing w:after="120" w:line="276"/>
      </w:pPr>
      <w:r>
        <w:rPr>
          <w:rFonts w:ascii="Calibri" w:cs="Calibri" w:eastAsia="Calibri" w:hAnsi="Calibri"/>
          <w:color w:val="16161A"/>
          <w:sz w:val="21"/>
          <w:szCs w:val="21"/>
        </w:rPr>
        <w:t xml:space="preserve">Three defects were caught only because the features were exercised end to end rather than reviewed as static code. All three are fixed and covered by regression tests; they are reported here as evidence about process, not as a list of open faults — and specifically as evidence about the limits of reviewing AI-generated code by reading it.</w:t>
      </w:r>
    </w:p>
    <w:p>
      <w:pPr>
        <w:pStyle w:val="ListParagraph"/>
        <w:numPr>
          <w:ilvl w:val="0"/>
          <w:numId w:val="2"/>
        </w:numPr>
        <w:spacing w:after="80" w:line="276"/>
      </w:pPr>
      <w:r>
        <w:rPr>
          <w:rFonts w:ascii="Calibri" w:cs="Calibri" w:eastAsia="Calibri" w:hAnsi="Calibri"/>
          <w:color w:val="16161A"/>
          <w:sz w:val="21"/>
          <w:szCs w:val="21"/>
        </w:rPr>
        <w:t xml:space="preserve">A conversion-tracking call from the site snippet was silently rejected by the browser's security policy in a specific configuration. Every conversion event was being dropped. Nothing in the source looked wrong; only a real browser revealed it.</w:t>
      </w:r>
    </w:p>
    <w:p>
      <w:pPr>
        <w:pStyle w:val="ListParagraph"/>
        <w:numPr>
          <w:ilvl w:val="0"/>
          <w:numId w:val="2"/>
        </w:numPr>
        <w:spacing w:after="80" w:line="276"/>
      </w:pPr>
      <w:r>
        <w:rPr>
          <w:rFonts w:ascii="Calibri" w:cs="Calibri" w:eastAsia="Calibri" w:hAnsi="Calibri"/>
          <w:color w:val="16161A"/>
          <w:sz w:val="21"/>
          <w:szCs w:val="21"/>
        </w:rPr>
        <w:t xml:space="preserve">A missing await in the member-role-change path let a bug bypass its own safety check and temporarily locked every admin out of the workspace. Caught by running the actual permission suite. A self-healing recovery was added so the same class of failure cannot cause a permanent lockout.</w:t>
      </w:r>
    </w:p>
    <w:p>
      <w:pPr>
        <w:pStyle w:val="ListParagraph"/>
        <w:numPr>
          <w:ilvl w:val="0"/>
          <w:numId w:val="2"/>
        </w:numPr>
        <w:spacing w:after="80" w:line="276"/>
      </w:pPr>
      <w:r>
        <w:rPr>
          <w:rFonts w:ascii="Calibri" w:cs="Calibri" w:eastAsia="Calibri" w:hAnsi="Calibri"/>
          <w:color w:val="16161A"/>
          <w:sz w:val="21"/>
          <w:szCs w:val="21"/>
        </w:rPr>
        <w:t xml:space="preserve">A one-character text-substitution bug caused the distributed script to reference a placeholder instead of the live server address — breaking every deployed snippet. Caught by fetching and inspecting the actually-served file, not by reading the code that generates it.</w:t>
      </w:r>
    </w:p>
    <w:p>
      <w:pPr>
        <w:spacing w:after="120" w:line="276"/>
      </w:pPr>
      <w:r>
        <w:rPr>
          <w:rFonts w:ascii="Calibri" w:cs="Calibri" w:eastAsia="Calibri" w:hAnsi="Calibri"/>
          <w:i/>
          <w:iCs/>
          <w:color w:val="16161A"/>
          <w:sz w:val="21"/>
          <w:szCs w:val="21"/>
        </w:rPr>
        <w:t xml:space="preserve">The generalizable lesson: AI-assisted development raises code volume and fluency faster than it raises verification. The plausibility of generated code is precisely what makes reading it an insufficient check. Every one of these three bugs would have shipped.</w:t>
      </w:r>
    </w:p>
    <w:p>
      <w:pPr>
        <w:pStyle w:val="Heading2"/>
        <w:spacing w:after="120" w:before="260"/>
      </w:pPr>
      <w:r>
        <w:rPr>
          <w:rFonts w:ascii="Calibri" w:cs="Calibri" w:eastAsia="Calibri" w:hAnsi="Calibri"/>
          <w:b/>
          <w:bCs/>
          <w:color w:val="16161A"/>
          <w:sz w:val="24"/>
          <w:szCs w:val="24"/>
        </w:rPr>
        <w:t xml:space="preserve">6.6 Prompts and conventions used with Cursor and Claude</w:t>
      </w:r>
    </w:p>
    <w:p>
      <w:pPr>
        <w:spacing w:after="40" w:before="140"/>
      </w:pPr>
      <w:r>
        <w:rPr>
          <w:rFonts w:ascii="Calibri" w:cs="Calibri" w:eastAsia="Calibri" w:hAnsi="Calibri"/>
          <w:b/>
          <w:bCs/>
          <w:color w:val="F04E10"/>
          <w:sz w:val="19"/>
          <w:szCs w:val="19"/>
        </w:rPr>
        <w:t xml:space="preserve">Prompt 14 — the standing convention (excerpt from CLAUDE.md)</w:t>
      </w:r>
    </w:p>
    <w:p>
      <w:pPr>
        <w:pBdr>
          <w:left w:val="single" w:color="D9D9D9" w:sz="12" w:space="8"/>
        </w:pBdr>
        <w:spacing w:after="0" w:line="260"/>
        <w:ind w:left="360"/>
      </w:pPr>
      <w:r>
        <w:rPr>
          <w:rFonts w:ascii="Consolas" w:cs="Consolas" w:eastAsia="Consolas" w:hAnsi="Consolas"/>
          <w:color w:val="3A3A42"/>
          <w:sz w:val="18"/>
          <w:szCs w:val="18"/>
        </w:rPr>
        <w:t xml:space="preserve">Every agent exposes run(input): Promise&lt;output&gt;, both Zod-validated. LLM calls</w:t>
      </w:r>
    </w:p>
    <w:p>
      <w:pPr>
        <w:pBdr>
          <w:left w:val="single" w:color="D9D9D9" w:sz="12" w:space="8"/>
        </w:pBdr>
        <w:spacing w:after="0" w:line="260"/>
        <w:ind w:left="360"/>
      </w:pPr>
      <w:r>
        <w:rPr>
          <w:rFonts w:ascii="Consolas" w:cs="Consolas" w:eastAsia="Consolas" w:hAnsi="Consolas"/>
          <w:color w:val="3A3A42"/>
          <w:sz w:val="18"/>
          <w:szCs w:val="18"/>
        </w:rPr>
        <w:t xml:space="preserve">only through packages/model-gateway, only via forced tool-calling — never</w:t>
      </w:r>
    </w:p>
    <w:p>
      <w:pPr>
        <w:pBdr>
          <w:left w:val="single" w:color="D9D9D9" w:sz="12" w:space="8"/>
        </w:pBdr>
        <w:spacing w:after="0" w:line="260"/>
        <w:ind w:left="360"/>
      </w:pPr>
      <w:r>
        <w:rPr>
          <w:rFonts w:ascii="Consolas" w:cs="Consolas" w:eastAsia="Consolas" w:hAnsi="Consolas"/>
          <w:color w:val="3A3A42"/>
          <w:sz w:val="18"/>
          <w:szCs w:val="18"/>
        </w:rPr>
        <w:t xml:space="preserve">regex-parsed free text. Every agent invocation writes an AgentRun/AgentStep</w:t>
      </w:r>
    </w:p>
    <w:p>
      <w:pPr>
        <w:pBdr>
          <w:left w:val="single" w:color="D9D9D9" w:sz="12" w:space="8"/>
        </w:pBdr>
        <w:spacing w:after="0" w:line="260"/>
        <w:ind w:left="360"/>
      </w:pPr>
      <w:r>
        <w:rPr>
          <w:rFonts w:ascii="Consolas" w:cs="Consolas" w:eastAsia="Consolas" w:hAnsi="Consolas"/>
          <w:color w:val="3A3A42"/>
          <w:sz w:val="18"/>
          <w:szCs w:val="18"/>
        </w:rPr>
        <w:t xml:space="preserve">audit row. Typed error classes become RFC 7807 problem+json at the API</w:t>
      </w:r>
    </w:p>
    <w:p>
      <w:pPr>
        <w:pBdr>
          <w:left w:val="single" w:color="D9D9D9" w:sz="12" w:space="8"/>
        </w:pBdr>
        <w:spacing w:after="0" w:line="260"/>
        <w:ind w:left="360"/>
      </w:pPr>
      <w:r>
        <w:rPr>
          <w:rFonts w:ascii="Consolas" w:cs="Consolas" w:eastAsia="Consolas" w:hAnsi="Consolas"/>
          <w:color w:val="3A3A42"/>
          <w:sz w:val="18"/>
          <w:szCs w:val="18"/>
        </w:rPr>
        <w:t xml:space="preserve">boundary; never leak a stack trace or internal path to a client. Never use</w:t>
      </w:r>
    </w:p>
    <w:p>
      <w:pPr>
        <w:pBdr>
          <w:left w:val="single" w:color="D9D9D9" w:sz="12" w:space="8"/>
        </w:pBdr>
        <w:spacing w:after="0" w:line="260"/>
        <w:ind w:left="360"/>
      </w:pPr>
      <w:r>
        <w:rPr>
          <w:rFonts w:ascii="Consolas" w:cs="Consolas" w:eastAsia="Consolas" w:hAnsi="Consolas"/>
          <w:color w:val="3A3A42"/>
          <w:sz w:val="18"/>
          <w:szCs w:val="18"/>
        </w:rPr>
        <w:t xml:space="preserve">dangerouslySetInnerHTML from model output. Every irreversible or non-obvious</w:t>
      </w:r>
    </w:p>
    <w:p>
      <w:pPr>
        <w:pBdr>
          <w:left w:val="single" w:color="D9D9D9" w:sz="12" w:space="8"/>
        </w:pBdr>
        <w:spacing w:after="0" w:line="260"/>
        <w:ind w:left="360"/>
      </w:pPr>
      <w:r>
        <w:rPr>
          <w:rFonts w:ascii="Consolas" w:cs="Consolas" w:eastAsia="Consolas" w:hAnsi="Consolas"/>
          <w:color w:val="3A3A42"/>
          <w:sz w:val="18"/>
          <w:szCs w:val="18"/>
        </w:rPr>
        <w:t xml:space="preserve">decision gets an ADR before or alongside the code. Prefer editing existing</w:t>
      </w:r>
    </w:p>
    <w:p>
      <w:pPr>
        <w:pBdr>
          <w:left w:val="single" w:color="D9D9D9" w:sz="12" w:space="8"/>
        </w:pBdr>
        <w:spacing w:after="0" w:line="260"/>
        <w:ind w:left="360"/>
      </w:pPr>
      <w:r>
        <w:rPr>
          <w:rFonts w:ascii="Consolas" w:cs="Consolas" w:eastAsia="Consolas" w:hAnsi="Consolas"/>
          <w:color w:val="3A3A42"/>
          <w:sz w:val="18"/>
          <w:szCs w:val="18"/>
        </w:rPr>
        <w:t xml:space="preserve">files over creating new ones; do not add abstractions or error handling for</w:t>
      </w:r>
    </w:p>
    <w:p>
      <w:pPr>
        <w:pBdr>
          <w:left w:val="single" w:color="D9D9D9" w:sz="12" w:space="8"/>
        </w:pBdr>
        <w:spacing w:after="140" w:line="260"/>
        <w:ind w:left="360"/>
      </w:pPr>
      <w:r>
        <w:rPr>
          <w:rFonts w:ascii="Consolas" w:cs="Consolas" w:eastAsia="Consolas" w:hAnsi="Consolas"/>
          <w:color w:val="3A3A42"/>
          <w:sz w:val="18"/>
          <w:szCs w:val="18"/>
        </w:rPr>
        <w:t xml:space="preserve">scenarios that cannot occur.</w:t>
      </w:r>
    </w:p>
    <w:p>
      <w:pPr>
        <w:spacing w:after="40" w:before="140"/>
      </w:pPr>
      <w:r>
        <w:rPr>
          <w:rFonts w:ascii="Calibri" w:cs="Calibri" w:eastAsia="Calibri" w:hAnsi="Calibri"/>
          <w:b/>
          <w:bCs/>
          <w:color w:val="F04E10"/>
          <w:sz w:val="19"/>
          <w:szCs w:val="19"/>
        </w:rPr>
        <w:t xml:space="preserve">Prompt 15 — slice kickoff</w:t>
      </w:r>
    </w:p>
    <w:p>
      <w:pPr>
        <w:pBdr>
          <w:left w:val="single" w:color="D9D9D9" w:sz="12" w:space="8"/>
        </w:pBdr>
        <w:spacing w:after="0" w:line="260"/>
        <w:ind w:left="360"/>
      </w:pPr>
      <w:r>
        <w:rPr>
          <w:rFonts w:ascii="Consolas" w:cs="Consolas" w:eastAsia="Consolas" w:hAnsi="Consolas"/>
          <w:color w:val="3A3A42"/>
          <w:sz w:val="18"/>
          <w:szCs w:val="18"/>
        </w:rPr>
        <w:t xml:space="preserve">Read docs/adr/ and docs/prd/ before writing anything. Write the PRD for this</w:t>
      </w:r>
    </w:p>
    <w:p>
      <w:pPr>
        <w:pBdr>
          <w:left w:val="single" w:color="D9D9D9" w:sz="12" w:space="8"/>
        </w:pBdr>
        <w:spacing w:after="0" w:line="260"/>
        <w:ind w:left="360"/>
      </w:pPr>
      <w:r>
        <w:rPr>
          <w:rFonts w:ascii="Consolas" w:cs="Consolas" w:eastAsia="Consolas" w:hAnsi="Consolas"/>
          <w:color w:val="3A3A42"/>
          <w:sz w:val="18"/>
          <w:szCs w:val="18"/>
        </w:rPr>
        <w:t xml:space="preserve">slice first, including an explicit out-of-scope section. Then list the</w:t>
      </w:r>
    </w:p>
    <w:p>
      <w:pPr>
        <w:pBdr>
          <w:left w:val="single" w:color="D9D9D9" w:sz="12" w:space="8"/>
        </w:pBdr>
        <w:spacing w:after="0" w:line="260"/>
        <w:ind w:left="360"/>
      </w:pPr>
      <w:r>
        <w:rPr>
          <w:rFonts w:ascii="Consolas" w:cs="Consolas" w:eastAsia="Consolas" w:hAnsi="Consolas"/>
          <w:color w:val="3A3A42"/>
          <w:sz w:val="18"/>
          <w:szCs w:val="18"/>
        </w:rPr>
        <w:t xml:space="preserve">irreversible decisions this slice forces and write an ADR for each, stating</w:t>
      </w:r>
    </w:p>
    <w:p>
      <w:pPr>
        <w:pBdr>
          <w:left w:val="single" w:color="D9D9D9" w:sz="12" w:space="8"/>
        </w:pBdr>
        <w:spacing w:after="0" w:line="260"/>
        <w:ind w:left="360"/>
      </w:pPr>
      <w:r>
        <w:rPr>
          <w:rFonts w:ascii="Consolas" w:cs="Consolas" w:eastAsia="Consolas" w:hAnsi="Consolas"/>
          <w:color w:val="3A3A42"/>
          <w:sz w:val="18"/>
          <w:szCs w:val="18"/>
        </w:rPr>
        <w:t xml:space="preserve">the alternative you rejected and why. Only then propose the implementation</w:t>
      </w:r>
    </w:p>
    <w:p>
      <w:pPr>
        <w:pBdr>
          <w:left w:val="single" w:color="D9D9D9" w:sz="12" w:space="8"/>
        </w:pBdr>
        <w:spacing w:after="140" w:line="260"/>
        <w:ind w:left="360"/>
      </w:pPr>
      <w:r>
        <w:rPr>
          <w:rFonts w:ascii="Consolas" w:cs="Consolas" w:eastAsia="Consolas" w:hAnsi="Consolas"/>
          <w:color w:val="3A3A42"/>
          <w:sz w:val="18"/>
          <w:szCs w:val="18"/>
        </w:rPr>
        <w:t xml:space="preserve">plan. Do not write code until I have approved the PRD and the ADRs.</w:t>
      </w:r>
    </w:p>
    <w:p>
      <w:pPr>
        <w:spacing w:after="40" w:before="140"/>
      </w:pPr>
      <w:r>
        <w:rPr>
          <w:rFonts w:ascii="Calibri" w:cs="Calibri" w:eastAsia="Calibri" w:hAnsi="Calibri"/>
          <w:b/>
          <w:bCs/>
          <w:color w:val="F04E10"/>
          <w:sz w:val="19"/>
          <w:szCs w:val="19"/>
        </w:rPr>
        <w:t xml:space="preserve">Prompt 16 — verification, not review</w:t>
      </w:r>
    </w:p>
    <w:p>
      <w:pPr>
        <w:pBdr>
          <w:left w:val="single" w:color="D9D9D9" w:sz="12" w:space="8"/>
        </w:pBdr>
        <w:spacing w:after="0" w:line="260"/>
        <w:ind w:left="360"/>
      </w:pPr>
      <w:r>
        <w:rPr>
          <w:rFonts w:ascii="Consolas" w:cs="Consolas" w:eastAsia="Consolas" w:hAnsi="Consolas"/>
          <w:color w:val="3A3A42"/>
          <w:sz w:val="18"/>
          <w:szCs w:val="18"/>
        </w:rPr>
        <w:t xml:space="preserve">Do not tell me this works because the code looks correct. Write an end-to-end</w:t>
      </w:r>
    </w:p>
    <w:p>
      <w:pPr>
        <w:pBdr>
          <w:left w:val="single" w:color="D9D9D9" w:sz="12" w:space="8"/>
        </w:pBdr>
        <w:spacing w:after="0" w:line="260"/>
        <w:ind w:left="360"/>
      </w:pPr>
      <w:r>
        <w:rPr>
          <w:rFonts w:ascii="Consolas" w:cs="Consolas" w:eastAsia="Consolas" w:hAnsi="Consolas"/>
          <w:color w:val="3A3A42"/>
          <w:sz w:val="18"/>
          <w:szCs w:val="18"/>
        </w:rPr>
        <w:t xml:space="preserve">test that exercises it the way a real caller does — real HTTP for the API, a</w:t>
      </w:r>
    </w:p>
    <w:p>
      <w:pPr>
        <w:pBdr>
          <w:left w:val="single" w:color="D9D9D9" w:sz="12" w:space="8"/>
        </w:pBdr>
        <w:spacing w:after="0" w:line="260"/>
        <w:ind w:left="360"/>
      </w:pPr>
      <w:r>
        <w:rPr>
          <w:rFonts w:ascii="Consolas" w:cs="Consolas" w:eastAsia="Consolas" w:hAnsi="Consolas"/>
          <w:color w:val="3A3A42"/>
          <w:sz w:val="18"/>
          <w:szCs w:val="18"/>
        </w:rPr>
        <w:t xml:space="preserve">real browser for anything that runs in a page — and show me the passing output.</w:t>
      </w:r>
    </w:p>
    <w:p>
      <w:pPr>
        <w:pBdr>
          <w:left w:val="single" w:color="D9D9D9" w:sz="12" w:space="8"/>
        </w:pBdr>
        <w:spacing w:after="0" w:line="260"/>
        <w:ind w:left="360"/>
      </w:pPr>
      <w:r>
        <w:rPr>
          <w:rFonts w:ascii="Consolas" w:cs="Consolas" w:eastAsia="Consolas" w:hAnsi="Consolas"/>
          <w:color w:val="3A3A42"/>
          <w:sz w:val="18"/>
          <w:szCs w:val="18"/>
        </w:rPr>
        <w:t xml:space="preserve">For the RBAC slice specifically, the suite must cover every role against every</w:t>
      </w:r>
    </w:p>
    <w:p>
      <w:pPr>
        <w:pBdr>
          <w:left w:val="single" w:color="D9D9D9" w:sz="12" w:space="8"/>
        </w:pBdr>
        <w:spacing w:after="140" w:line="260"/>
        <w:ind w:left="360"/>
      </w:pPr>
      <w:r>
        <w:rPr>
          <w:rFonts w:ascii="Consolas" w:cs="Consolas" w:eastAsia="Consolas" w:hAnsi="Consolas"/>
          <w:color w:val="3A3A42"/>
          <w:sz w:val="18"/>
          <w:szCs w:val="18"/>
        </w:rPr>
        <w:t xml:space="preserve">permission, plus cross-tenant access and session forgery.</w:t>
      </w:r>
    </w:p>
    <w:p>
      <w:pPr>
        <w:spacing w:after="40" w:before="140"/>
      </w:pPr>
      <w:r>
        <w:rPr>
          <w:rFonts w:ascii="Calibri" w:cs="Calibri" w:eastAsia="Calibri" w:hAnsi="Calibri"/>
          <w:b/>
          <w:bCs/>
          <w:color w:val="F04E10"/>
          <w:sz w:val="19"/>
          <w:szCs w:val="19"/>
        </w:rPr>
        <w:t xml:space="preserve">Prompt 17 — honesty enforcement</w:t>
      </w:r>
    </w:p>
    <w:p>
      <w:pPr>
        <w:pBdr>
          <w:left w:val="single" w:color="D9D9D9" w:sz="12" w:space="8"/>
        </w:pBdr>
        <w:spacing w:after="0" w:line="260"/>
        <w:ind w:left="360"/>
      </w:pPr>
      <w:r>
        <w:rPr>
          <w:rFonts w:ascii="Consolas" w:cs="Consolas" w:eastAsia="Consolas" w:hAnsi="Consolas"/>
          <w:color w:val="3A3A42"/>
          <w:sz w:val="18"/>
          <w:szCs w:val="18"/>
        </w:rPr>
        <w:t xml:space="preserve">Review the status table and the report against the actual repository. Find every</w:t>
      </w:r>
    </w:p>
    <w:p>
      <w:pPr>
        <w:pBdr>
          <w:left w:val="single" w:color="D9D9D9" w:sz="12" w:space="8"/>
        </w:pBdr>
        <w:spacing w:after="0" w:line="260"/>
        <w:ind w:left="360"/>
      </w:pPr>
      <w:r>
        <w:rPr>
          <w:rFonts w:ascii="Consolas" w:cs="Consolas" w:eastAsia="Consolas" w:hAnsi="Consolas"/>
          <w:color w:val="3A3A42"/>
          <w:sz w:val="18"/>
          <w:szCs w:val="18"/>
        </w:rPr>
        <w:t xml:space="preserve">place where something is described as done, complete, or shipped that is not,</w:t>
      </w:r>
    </w:p>
    <w:p>
      <w:pPr>
        <w:pBdr>
          <w:left w:val="single" w:color="D9D9D9" w:sz="12" w:space="8"/>
        </w:pBdr>
        <w:spacing w:after="0" w:line="260"/>
        <w:ind w:left="360"/>
      </w:pPr>
      <w:r>
        <w:rPr>
          <w:rFonts w:ascii="Consolas" w:cs="Consolas" w:eastAsia="Consolas" w:hAnsi="Consolas"/>
          <w:color w:val="3A3A42"/>
          <w:sz w:val="18"/>
          <w:szCs w:val="18"/>
        </w:rPr>
        <w:t xml:space="preserve">or where a caveat is buried in a way a reader would miss. Rewrite those to state</w:t>
      </w:r>
    </w:p>
    <w:p>
      <w:pPr>
        <w:pBdr>
          <w:left w:val="single" w:color="D9D9D9" w:sz="12" w:space="8"/>
        </w:pBdr>
        <w:spacing w:after="140" w:line="260"/>
        <w:ind w:left="360"/>
      </w:pPr>
      <w:r>
        <w:rPr>
          <w:rFonts w:ascii="Consolas" w:cs="Consolas" w:eastAsia="Consolas" w:hAnsi="Consolas"/>
          <w:color w:val="3A3A42"/>
          <w:sz w:val="18"/>
          <w:szCs w:val="18"/>
        </w:rPr>
        <w:t xml:space="preserve">the limitation in the first sentence, not the last.</w:t>
      </w:r>
    </w:p>
    <w:p>
      <w:pPr>
        <w:pStyle w:val="Heading2"/>
        <w:spacing w:after="120" w:before="260"/>
      </w:pPr>
      <w:r>
        <w:rPr>
          <w:rFonts w:ascii="Calibri" w:cs="Calibri" w:eastAsia="Calibri" w:hAnsi="Calibri"/>
          <w:b/>
          <w:bCs/>
          <w:color w:val="16161A"/>
          <w:sz w:val="24"/>
          <w:szCs w:val="24"/>
        </w:rPr>
        <w:t xml:space="preserve">6.7 Known gaps requiring attention before any customer pilot</w:t>
      </w:r>
    </w:p>
    <w:p>
      <w:pPr>
        <w:spacing w:after="120" w:line="276"/>
      </w:pPr>
      <w:r>
        <w:rPr>
          <w:rFonts w:ascii="Calibri" w:cs="Calibri" w:eastAsia="Calibri" w:hAnsi="Calibri"/>
          <w:color w:val="16161A"/>
          <w:sz w:val="21"/>
          <w:szCs w:val="21"/>
        </w:rPr>
        <w:t xml:space="preserve">These are not routine technical debt. Each is a real limit on what can be trusted with production or customer data today, and each is already recorded in an ADR so the tradeoff reads as deliberate.</w:t>
      </w:r>
    </w:p>
    <w:p>
      <w:pPr>
        <w:pStyle w:val="ListParagraph"/>
        <w:numPr>
          <w:ilvl w:val="0"/>
          <w:numId w:val="3"/>
        </w:numPr>
        <w:spacing w:after="80" w:line="276"/>
      </w:pPr>
      <w:r>
        <w:rPr>
          <w:rFonts w:ascii="Calibri" w:cs="Calibri" w:eastAsia="Calibri" w:hAnsi="Calibri"/>
          <w:color w:val="16161A"/>
          <w:sz w:val="21"/>
          <w:szCs w:val="21"/>
        </w:rPr>
        <w:t xml:space="preserve">Authentication is not real. Sessions are issued for any requested identity with no password or credential check. Anyone who can reach the API can act as any user, including an admin. The permission model on top is real and thoroughly tested — but it currently sits behind a door with no lock. Needs a real identity provider (Auth.js/OIDC) before any external access.</w:t>
      </w:r>
    </w:p>
    <w:p>
      <w:pPr>
        <w:pStyle w:val="ListParagraph"/>
        <w:numPr>
          <w:ilvl w:val="0"/>
          <w:numId w:val="3"/>
        </w:numPr>
        <w:spacing w:after="80" w:line="276"/>
      </w:pPr>
      <w:r>
        <w:rPr>
          <w:rFonts w:ascii="Calibri" w:cs="Calibri" w:eastAsia="Calibri" w:hAnsi="Calibri"/>
          <w:color w:val="16161A"/>
          <w:sz w:val="21"/>
          <w:szCs w:val="21"/>
        </w:rPr>
        <w:t xml:space="preserve">Public Site Experiments endpoints have no abuse protection. No bot filtering, no rate limiting. Anyone who reads the public script can inflate or corrupt an experiment's numbers today. Needs rate limiting, bot detection and anomaly monitoring before any customer's results inform a business decision.</w:t>
      </w:r>
    </w:p>
    <w:p>
      <w:pPr>
        <w:pStyle w:val="ListParagraph"/>
        <w:numPr>
          <w:ilvl w:val="0"/>
          <w:numId w:val="3"/>
        </w:numPr>
        <w:spacing w:after="80" w:line="276"/>
      </w:pPr>
      <w:r>
        <w:rPr>
          <w:rFonts w:ascii="Calibri" w:cs="Calibri" w:eastAsia="Calibri" w:hAnsi="Calibri"/>
          <w:color w:val="16161A"/>
          <w:sz w:val="21"/>
          <w:szCs w:val="21"/>
        </w:rPr>
        <w:t xml:space="preserve">Tenant isolation is application-level only. Enforced by application code remembering to filter every query. Covered by explicit cross-tenant leak tests today, but a future query that forgets its filter would leak with nothing at the database layer to stop it. Needs row-level security on a real multi-tenant database.</w:t>
      </w:r>
    </w:p>
    <w:p>
      <w:pPr>
        <w:pStyle w:val="ListParagraph"/>
        <w:numPr>
          <w:ilvl w:val="0"/>
          <w:numId w:val="3"/>
        </w:numPr>
        <w:spacing w:after="80" w:line="276"/>
      </w:pPr>
      <w:r>
        <w:rPr>
          <w:rFonts w:ascii="Calibri" w:cs="Calibri" w:eastAsia="Calibri" w:hAnsi="Calibri"/>
          <w:color w:val="16161A"/>
          <w:sz w:val="21"/>
          <w:szCs w:val="21"/>
        </w:rPr>
        <w:t xml:space="preserve">No durable record of who approved what. The system knows who is allowed to launch or promote, but keeps no permanent audit record of who actually did — the gap first surfaced during design prototyping.</w:t>
      </w:r>
    </w:p>
    <w:p>
      <w:pPr>
        <w:pStyle w:val="ListParagraph"/>
        <w:numPr>
          <w:ilvl w:val="0"/>
          <w:numId w:val="3"/>
        </w:numPr>
        <w:spacing w:after="80" w:line="276"/>
      </w:pPr>
      <w:r>
        <w:rPr>
          <w:rFonts w:ascii="Calibri" w:cs="Calibri" w:eastAsia="Calibri" w:hAnsi="Calibri"/>
          <w:color w:val="16161A"/>
          <w:sz w:val="21"/>
          <w:szCs w:val="21"/>
        </w:rPr>
        <w:t xml:space="preserve">Site Experiments results do not yet feed Campaign Memory, so the compounding-learning promise does not extend to that surface.</w:t>
      </w:r>
    </w:p>
    <w:p>
      <w:pPr>
        <w:pStyle w:val="ListParagraph"/>
        <w:numPr>
          <w:ilvl w:val="0"/>
          <w:numId w:val="3"/>
        </w:numPr>
        <w:spacing w:after="80" w:line="276"/>
      </w:pPr>
      <w:r>
        <w:rPr>
          <w:rFonts w:ascii="Calibri" w:cs="Calibri" w:eastAsia="Calibri" w:hAnsi="Calibri"/>
          <w:color w:val="16161A"/>
          <w:sz w:val="21"/>
          <w:szCs w:val="21"/>
        </w:rPr>
        <w:t xml:space="preserve">The database and infrastructure are local-prototype scale: SQLite, single-tenant, no message queue, no analytics pipeline. Fine for demonstration and pilot planning; not sized for production traffic.</w:t>
      </w:r>
    </w:p>
    <w:p>
      <w:pPr>
        <w:pStyle w:val="Heading2"/>
        <w:spacing w:after="120" w:before="260"/>
      </w:pPr>
      <w:r>
        <w:rPr>
          <w:rFonts w:ascii="Calibri" w:cs="Calibri" w:eastAsia="Calibri" w:hAnsi="Calibri"/>
          <w:b/>
          <w:bCs/>
          <w:color w:val="16161A"/>
          <w:sz w:val="24"/>
          <w:szCs w:val="24"/>
        </w:rPr>
        <w:t xml:space="preserve">6.8 Recommended roadmap</w:t>
      </w:r>
    </w:p>
    <w:p>
      <w:pPr>
        <w:spacing w:after="120" w:line="276"/>
      </w:pPr>
      <w:r>
        <w:rPr>
          <w:rFonts w:ascii="Calibri" w:cs="Calibri" w:eastAsia="Calibri" w:hAnsi="Calibri"/>
          <w:b/>
          <w:bCs/>
          <w:color w:val="16161A"/>
          <w:sz w:val="21"/>
          <w:szCs w:val="21"/>
        </w:rPr>
        <w:t xml:space="preserve">Near-term (unblocks a real pilot): </w:t>
      </w:r>
      <w:r>
        <w:rPr>
          <w:rFonts w:ascii="Calibri" w:cs="Calibri" w:eastAsia="Calibri" w:hAnsi="Calibri"/>
          <w:color w:val="16161A"/>
          <w:sz w:val="21"/>
          <w:szCs w:val="21"/>
        </w:rPr>
        <w:t xml:space="preserve">real authentication via Auth.js/OIDC; rate limiting and bot protection on the public endpoints; persisted approval audit history.</w:t>
      </w:r>
    </w:p>
    <w:p>
      <w:pPr>
        <w:spacing w:after="120" w:line="276"/>
      </w:pPr>
      <w:r>
        <w:rPr>
          <w:rFonts w:ascii="Calibri" w:cs="Calibri" w:eastAsia="Calibri" w:hAnsi="Calibri"/>
          <w:b/>
          <w:bCs/>
          <w:color w:val="16161A"/>
          <w:sz w:val="21"/>
          <w:szCs w:val="21"/>
        </w:rPr>
        <w:t xml:space="preserve">Mid-term (deepens the experimentation moat): </w:t>
      </w:r>
      <w:r>
        <w:rPr>
          <w:rFonts w:ascii="Calibri" w:cs="Calibri" w:eastAsia="Calibri" w:hAnsi="Calibri"/>
          <w:color w:val="16161A"/>
          <w:sz w:val="21"/>
          <w:szCs w:val="21"/>
        </w:rPr>
        <w:t xml:space="preserve">multivariate testing and Thompson-sampling adaptive allocation; the Optimization Copilot with configurable auto-promotion; extending Campaign Memory writes to Site Experiments; the Personalization Engine.</w:t>
      </w:r>
    </w:p>
    <w:p>
      <w:pPr>
        <w:spacing w:after="120" w:line="276"/>
      </w:pPr>
      <w:r>
        <w:rPr>
          <w:rFonts w:ascii="Calibri" w:cs="Calibri" w:eastAsia="Calibri" w:hAnsi="Calibri"/>
          <w:b/>
          <w:bCs/>
          <w:color w:val="16161A"/>
          <w:sz w:val="21"/>
          <w:szCs w:val="21"/>
        </w:rPr>
        <w:t xml:space="preserve">Long-term (enterprise readiness): </w:t>
      </w:r>
      <w:r>
        <w:rPr>
          <w:rFonts w:ascii="Calibri" w:cs="Calibri" w:eastAsia="Calibri" w:hAnsi="Calibri"/>
          <w:color w:val="16161A"/>
          <w:sz w:val="21"/>
          <w:szCs w:val="21"/>
        </w:rPr>
        <w:t xml:space="preserve">Brand Compliance AI and governance workflow; multi-channel orchestration across web, email, ads and social; production infrastructure — multi-tenant Postgres, Temporal workflows, a real event pipeline, and database-level row-level security.</w:t>
      </w:r>
    </w:p>
    <w:p>
      <w:r>
        <w:br w:type="page"/>
      </w:r>
    </w:p>
    <w:p>
      <w:pPr>
        <w:pStyle w:val="Heading1"/>
        <w:spacing w:after="160" w:before="360"/>
      </w:pPr>
      <w:r>
        <w:rPr>
          <w:rFonts w:ascii="Calibri" w:cs="Calibri" w:eastAsia="Calibri" w:hAnsi="Calibri"/>
          <w:b/>
          <w:bCs/>
          <w:color w:val="16161A"/>
          <w:sz w:val="30"/>
          <w:szCs w:val="30"/>
        </w:rPr>
        <w:t xml:space="preserve">7. Go-To-Market and Branding Strategy</w:t>
      </w:r>
    </w:p>
    <w:p>
      <w:pPr>
        <w:spacing w:after="120" w:line="276"/>
      </w:pPr>
      <w:r>
        <w:rPr>
          <w:rFonts w:ascii="Calibri" w:cs="Calibri" w:eastAsia="Calibri" w:hAnsi="Calibri"/>
          <w:color w:val="16161A"/>
          <w:sz w:val="21"/>
          <w:szCs w:val="21"/>
        </w:rPr>
        <w:t xml:space="preserve">The go-to-market plan follows from a single strategic judgement: the pieces of this category exist, but nobody owns the whole. Incumbents are retrofitting AI onto tools that assume a human builds every page and every test. Google killed Optimize; Optimizely was absorbed into a suite; "AI testing" is a checkbox everywhere and real autonomy is nowhere. The plan converts an estimated 18–24 month runway into category ownership.</w:t>
      </w:r>
    </w:p>
    <w:p>
      <w:pPr>
        <w:pStyle w:val="Heading2"/>
        <w:spacing w:after="120" w:before="260"/>
      </w:pPr>
      <w:r>
        <w:rPr>
          <w:rFonts w:ascii="Calibri" w:cs="Calibri" w:eastAsia="Calibri" w:hAnsi="Calibri"/>
          <w:b/>
          <w:bCs/>
          <w:color w:val="16161A"/>
          <w:sz w:val="24"/>
          <w:szCs w:val="24"/>
        </w:rPr>
        <w:t xml:space="preserve">7.1 Category strategy — name one rather than enter one</w:t>
      </w:r>
    </w:p>
    <w:p>
      <w:pPr>
        <w:spacing w:after="120" w:line="276"/>
      </w:pPr>
      <w:r>
        <w:rPr>
          <w:rFonts w:ascii="Calibri" w:cs="Calibri" w:eastAsia="Calibri" w:hAnsi="Calibri"/>
          <w:color w:val="16161A"/>
          <w:sz w:val="21"/>
          <w:szCs w:val="21"/>
        </w:rPr>
        <w:t xml:space="preserve">IntentFlow is positioned in a category it names: Autonomous Campaign Optimization. The two obvious alternatives were rejected deliberately. "A CMS with AI" invites comparison with Wix and Sitecore on their terms. "AI A/B testing" is a checkbox every vendor already claims and concedes the ground to whoever owns testing. Autonomous Campaign Optimization is framed as the step after experience platforms and AI assistants — and, per the research, as a forward bet on where the market is heading rather than a claim that the category already exists in analyst taxonomies.</w:t>
      </w:r>
    </w:p>
    <w:p>
      <w:pPr>
        <w:pStyle w:val="Heading2"/>
        <w:spacing w:after="120" w:before="260"/>
      </w:pPr>
      <w:r>
        <w:rPr>
          <w:rFonts w:ascii="Calibri" w:cs="Calibri" w:eastAsia="Calibri" w:hAnsi="Calibri"/>
          <w:b/>
          <w:bCs/>
          <w:color w:val="16161A"/>
          <w:sz w:val="24"/>
          <w:szCs w:val="24"/>
        </w:rPr>
        <w:t xml:space="preserve">7.2 Segmentation and beachhead sequence</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500"/>
        <w:gridCol w:w="1400"/>
      </w:tblGrid>
      <w:tr>
        <w:trPr>
          <w:tblHeader/>
        </w:trPr>
        <w:tc>
          <w:tcPr>
            <w:tcW w:type="dxa" w:w="22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Persona</w:t>
            </w:r>
          </w:p>
        </w:tc>
        <w:tc>
          <w:tcPr>
            <w:tcW w:type="dxa" w:w="22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Motion &amp; timing</w:t>
            </w:r>
          </w:p>
        </w:tc>
        <w:tc>
          <w:tcPr>
            <w:tcW w:type="dxa" w:w="35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Profile</w:t>
            </w:r>
          </w:p>
        </w:tc>
        <w:tc>
          <w:tcPr>
            <w:tcW w:type="dxa" w:w="14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Willingness to pay</w:t>
            </w:r>
          </w:p>
        </w:tc>
      </w:tr>
      <w:tr>
        <w:tc>
          <w:tcPr>
            <w:tcW w:type="dxa" w:w="2200"/>
            <w:tcMar>
              <w:top w:type="dxa" w:w="80"/>
              <w:left w:type="dxa" w:w="120"/>
              <w:bottom w:type="dxa" w:w="80"/>
              <w:right w:type="dxa" w:w="120"/>
            </w:tcMar>
          </w:tcPr>
          <w:p>
            <w:pPr>
              <w:spacing w:after="0"/>
            </w:pPr>
            <w:r>
              <w:rPr>
                <w:rFonts w:ascii="Calibri" w:cs="Calibri" w:eastAsia="Calibri" w:hAnsi="Calibri"/>
                <w:color w:val="16161A"/>
                <w:sz w:val="19"/>
                <w:szCs w:val="19"/>
              </w:rPr>
              <w:t xml:space="preserve">Maya — Digital Marketing Manager</w:t>
            </w:r>
          </w:p>
        </w:tc>
        <w:tc>
          <w:tcPr>
            <w:tcW w:type="dxa" w:w="2200"/>
            <w:tcMar>
              <w:top w:type="dxa" w:w="80"/>
              <w:left w:type="dxa" w:w="120"/>
              <w:bottom w:type="dxa" w:w="80"/>
              <w:right w:type="dxa" w:w="120"/>
            </w:tcMar>
          </w:tcPr>
          <w:p>
            <w:pPr>
              <w:spacing w:after="0"/>
            </w:pPr>
            <w:r>
              <w:rPr>
                <w:rFonts w:ascii="Calibri" w:cs="Calibri" w:eastAsia="Calibri" w:hAnsi="Calibri"/>
                <w:color w:val="16161A"/>
                <w:sz w:val="19"/>
                <w:szCs w:val="19"/>
              </w:rPr>
              <w:t xml:space="preserve">Beachhead · PLG · months 1–6</w:t>
            </w:r>
          </w:p>
        </w:tc>
        <w:tc>
          <w:tcPr>
            <w:tcW w:type="dxa" w:w="3500"/>
            <w:tcMar>
              <w:top w:type="dxa" w:w="80"/>
              <w:left w:type="dxa" w:w="120"/>
              <w:bottom w:type="dxa" w:w="80"/>
              <w:right w:type="dxa" w:w="120"/>
            </w:tcMar>
          </w:tcPr>
          <w:p>
            <w:pPr>
              <w:spacing w:after="0"/>
            </w:pPr>
            <w:r>
              <w:rPr>
                <w:rFonts w:ascii="Calibri" w:cs="Calibri" w:eastAsia="Calibri" w:hAnsi="Calibri"/>
                <w:color w:val="16161A"/>
                <w:sz w:val="19"/>
                <w:szCs w:val="19"/>
              </w:rPr>
              <w:t xml:space="preserve">Mid-market B2B SaaS, 3–15 person team, no CRO staff, priced out of Optimizely</w:t>
            </w:r>
          </w:p>
        </w:tc>
        <w:tc>
          <w:tcPr>
            <w:tcW w:type="dxa" w:w="1400"/>
            <w:tcMar>
              <w:top w:type="dxa" w:w="80"/>
              <w:left w:type="dxa" w:w="120"/>
              <w:bottom w:type="dxa" w:w="80"/>
              <w:right w:type="dxa" w:w="120"/>
            </w:tcMar>
          </w:tcPr>
          <w:p>
            <w:pPr>
              <w:spacing w:after="0"/>
            </w:pPr>
            <w:r>
              <w:rPr>
                <w:rFonts w:ascii="Calibri" w:cs="Calibri" w:eastAsia="Calibri" w:hAnsi="Calibri"/>
                <w:color w:val="16161A"/>
                <w:sz w:val="19"/>
                <w:szCs w:val="19"/>
              </w:rPr>
              <w:t xml:space="preserve">$500–$2,000 / month</w:t>
            </w:r>
          </w:p>
        </w:tc>
      </w:tr>
      <w:tr>
        <w:tc>
          <w:tcPr>
            <w:tcW w:type="dxa" w:w="2200"/>
            <w:tcMar>
              <w:top w:type="dxa" w:w="80"/>
              <w:left w:type="dxa" w:w="120"/>
              <w:bottom w:type="dxa" w:w="80"/>
              <w:right w:type="dxa" w:w="120"/>
            </w:tcMar>
          </w:tcPr>
          <w:p>
            <w:pPr>
              <w:spacing w:after="0"/>
            </w:pPr>
            <w:r>
              <w:rPr>
                <w:rFonts w:ascii="Calibri" w:cs="Calibri" w:eastAsia="Calibri" w:hAnsi="Calibri"/>
                <w:color w:val="16161A"/>
                <w:sz w:val="19"/>
                <w:szCs w:val="19"/>
              </w:rPr>
              <w:t xml:space="preserve">Raj — VP Growth, e-commerce/DTC</w:t>
            </w:r>
          </w:p>
        </w:tc>
        <w:tc>
          <w:tcPr>
            <w:tcW w:type="dxa" w:w="2200"/>
            <w:tcMar>
              <w:top w:type="dxa" w:w="80"/>
              <w:left w:type="dxa" w:w="120"/>
              <w:bottom w:type="dxa" w:w="80"/>
              <w:right w:type="dxa" w:w="120"/>
            </w:tcMar>
          </w:tcPr>
          <w:p>
            <w:pPr>
              <w:spacing w:after="0"/>
            </w:pPr>
            <w:r>
              <w:rPr>
                <w:rFonts w:ascii="Calibri" w:cs="Calibri" w:eastAsia="Calibri" w:hAnsi="Calibri"/>
                <w:color w:val="16161A"/>
                <w:sz w:val="19"/>
                <w:szCs w:val="19"/>
              </w:rPr>
              <w:t xml:space="preserve">Expansion · sales-assisted · months 7–12</w:t>
            </w:r>
          </w:p>
        </w:tc>
        <w:tc>
          <w:tcPr>
            <w:tcW w:type="dxa" w:w="3500"/>
            <w:tcMar>
              <w:top w:type="dxa" w:w="80"/>
              <w:left w:type="dxa" w:w="120"/>
              <w:bottom w:type="dxa" w:w="80"/>
              <w:right w:type="dxa" w:w="120"/>
            </w:tcMar>
          </w:tcPr>
          <w:p>
            <w:pPr>
              <w:spacing w:after="0"/>
            </w:pPr>
            <w:r>
              <w:rPr>
                <w:rFonts w:ascii="Calibri" w:cs="Calibri" w:eastAsia="Calibri" w:hAnsi="Calibri"/>
                <w:color w:val="16161A"/>
                <w:sz w:val="19"/>
                <w:szCs w:val="19"/>
              </w:rPr>
              <w:t xml:space="preserve">Testing-literate, velocity-constrained, buys on demonstrated lift; VWO's upmarket drift is a displacement window</w:t>
            </w:r>
          </w:p>
        </w:tc>
        <w:tc>
          <w:tcPr>
            <w:tcW w:type="dxa" w:w="1400"/>
            <w:tcMar>
              <w:top w:type="dxa" w:w="80"/>
              <w:left w:type="dxa" w:w="120"/>
              <w:bottom w:type="dxa" w:w="80"/>
              <w:right w:type="dxa" w:w="120"/>
            </w:tcMar>
          </w:tcPr>
          <w:p>
            <w:pPr>
              <w:spacing w:after="0"/>
            </w:pPr>
            <w:r>
              <w:rPr>
                <w:rFonts w:ascii="Calibri" w:cs="Calibri" w:eastAsia="Calibri" w:hAnsi="Calibri"/>
                <w:color w:val="16161A"/>
                <w:sz w:val="19"/>
                <w:szCs w:val="19"/>
              </w:rPr>
              <w:t xml:space="preserve">Scale tier plus pilot</w:t>
            </w:r>
          </w:p>
        </w:tc>
      </w:tr>
      <w:tr>
        <w:tc>
          <w:tcPr>
            <w:tcW w:type="dxa" w:w="2200"/>
            <w:tcMar>
              <w:top w:type="dxa" w:w="80"/>
              <w:left w:type="dxa" w:w="120"/>
              <w:bottom w:type="dxa" w:w="80"/>
              <w:right w:type="dxa" w:w="120"/>
            </w:tcMar>
          </w:tcPr>
          <w:p>
            <w:pPr>
              <w:spacing w:after="0"/>
            </w:pPr>
            <w:r>
              <w:rPr>
                <w:rFonts w:ascii="Calibri" w:cs="Calibri" w:eastAsia="Calibri" w:hAnsi="Calibri"/>
                <w:color w:val="16161A"/>
                <w:sz w:val="19"/>
                <w:szCs w:val="19"/>
              </w:rPr>
              <w:t xml:space="preserve">Sarah — CMO, enterprise B2B</w:t>
            </w:r>
          </w:p>
        </w:tc>
        <w:tc>
          <w:tcPr>
            <w:tcW w:type="dxa" w:w="2200"/>
            <w:tcMar>
              <w:top w:type="dxa" w:w="80"/>
              <w:left w:type="dxa" w:w="120"/>
              <w:bottom w:type="dxa" w:w="80"/>
              <w:right w:type="dxa" w:w="120"/>
            </w:tcMar>
          </w:tcPr>
          <w:p>
            <w:pPr>
              <w:spacing w:after="0"/>
            </w:pPr>
            <w:r>
              <w:rPr>
                <w:rFonts w:ascii="Calibri" w:cs="Calibri" w:eastAsia="Calibri" w:hAnsi="Calibri"/>
                <w:color w:val="16161A"/>
                <w:sz w:val="19"/>
                <w:szCs w:val="19"/>
              </w:rPr>
              <w:t xml:space="preserve">Enterprise · months 13–18</w:t>
            </w:r>
          </w:p>
        </w:tc>
        <w:tc>
          <w:tcPr>
            <w:tcW w:type="dxa" w:w="3500"/>
            <w:tcMar>
              <w:top w:type="dxa" w:w="80"/>
              <w:left w:type="dxa" w:w="120"/>
              <w:bottom w:type="dxa" w:w="80"/>
              <w:right w:type="dxa" w:w="120"/>
            </w:tcMar>
          </w:tcPr>
          <w:p>
            <w:pPr>
              <w:spacing w:after="0"/>
            </w:pPr>
            <w:r>
              <w:rPr>
                <w:rFonts w:ascii="Calibri" w:cs="Calibri" w:eastAsia="Calibri" w:hAnsi="Calibri"/>
                <w:color w:val="16161A"/>
                <w:sz w:val="19"/>
                <w:szCs w:val="19"/>
              </w:rPr>
              <w:t xml:space="preserve">Buys when governance exists: Brand Compliance AI, audit trails, SOC 2; competes against Adobe and Optimizely renewals</w:t>
            </w:r>
          </w:p>
        </w:tc>
        <w:tc>
          <w:tcPr>
            <w:tcW w:type="dxa" w:w="1400"/>
            <w:tcMar>
              <w:top w:type="dxa" w:w="80"/>
              <w:left w:type="dxa" w:w="120"/>
              <w:bottom w:type="dxa" w:w="80"/>
              <w:right w:type="dxa" w:w="120"/>
            </w:tcMar>
          </w:tcPr>
          <w:p>
            <w:pPr>
              <w:spacing w:after="0"/>
            </w:pPr>
            <w:r>
              <w:rPr>
                <w:rFonts w:ascii="Calibri" w:cs="Calibri" w:eastAsia="Calibri" w:hAnsi="Calibri"/>
                <w:color w:val="16161A"/>
                <w:sz w:val="19"/>
                <w:szCs w:val="19"/>
              </w:rPr>
              <w:t xml:space="preserve">$40k+ ACV</w:t>
            </w:r>
          </w:p>
        </w:tc>
      </w:tr>
    </w:tbl>
    <w:p>
      <w:pPr>
        <w:spacing w:after="120"/>
      </w:pPr>
      <w:r>
        <w:rPr>
          <w:sz w:val="12"/>
          <w:szCs w:val="12"/>
        </w:rPr>
        <w:t xml:space="preserve"/>
      </w:r>
    </w:p>
    <w:p>
      <w:pPr>
        <w:spacing w:after="120" w:line="276"/>
      </w:pPr>
      <w:r>
        <w:rPr>
          <w:rFonts w:ascii="Calibri" w:cs="Calibri" w:eastAsia="Calibri" w:hAnsi="Calibri"/>
          <w:color w:val="16161A"/>
          <w:sz w:val="21"/>
          <w:szCs w:val="21"/>
        </w:rPr>
        <w:t xml:space="preserve">The anti-ICP is stated as explicitly as the ICP, and refused early: regulated on-premise deployments, white-label agencies, and sub-ten-employee sites whose traffic is too thin ever to reach statistical significance. That last exclusion matters — selling experimentation to a site that cannot reach significance guarantees a churned, unhappy customer and a bad reference.</w:t>
      </w:r>
    </w:p>
    <w:p>
      <w:pPr>
        <w:pStyle w:val="Heading2"/>
        <w:spacing w:after="120" w:before="260"/>
      </w:pPr>
      <w:r>
        <w:rPr>
          <w:rFonts w:ascii="Calibri" w:cs="Calibri" w:eastAsia="Calibri" w:hAnsi="Calibri"/>
          <w:b/>
          <w:bCs/>
          <w:color w:val="16161A"/>
          <w:sz w:val="24"/>
          <w:szCs w:val="24"/>
        </w:rPr>
        <w:t xml:space="preserve">7.3 The narrative</w:t>
      </w:r>
    </w:p>
    <w:p>
      <w:pPr>
        <w:spacing w:after="120" w:line="276"/>
      </w:pPr>
      <w:r>
        <w:rPr>
          <w:rFonts w:ascii="Calibri" w:cs="Calibri" w:eastAsia="Calibri" w:hAnsi="Calibri"/>
          <w:color w:val="16161A"/>
          <w:sz w:val="21"/>
          <w:szCs w:val="21"/>
        </w:rPr>
        <w:t xml:space="preserve">Seven contrasts define the shift, and are used verbatim across sales decks, the website and analyst briefings so the story does not drift between channels.</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00"/>
        <w:gridCol w:w="4700"/>
      </w:tblGrid>
      <w:tr>
        <w:trPr>
          <w:tblHeader/>
        </w:trPr>
        <w:tc>
          <w:tcPr>
            <w:tcW w:type="dxa" w:w="46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The old way</w:t>
            </w:r>
          </w:p>
        </w:tc>
        <w:tc>
          <w:tcPr>
            <w:tcW w:type="dxa" w:w="47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The IntentFlow way</w:t>
            </w:r>
          </w:p>
        </w:tc>
      </w:tr>
      <w:tr>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Users create campaigns</w:t>
            </w:r>
          </w:p>
        </w:tc>
        <w:tc>
          <w:tcPr>
            <w:tcW w:type="dxa" w:w="4700"/>
            <w:tcMar>
              <w:top w:type="dxa" w:w="80"/>
              <w:left w:type="dxa" w:w="120"/>
              <w:bottom w:type="dxa" w:w="80"/>
              <w:right w:type="dxa" w:w="120"/>
            </w:tcMar>
          </w:tcPr>
          <w:p>
            <w:pPr>
              <w:spacing w:after="0"/>
            </w:pPr>
            <w:r>
              <w:rPr>
                <w:rFonts w:ascii="Calibri" w:cs="Calibri" w:eastAsia="Calibri" w:hAnsi="Calibri"/>
                <w:color w:val="16161A"/>
                <w:sz w:val="19"/>
                <w:szCs w:val="19"/>
              </w:rPr>
              <w:t xml:space="preserve">AI creates campaigns from an objective</w:t>
            </w:r>
          </w:p>
        </w:tc>
      </w:tr>
      <w:tr>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Users design experiments</w:t>
            </w:r>
          </w:p>
        </w:tc>
        <w:tc>
          <w:tcPr>
            <w:tcW w:type="dxa" w:w="4700"/>
            <w:tcMar>
              <w:top w:type="dxa" w:w="80"/>
              <w:left w:type="dxa" w:w="120"/>
              <w:bottom w:type="dxa" w:w="80"/>
              <w:right w:type="dxa" w:w="120"/>
            </w:tcMar>
          </w:tcPr>
          <w:p>
            <w:pPr>
              <w:spacing w:after="0"/>
            </w:pPr>
            <w:r>
              <w:rPr>
                <w:rFonts w:ascii="Calibri" w:cs="Calibri" w:eastAsia="Calibri" w:hAnsi="Calibri"/>
                <w:color w:val="16161A"/>
                <w:sz w:val="19"/>
                <w:szCs w:val="19"/>
              </w:rPr>
              <w:t xml:space="preserve">AI proposes and builds them</w:t>
            </w:r>
          </w:p>
        </w:tc>
      </w:tr>
      <w:tr>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Users read dashboards</w:t>
            </w:r>
          </w:p>
        </w:tc>
        <w:tc>
          <w:tcPr>
            <w:tcW w:type="dxa" w:w="4700"/>
            <w:tcMar>
              <w:top w:type="dxa" w:w="80"/>
              <w:left w:type="dxa" w:w="120"/>
              <w:bottom w:type="dxa" w:w="80"/>
              <w:right w:type="dxa" w:w="120"/>
            </w:tcMar>
          </w:tcPr>
          <w:p>
            <w:pPr>
              <w:spacing w:after="0"/>
            </w:pPr>
            <w:r>
              <w:rPr>
                <w:rFonts w:ascii="Calibri" w:cs="Calibri" w:eastAsia="Calibri" w:hAnsi="Calibri"/>
                <w:color w:val="16161A"/>
                <w:sz w:val="19"/>
                <w:szCs w:val="19"/>
              </w:rPr>
              <w:t xml:space="preserve">AI explains and recommends</w:t>
            </w:r>
          </w:p>
        </w:tc>
      </w:tr>
      <w:tr>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Manual optimization</w:t>
            </w:r>
          </w:p>
        </w:tc>
        <w:tc>
          <w:tcPr>
            <w:tcW w:type="dxa" w:w="4700"/>
            <w:tcMar>
              <w:top w:type="dxa" w:w="80"/>
              <w:left w:type="dxa" w:w="120"/>
              <w:bottom w:type="dxa" w:w="80"/>
              <w:right w:type="dxa" w:w="120"/>
            </w:tcMar>
          </w:tcPr>
          <w:p>
            <w:pPr>
              <w:spacing w:after="0"/>
            </w:pPr>
            <w:r>
              <w:rPr>
                <w:rFonts w:ascii="Calibri" w:cs="Calibri" w:eastAsia="Calibri" w:hAnsi="Calibri"/>
                <w:color w:val="16161A"/>
                <w:sz w:val="19"/>
                <w:szCs w:val="19"/>
              </w:rPr>
              <w:t xml:space="preserve">Continuous autonomous optimization</w:t>
            </w:r>
          </w:p>
        </w:tc>
      </w:tr>
      <w:tr>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Pages and variants</w:t>
            </w:r>
          </w:p>
        </w:tc>
        <w:tc>
          <w:tcPr>
            <w:tcW w:type="dxa" w:w="4700"/>
            <w:tcMar>
              <w:top w:type="dxa" w:w="80"/>
              <w:left w:type="dxa" w:w="120"/>
              <w:bottom w:type="dxa" w:w="80"/>
              <w:right w:type="dxa" w:w="120"/>
            </w:tcMar>
          </w:tcPr>
          <w:p>
            <w:pPr>
              <w:spacing w:after="0"/>
            </w:pPr>
            <w:r>
              <w:rPr>
                <w:rFonts w:ascii="Calibri" w:cs="Calibri" w:eastAsia="Calibri" w:hAnsi="Calibri"/>
                <w:color w:val="16161A"/>
                <w:sz w:val="19"/>
                <w:szCs w:val="19"/>
              </w:rPr>
              <w:t xml:space="preserve">Outcomes and journeys</w:t>
            </w:r>
          </w:p>
        </w:tc>
      </w:tr>
      <w:tr>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Optimization after launch</w:t>
            </w:r>
          </w:p>
        </w:tc>
        <w:tc>
          <w:tcPr>
            <w:tcW w:type="dxa" w:w="4700"/>
            <w:tcMar>
              <w:top w:type="dxa" w:w="80"/>
              <w:left w:type="dxa" w:w="120"/>
              <w:bottom w:type="dxa" w:w="80"/>
              <w:right w:type="dxa" w:w="120"/>
            </w:tcMar>
          </w:tcPr>
          <w:p>
            <w:pPr>
              <w:spacing w:after="0"/>
            </w:pPr>
            <w:r>
              <w:rPr>
                <w:rFonts w:ascii="Calibri" w:cs="Calibri" w:eastAsia="Calibri" w:hAnsi="Calibri"/>
                <w:color w:val="16161A"/>
                <w:sz w:val="19"/>
                <w:szCs w:val="19"/>
              </w:rPr>
              <w:t xml:space="preserve">Optimization from design onward</w:t>
            </w:r>
          </w:p>
        </w:tc>
      </w:tr>
      <w:tr>
        <w:tc>
          <w:tcPr>
            <w:tcW w:type="dxa" w:w="4600"/>
            <w:tcMar>
              <w:top w:type="dxa" w:w="80"/>
              <w:left w:type="dxa" w:w="120"/>
              <w:bottom w:type="dxa" w:w="80"/>
              <w:right w:type="dxa" w:w="120"/>
            </w:tcMar>
          </w:tcPr>
          <w:p>
            <w:pPr>
              <w:spacing w:after="0"/>
            </w:pPr>
            <w:r>
              <w:rPr>
                <w:rFonts w:ascii="Calibri" w:cs="Calibri" w:eastAsia="Calibri" w:hAnsi="Calibri"/>
                <w:color w:val="16161A"/>
                <w:sz w:val="19"/>
                <w:szCs w:val="19"/>
              </w:rPr>
              <w:t xml:space="preserve">Siloed knowledge</w:t>
            </w:r>
          </w:p>
        </w:tc>
        <w:tc>
          <w:tcPr>
            <w:tcW w:type="dxa" w:w="4700"/>
            <w:tcMar>
              <w:top w:type="dxa" w:w="80"/>
              <w:left w:type="dxa" w:w="120"/>
              <w:bottom w:type="dxa" w:w="80"/>
              <w:right w:type="dxa" w:w="120"/>
            </w:tcMar>
          </w:tcPr>
          <w:p>
            <w:pPr>
              <w:spacing w:after="0"/>
            </w:pPr>
            <w:r>
              <w:rPr>
                <w:rFonts w:ascii="Calibri" w:cs="Calibri" w:eastAsia="Calibri" w:hAnsi="Calibri"/>
                <w:color w:val="16161A"/>
                <w:sz w:val="19"/>
                <w:szCs w:val="19"/>
              </w:rPr>
              <w:t xml:space="preserve">Compounding campaign intelligence</w:t>
            </w:r>
          </w:p>
        </w:tc>
      </w:tr>
    </w:tbl>
    <w:p>
      <w:pPr>
        <w:spacing w:after="120"/>
      </w:pPr>
      <w:r>
        <w:rPr>
          <w:sz w:val="12"/>
          <w:szCs w:val="12"/>
        </w:rPr>
        <w:t xml:space="preserve"/>
      </w:r>
    </w:p>
    <w:p>
      <w:pPr>
        <w:pStyle w:val="Heading2"/>
        <w:spacing w:after="120" w:before="260"/>
      </w:pPr>
      <w:r>
        <w:rPr>
          <w:rFonts w:ascii="Calibri" w:cs="Calibri" w:eastAsia="Calibri" w:hAnsi="Calibri"/>
          <w:b/>
          <w:bCs/>
          <w:color w:val="16161A"/>
          <w:sz w:val="24"/>
          <w:szCs w:val="24"/>
        </w:rPr>
        <w:t xml:space="preserve">7.4 Pricing and packaging</w:t>
      </w:r>
    </w:p>
    <w:p>
      <w:pPr>
        <w:spacing w:after="120" w:line="276"/>
      </w:pPr>
      <w:r>
        <w:rPr>
          <w:rFonts w:ascii="Calibri" w:cs="Calibri" w:eastAsia="Calibri" w:hAnsi="Calibri"/>
          <w:color w:val="16161A"/>
          <w:sz w:val="21"/>
          <w:szCs w:val="21"/>
        </w:rPr>
        <w:t xml:space="preserve">The value metric is live campaigns plus tracked visitors — chosen because it scales with the value the customer receives rather than with seats, which would penalize exactly the collaborative review behaviour the governance model encourages.</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600"/>
        <w:gridCol w:w="2900"/>
      </w:tblGrid>
      <w:tr>
        <w:trPr>
          <w:tblHeader/>
        </w:trPr>
        <w:tc>
          <w:tcPr>
            <w:tcW w:type="dxa" w:w="13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Tier</w:t>
            </w:r>
          </w:p>
        </w:tc>
        <w:tc>
          <w:tcPr>
            <w:tcW w:type="dxa" w:w="15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Price</w:t>
            </w:r>
          </w:p>
        </w:tc>
        <w:tc>
          <w:tcPr>
            <w:tcW w:type="dxa" w:w="36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Includes</w:t>
            </w:r>
          </w:p>
        </w:tc>
        <w:tc>
          <w:tcPr>
            <w:tcW w:type="dxa" w:w="29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Strategic role</w:t>
            </w:r>
          </w:p>
        </w:tc>
      </w:tr>
      <w:tr>
        <w:tc>
          <w:tcPr>
            <w:tcW w:type="dxa" w:w="1300"/>
            <w:tcMar>
              <w:top w:type="dxa" w:w="80"/>
              <w:left w:type="dxa" w:w="120"/>
              <w:bottom w:type="dxa" w:w="80"/>
              <w:right w:type="dxa" w:w="120"/>
            </w:tcMar>
          </w:tcPr>
          <w:p>
            <w:pPr>
              <w:spacing w:after="0"/>
            </w:pPr>
            <w:r>
              <w:rPr>
                <w:rFonts w:ascii="Calibri" w:cs="Calibri" w:eastAsia="Calibri" w:hAnsi="Calibri"/>
                <w:color w:val="16161A"/>
                <w:sz w:val="19"/>
                <w:szCs w:val="19"/>
              </w:rPr>
              <w:t xml:space="preserve">Free</w:t>
            </w:r>
          </w:p>
        </w:tc>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$0</w:t>
            </w:r>
          </w:p>
        </w:tc>
        <w:tc>
          <w:tcPr>
            <w:tcW w:type="dxa" w:w="3600"/>
            <w:tcMar>
              <w:top w:type="dxa" w:w="80"/>
              <w:left w:type="dxa" w:w="120"/>
              <w:bottom w:type="dxa" w:w="80"/>
              <w:right w:type="dxa" w:w="120"/>
            </w:tcMar>
          </w:tcPr>
          <w:p>
            <w:pPr>
              <w:spacing w:after="0"/>
            </w:pPr>
            <w:r>
              <w:rPr>
                <w:rFonts w:ascii="Calibri" w:cs="Calibri" w:eastAsia="Calibri" w:hAnsi="Calibri"/>
                <w:color w:val="16161A"/>
                <w:sz w:val="19"/>
                <w:szCs w:val="19"/>
              </w:rPr>
              <w:t xml:space="preserve">1 campaign · 5k MTU · badge on pages</w:t>
            </w:r>
          </w:p>
        </w:tc>
        <w:tc>
          <w:tcPr>
            <w:tcW w:type="dxa" w:w="2900"/>
            <w:tcMar>
              <w:top w:type="dxa" w:w="80"/>
              <w:left w:type="dxa" w:w="120"/>
              <w:bottom w:type="dxa" w:w="80"/>
              <w:right w:type="dxa" w:w="120"/>
            </w:tcMar>
          </w:tcPr>
          <w:p>
            <w:pPr>
              <w:spacing w:after="0"/>
            </w:pPr>
            <w:r>
              <w:rPr>
                <w:rFonts w:ascii="Calibri" w:cs="Calibri" w:eastAsia="Calibri" w:hAnsi="Calibri"/>
                <w:color w:val="16161A"/>
                <w:sz w:val="19"/>
                <w:szCs w:val="19"/>
              </w:rPr>
              <w:t xml:space="preserve">PLG top-of-funnel and the virality loop</w:t>
            </w:r>
          </w:p>
        </w:tc>
      </w:tr>
      <w:tr>
        <w:tc>
          <w:tcPr>
            <w:tcW w:type="dxa" w:w="1300"/>
            <w:tcMar>
              <w:top w:type="dxa" w:w="80"/>
              <w:left w:type="dxa" w:w="120"/>
              <w:bottom w:type="dxa" w:w="80"/>
              <w:right w:type="dxa" w:w="120"/>
            </w:tcMar>
          </w:tcPr>
          <w:p>
            <w:pPr>
              <w:spacing w:after="0"/>
            </w:pPr>
            <w:r>
              <w:rPr>
                <w:rFonts w:ascii="Calibri" w:cs="Calibri" w:eastAsia="Calibri" w:hAnsi="Calibri"/>
                <w:color w:val="16161A"/>
                <w:sz w:val="19"/>
                <w:szCs w:val="19"/>
              </w:rPr>
              <w:t xml:space="preserve">Growth</w:t>
            </w:r>
          </w:p>
        </w:tc>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$499/mo</w:t>
            </w:r>
          </w:p>
        </w:tc>
        <w:tc>
          <w:tcPr>
            <w:tcW w:type="dxa" w:w="3600"/>
            <w:tcMar>
              <w:top w:type="dxa" w:w="80"/>
              <w:left w:type="dxa" w:w="120"/>
              <w:bottom w:type="dxa" w:w="80"/>
              <w:right w:type="dxa" w:w="120"/>
            </w:tcMar>
          </w:tcPr>
          <w:p>
            <w:pPr>
              <w:spacing w:after="0"/>
            </w:pPr>
            <w:r>
              <w:rPr>
                <w:rFonts w:ascii="Calibri" w:cs="Calibri" w:eastAsia="Calibri" w:hAnsi="Calibri"/>
                <w:color w:val="16161A"/>
                <w:sz w:val="19"/>
                <w:szCs w:val="19"/>
              </w:rPr>
              <w:t xml:space="preserve">5 campaigns · 50k MTU · Experiment Studio · Copilot</w:t>
            </w:r>
          </w:p>
        </w:tc>
        <w:tc>
          <w:tcPr>
            <w:tcW w:type="dxa" w:w="2900"/>
            <w:tcMar>
              <w:top w:type="dxa" w:w="80"/>
              <w:left w:type="dxa" w:w="120"/>
              <w:bottom w:type="dxa" w:w="80"/>
              <w:right w:type="dxa" w:w="120"/>
            </w:tcMar>
          </w:tcPr>
          <w:p>
            <w:pPr>
              <w:spacing w:after="0"/>
            </w:pPr>
            <w:r>
              <w:rPr>
                <w:rFonts w:ascii="Calibri" w:cs="Calibri" w:eastAsia="Calibri" w:hAnsi="Calibri"/>
                <w:color w:val="16161A"/>
                <w:sz w:val="19"/>
                <w:szCs w:val="19"/>
              </w:rPr>
              <w:t xml:space="preserve">Collapses a ~$700–1,000/mo VWO + Jasper + Webflow stack</w:t>
            </w:r>
          </w:p>
        </w:tc>
      </w:tr>
      <w:tr>
        <w:tc>
          <w:tcPr>
            <w:tcW w:type="dxa" w:w="1300"/>
            <w:tcMar>
              <w:top w:type="dxa" w:w="80"/>
              <w:left w:type="dxa" w:w="120"/>
              <w:bottom w:type="dxa" w:w="80"/>
              <w:right w:type="dxa" w:w="120"/>
            </w:tcMar>
          </w:tcPr>
          <w:p>
            <w:pPr>
              <w:spacing w:after="0"/>
            </w:pPr>
            <w:r>
              <w:rPr>
                <w:rFonts w:ascii="Calibri" w:cs="Calibri" w:eastAsia="Calibri" w:hAnsi="Calibri"/>
                <w:color w:val="16161A"/>
                <w:sz w:val="19"/>
                <w:szCs w:val="19"/>
              </w:rPr>
              <w:t xml:space="preserve">Scale</w:t>
            </w:r>
          </w:p>
        </w:tc>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$1,499/mo</w:t>
            </w:r>
          </w:p>
        </w:tc>
        <w:tc>
          <w:tcPr>
            <w:tcW w:type="dxa" w:w="3600"/>
            <w:tcMar>
              <w:top w:type="dxa" w:w="80"/>
              <w:left w:type="dxa" w:w="120"/>
              <w:bottom w:type="dxa" w:w="80"/>
              <w:right w:type="dxa" w:w="120"/>
            </w:tcMar>
          </w:tcPr>
          <w:p>
            <w:pPr>
              <w:spacing w:after="0"/>
            </w:pPr>
            <w:r>
              <w:rPr>
                <w:rFonts w:ascii="Calibri" w:cs="Calibri" w:eastAsia="Calibri" w:hAnsi="Calibri"/>
                <w:color w:val="16161A"/>
                <w:sz w:val="19"/>
                <w:szCs w:val="19"/>
              </w:rPr>
              <w:t xml:space="preserve">20 campaigns · 250k MTU · Personalization · priority capacity</w:t>
            </w:r>
          </w:p>
        </w:tc>
        <w:tc>
          <w:tcPr>
            <w:tcW w:type="dxa" w:w="2900"/>
            <w:tcMar>
              <w:top w:type="dxa" w:w="80"/>
              <w:left w:type="dxa" w:w="120"/>
              <w:bottom w:type="dxa" w:w="80"/>
              <w:right w:type="dxa" w:w="120"/>
            </w:tcMar>
          </w:tcPr>
          <w:p>
            <w:pPr>
              <w:spacing w:after="0"/>
            </w:pPr>
            <w:r>
              <w:rPr>
                <w:rFonts w:ascii="Calibri" w:cs="Calibri" w:eastAsia="Calibri" w:hAnsi="Calibri"/>
                <w:color w:val="16161A"/>
                <w:sz w:val="19"/>
                <w:szCs w:val="19"/>
              </w:rPr>
              <w:t xml:space="preserve">Growth-stage e-commerce and SaaS</w:t>
            </w:r>
          </w:p>
        </w:tc>
      </w:tr>
      <w:tr>
        <w:tc>
          <w:tcPr>
            <w:tcW w:type="dxa" w:w="1300"/>
            <w:tcMar>
              <w:top w:type="dxa" w:w="80"/>
              <w:left w:type="dxa" w:w="120"/>
              <w:bottom w:type="dxa" w:w="80"/>
              <w:right w:type="dxa" w:w="120"/>
            </w:tcMar>
          </w:tcPr>
          <w:p>
            <w:pPr>
              <w:spacing w:after="0"/>
            </w:pPr>
            <w:r>
              <w:rPr>
                <w:rFonts w:ascii="Calibri" w:cs="Calibri" w:eastAsia="Calibri" w:hAnsi="Calibri"/>
                <w:color w:val="16161A"/>
                <w:sz w:val="19"/>
                <w:szCs w:val="19"/>
              </w:rPr>
              <w:t xml:space="preserve">Enterprise</w:t>
            </w:r>
          </w:p>
        </w:tc>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$40k+ ACV</w:t>
            </w:r>
          </w:p>
        </w:tc>
        <w:tc>
          <w:tcPr>
            <w:tcW w:type="dxa" w:w="3600"/>
            <w:tcMar>
              <w:top w:type="dxa" w:w="80"/>
              <w:left w:type="dxa" w:w="120"/>
              <w:bottom w:type="dxa" w:w="80"/>
              <w:right w:type="dxa" w:w="120"/>
            </w:tcMar>
          </w:tcPr>
          <w:p>
            <w:pPr>
              <w:spacing w:after="0"/>
            </w:pPr>
            <w:r>
              <w:rPr>
                <w:rFonts w:ascii="Calibri" w:cs="Calibri" w:eastAsia="Calibri" w:hAnsi="Calibri"/>
                <w:color w:val="16161A"/>
                <w:sz w:val="19"/>
                <w:szCs w:val="19"/>
              </w:rPr>
              <w:t xml:space="preserve">Governance suite · Brand Compliance AI · SSO / SOC 2</w:t>
            </w:r>
          </w:p>
        </w:tc>
        <w:tc>
          <w:tcPr>
            <w:tcW w:type="dxa" w:w="2900"/>
            <w:tcMar>
              <w:top w:type="dxa" w:w="80"/>
              <w:left w:type="dxa" w:w="120"/>
              <w:bottom w:type="dxa" w:w="80"/>
              <w:right w:type="dxa" w:w="120"/>
            </w:tcMar>
          </w:tcPr>
          <w:p>
            <w:pPr>
              <w:spacing w:after="0"/>
            </w:pPr>
            <w:r>
              <w:rPr>
                <w:rFonts w:ascii="Calibri" w:cs="Calibri" w:eastAsia="Calibri" w:hAnsi="Calibri"/>
                <w:color w:val="16161A"/>
                <w:sz w:val="19"/>
                <w:szCs w:val="19"/>
              </w:rPr>
              <w:t xml:space="preserve">Priced 30–40% below comparable Optimizely scope</w:t>
            </w:r>
          </w:p>
        </w:tc>
      </w:tr>
    </w:tbl>
    <w:p>
      <w:pPr>
        <w:spacing w:after="120"/>
      </w:pPr>
      <w:r>
        <w:rPr>
          <w:sz w:val="12"/>
          <w:szCs w:val="12"/>
        </w:rPr>
        <w:t xml:space="preserve"/>
      </w:r>
    </w:p>
    <w:p>
      <w:pPr>
        <w:spacing w:after="120" w:line="276"/>
      </w:pPr>
      <w:r>
        <w:rPr>
          <w:rFonts w:ascii="Calibri" w:cs="Calibri" w:eastAsia="Calibri" w:hAnsi="Calibri"/>
          <w:color w:val="16161A"/>
          <w:sz w:val="21"/>
          <w:szCs w:val="21"/>
        </w:rPr>
        <w:t xml:space="preserve">Anchors: VWO from roughly $314/month at 10k MTU; Optimizely five-figure annual and unpublished; GrowthBook free at the bottom of the market. An add-on meter for AI generation credits above the tier allowance protects gross margin against LLM cost exposure — a deliberate structural defence, since generation cost is the one variable that scales with usage rather than with revenue.</w:t>
      </w:r>
    </w:p>
    <w:p>
      <w:pPr>
        <w:pStyle w:val="Heading2"/>
        <w:spacing w:after="120" w:before="260"/>
      </w:pPr>
      <w:r>
        <w:rPr>
          <w:rFonts w:ascii="Calibri" w:cs="Calibri" w:eastAsia="Calibri" w:hAnsi="Calibri"/>
          <w:b/>
          <w:bCs/>
          <w:color w:val="16161A"/>
          <w:sz w:val="24"/>
          <w:szCs w:val="24"/>
        </w:rPr>
        <w:t xml:space="preserve">7.5 Channel plan — a focused few, executed excellently</w:t>
      </w:r>
    </w:p>
    <w:p>
      <w:pPr>
        <w:pStyle w:val="ListParagraph"/>
        <w:numPr>
          <w:ilvl w:val="0"/>
          <w:numId w:val="3"/>
        </w:numPr>
        <w:spacing w:after="80" w:line="276"/>
      </w:pPr>
      <w:r>
        <w:rPr>
          <w:rFonts w:ascii="Calibri" w:cs="Calibri" w:eastAsia="Calibri" w:hAnsi="Calibri"/>
          <w:color w:val="16161A"/>
          <w:sz w:val="21"/>
          <w:szCs w:val="21"/>
        </w:rPr>
        <w:t xml:space="preserve">Product-led growth: free tier, an indexable template gallery of AI campaign starters, and a "Powered by" badge loop.</w:t>
      </w:r>
    </w:p>
    <w:p>
      <w:pPr>
        <w:pStyle w:val="ListParagraph"/>
        <w:numPr>
          <w:ilvl w:val="0"/>
          <w:numId w:val="3"/>
        </w:numPr>
        <w:spacing w:after="80" w:line="276"/>
      </w:pPr>
      <w:r>
        <w:rPr>
          <w:rFonts w:ascii="Calibri" w:cs="Calibri" w:eastAsia="Calibri" w:hAnsi="Calibri"/>
          <w:color w:val="16161A"/>
          <w:sz w:val="21"/>
          <w:szCs w:val="21"/>
        </w:rPr>
        <w:t xml:space="preserve">Category content and SEO: own the term Autonomous Campaign Optimization; comparison and switch pages against Optimizely, VWO and Webflow; an annual State of Campaign Velocity report; and a published statistics methodology.</w:t>
      </w:r>
    </w:p>
    <w:p>
      <w:pPr>
        <w:pStyle w:val="ListParagraph"/>
        <w:numPr>
          <w:ilvl w:val="0"/>
          <w:numId w:val="3"/>
        </w:numPr>
        <w:spacing w:after="80" w:line="276"/>
      </w:pPr>
      <w:r>
        <w:rPr>
          <w:rFonts w:ascii="Calibri" w:cs="Calibri" w:eastAsia="Calibri" w:hAnsi="Calibri"/>
          <w:color w:val="16161A"/>
          <w:sz w:val="21"/>
          <w:szCs w:val="21"/>
        </w:rPr>
        <w:t xml:space="preserve">Founder-led outbound: 100 hand-picked mid-market SaaS teams converted into 10 design partners with quotable lift data.</w:t>
      </w:r>
    </w:p>
    <w:p>
      <w:pPr>
        <w:pStyle w:val="ListParagraph"/>
        <w:numPr>
          <w:ilvl w:val="0"/>
          <w:numId w:val="3"/>
        </w:numPr>
        <w:spacing w:after="80" w:line="276"/>
      </w:pPr>
      <w:r>
        <w:rPr>
          <w:rFonts w:ascii="Calibri" w:cs="Calibri" w:eastAsia="Calibri" w:hAnsi="Calibri"/>
          <w:color w:val="16161A"/>
          <w:sz w:val="21"/>
          <w:szCs w:val="21"/>
        </w:rPr>
        <w:t xml:space="preserve">Communities and voices: CRO and growth communities, martech newsletters, experimentation podcasts, LinkedIn growth voices.</w:t>
      </w:r>
    </w:p>
    <w:p>
      <w:pPr>
        <w:pStyle w:val="ListParagraph"/>
        <w:numPr>
          <w:ilvl w:val="0"/>
          <w:numId w:val="3"/>
        </w:numPr>
        <w:spacing w:after="80" w:line="276"/>
      </w:pPr>
      <w:r>
        <w:rPr>
          <w:rFonts w:ascii="Calibri" w:cs="Calibri" w:eastAsia="Calibri" w:hAnsi="Calibri"/>
          <w:color w:val="16161A"/>
          <w:sz w:val="21"/>
          <w:szCs w:val="21"/>
        </w:rPr>
        <w:t xml:space="preserve">Ecosystem: HubSpot, Segment and GA4 integrations; a Shopify app in Phase 2; and MCP agent-directory listings as an agent-native credential.</w:t>
      </w:r>
    </w:p>
    <w:p>
      <w:pPr>
        <w:spacing w:after="120" w:line="276"/>
      </w:pPr>
      <w:r>
        <w:rPr>
          <w:rFonts w:ascii="Calibri" w:cs="Calibri" w:eastAsia="Calibri" w:hAnsi="Calibri"/>
          <w:color w:val="16161A"/>
          <w:sz w:val="21"/>
          <w:szCs w:val="21"/>
        </w:rPr>
        <w:t xml:space="preserve">Paid search is explicitly a Phase-2 accelerant on proven comparison keywords, not a launch channel — buying traffic before activation is proven converts a product problem into an expensive product problem.</w:t>
      </w:r>
    </w:p>
    <w:p>
      <w:pPr>
        <w:pStyle w:val="Heading2"/>
        <w:spacing w:after="120" w:before="260"/>
      </w:pPr>
      <w:r>
        <w:rPr>
          <w:rFonts w:ascii="Calibri" w:cs="Calibri" w:eastAsia="Calibri" w:hAnsi="Calibri"/>
          <w:b/>
          <w:bCs/>
          <w:color w:val="16161A"/>
          <w:sz w:val="24"/>
          <w:szCs w:val="24"/>
        </w:rPr>
        <w:t xml:space="preserve">7.6 Launch plan — 18 months, with real gates</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3300"/>
        <w:gridCol w:w="2800"/>
      </w:tblGrid>
      <w:tr>
        <w:trPr>
          <w:tblHeader/>
        </w:trPr>
        <w:tc>
          <w:tcPr>
            <w:tcW w:type="dxa" w:w="15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Phase</w:t>
            </w:r>
          </w:p>
        </w:tc>
        <w:tc>
          <w:tcPr>
            <w:tcW w:type="dxa" w:w="17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Focus</w:t>
            </w:r>
          </w:p>
        </w:tc>
        <w:tc>
          <w:tcPr>
            <w:tcW w:type="dxa" w:w="33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Activity</w:t>
            </w:r>
          </w:p>
        </w:tc>
        <w:tc>
          <w:tcPr>
            <w:tcW w:type="dxa" w:w="28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Gate / target</w:t>
            </w:r>
          </w:p>
        </w:tc>
      </w:tr>
      <w:tr>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Phase 0 · Mo 1–3</w:t>
            </w:r>
          </w:p>
        </w:tc>
        <w:tc>
          <w:tcPr>
            <w:tcW w:type="dxa" w:w="1700"/>
            <w:tcMar>
              <w:top w:type="dxa" w:w="80"/>
              <w:left w:type="dxa" w:w="120"/>
              <w:bottom w:type="dxa" w:w="80"/>
              <w:right w:type="dxa" w:w="120"/>
            </w:tcMar>
          </w:tcPr>
          <w:p>
            <w:pPr>
              <w:spacing w:after="0"/>
            </w:pPr>
            <w:r>
              <w:rPr>
                <w:rFonts w:ascii="Calibri" w:cs="Calibri" w:eastAsia="Calibri" w:hAnsi="Calibri"/>
                <w:color w:val="16161A"/>
                <w:sz w:val="19"/>
                <w:szCs w:val="19"/>
              </w:rPr>
              <w:t xml:space="preserve">Design partners</w:t>
            </w:r>
          </w:p>
        </w:tc>
        <w:tc>
          <w:tcPr>
            <w:tcW w:type="dxa" w:w="3300"/>
            <w:tcMar>
              <w:top w:type="dxa" w:w="80"/>
              <w:left w:type="dxa" w:w="120"/>
              <w:bottom w:type="dxa" w:w="80"/>
              <w:right w:type="dxa" w:w="120"/>
            </w:tcMar>
          </w:tcPr>
          <w:p>
            <w:pPr>
              <w:spacing w:after="0"/>
            </w:pPr>
            <w:r>
              <w:rPr>
                <w:rFonts w:ascii="Calibri" w:cs="Calibri" w:eastAsia="Calibri" w:hAnsi="Calibri"/>
                <w:color w:val="16161A"/>
                <w:sz w:val="19"/>
                <w:szCs w:val="19"/>
              </w:rPr>
              <w:t xml:space="preserve">10 partners · weekly build-measure · category manifesto live</w:t>
            </w:r>
          </w:p>
        </w:tc>
        <w:tc>
          <w:tcPr>
            <w:tcW w:type="dxa" w:w="2800"/>
            <w:tcMar>
              <w:top w:type="dxa" w:w="80"/>
              <w:left w:type="dxa" w:w="120"/>
              <w:bottom w:type="dxa" w:w="80"/>
              <w:right w:type="dxa" w:w="120"/>
            </w:tcMar>
          </w:tcPr>
          <w:p>
            <w:pPr>
              <w:spacing w:after="0"/>
            </w:pPr>
            <w:r>
              <w:rPr>
                <w:rFonts w:ascii="Calibri" w:cs="Calibri" w:eastAsia="Calibri" w:hAnsi="Calibri"/>
                <w:color w:val="16161A"/>
                <w:sz w:val="19"/>
                <w:szCs w:val="19"/>
              </w:rPr>
              <w:t xml:space="preserve">8 of 10 launch a real campaign; at least 5 quotable lift stories</w:t>
            </w:r>
          </w:p>
        </w:tc>
      </w:tr>
      <w:tr>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Phase 1 · Mo 4–6</w:t>
            </w:r>
          </w:p>
        </w:tc>
        <w:tc>
          <w:tcPr>
            <w:tcW w:type="dxa" w:w="1700"/>
            <w:tcMar>
              <w:top w:type="dxa" w:w="80"/>
              <w:left w:type="dxa" w:w="120"/>
              <w:bottom w:type="dxa" w:w="80"/>
              <w:right w:type="dxa" w:w="120"/>
            </w:tcMar>
          </w:tcPr>
          <w:p>
            <w:pPr>
              <w:spacing w:after="0"/>
            </w:pPr>
            <w:r>
              <w:rPr>
                <w:rFonts w:ascii="Calibri" w:cs="Calibri" w:eastAsia="Calibri" w:hAnsi="Calibri"/>
                <w:color w:val="16161A"/>
                <w:sz w:val="19"/>
                <w:szCs w:val="19"/>
              </w:rPr>
              <w:t xml:space="preserve">Public beta</w:t>
            </w:r>
          </w:p>
        </w:tc>
        <w:tc>
          <w:tcPr>
            <w:tcW w:type="dxa" w:w="3300"/>
            <w:tcMar>
              <w:top w:type="dxa" w:w="80"/>
              <w:left w:type="dxa" w:w="120"/>
              <w:bottom w:type="dxa" w:w="80"/>
              <w:right w:type="dxa" w:w="120"/>
            </w:tcMar>
          </w:tcPr>
          <w:p>
            <w:pPr>
              <w:spacing w:after="0"/>
            </w:pPr>
            <w:r>
              <w:rPr>
                <w:rFonts w:ascii="Calibri" w:cs="Calibri" w:eastAsia="Calibri" w:hAnsi="Calibri"/>
                <w:color w:val="16161A"/>
                <w:sz w:val="19"/>
                <w:szCs w:val="19"/>
              </w:rPr>
              <w:t xml:space="preserve">PLG funnel · 50 AI templates · Product Hunt / HN launch · 3 case studies</w:t>
            </w:r>
          </w:p>
        </w:tc>
        <w:tc>
          <w:tcPr>
            <w:tcW w:type="dxa" w:w="2800"/>
            <w:tcMar>
              <w:top w:type="dxa" w:w="80"/>
              <w:left w:type="dxa" w:w="120"/>
              <w:bottom w:type="dxa" w:w="80"/>
              <w:right w:type="dxa" w:w="120"/>
            </w:tcMar>
          </w:tcPr>
          <w:p>
            <w:pPr>
              <w:spacing w:after="0"/>
            </w:pPr>
            <w:r>
              <w:rPr>
                <w:rFonts w:ascii="Calibri" w:cs="Calibri" w:eastAsia="Calibri" w:hAnsi="Calibri"/>
                <w:color w:val="16161A"/>
                <w:sz w:val="19"/>
                <w:szCs w:val="19"/>
              </w:rPr>
              <w:t xml:space="preserve">1,000 signups · 150 activated · 25 paying</w:t>
            </w:r>
          </w:p>
        </w:tc>
      </w:tr>
      <w:tr>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Phase 2 · Mo 7–12</w:t>
            </w:r>
          </w:p>
        </w:tc>
        <w:tc>
          <w:tcPr>
            <w:tcW w:type="dxa" w:w="1700"/>
            <w:tcMar>
              <w:top w:type="dxa" w:w="80"/>
              <w:left w:type="dxa" w:w="120"/>
              <w:bottom w:type="dxa" w:w="80"/>
              <w:right w:type="dxa" w:w="120"/>
            </w:tcMar>
          </w:tcPr>
          <w:p>
            <w:pPr>
              <w:spacing w:after="0"/>
            </w:pPr>
            <w:r>
              <w:rPr>
                <w:rFonts w:ascii="Calibri" w:cs="Calibri" w:eastAsia="Calibri" w:hAnsi="Calibri"/>
                <w:color w:val="16161A"/>
                <w:sz w:val="19"/>
                <w:szCs w:val="19"/>
              </w:rPr>
              <w:t xml:space="preserve">GA and monetization</w:t>
            </w:r>
          </w:p>
        </w:tc>
        <w:tc>
          <w:tcPr>
            <w:tcW w:type="dxa" w:w="3300"/>
            <w:tcMar>
              <w:top w:type="dxa" w:w="80"/>
              <w:left w:type="dxa" w:w="120"/>
              <w:bottom w:type="dxa" w:w="80"/>
              <w:right w:type="dxa" w:w="120"/>
            </w:tcMar>
          </w:tcPr>
          <w:p>
            <w:pPr>
              <w:spacing w:after="0"/>
            </w:pPr>
            <w:r>
              <w:rPr>
                <w:rFonts w:ascii="Calibri" w:cs="Calibri" w:eastAsia="Calibri" w:hAnsi="Calibri"/>
                <w:color w:val="16161A"/>
                <w:sz w:val="19"/>
                <w:szCs w:val="19"/>
              </w:rPr>
              <w:t xml:space="preserve">Pricing enforced · comparison SEO · benchmark report · sales-assist</w:t>
            </w:r>
          </w:p>
        </w:tc>
        <w:tc>
          <w:tcPr>
            <w:tcW w:type="dxa" w:w="2800"/>
            <w:tcMar>
              <w:top w:type="dxa" w:w="80"/>
              <w:left w:type="dxa" w:w="120"/>
              <w:bottom w:type="dxa" w:w="80"/>
              <w:right w:type="dxa" w:w="120"/>
            </w:tcMar>
          </w:tcPr>
          <w:p>
            <w:pPr>
              <w:spacing w:after="0"/>
            </w:pPr>
            <w:r>
              <w:rPr>
                <w:rFonts w:ascii="Calibri" w:cs="Calibri" w:eastAsia="Calibri" w:hAnsi="Calibri"/>
                <w:color w:val="16161A"/>
                <w:sz w:val="19"/>
                <w:szCs w:val="19"/>
              </w:rPr>
              <w:t xml:space="preserve">$1M ARR run-rate · NRR ≥110% · ≥40% of workspaces testing</w:t>
            </w:r>
          </w:p>
        </w:tc>
      </w:tr>
      <w:tr>
        <w:tc>
          <w:tcPr>
            <w:tcW w:type="dxa" w:w="1500"/>
            <w:tcMar>
              <w:top w:type="dxa" w:w="80"/>
              <w:left w:type="dxa" w:w="120"/>
              <w:bottom w:type="dxa" w:w="80"/>
              <w:right w:type="dxa" w:w="120"/>
            </w:tcMar>
          </w:tcPr>
          <w:p>
            <w:pPr>
              <w:spacing w:after="0"/>
            </w:pPr>
            <w:r>
              <w:rPr>
                <w:rFonts w:ascii="Calibri" w:cs="Calibri" w:eastAsia="Calibri" w:hAnsi="Calibri"/>
                <w:color w:val="16161A"/>
                <w:sz w:val="19"/>
                <w:szCs w:val="19"/>
              </w:rPr>
              <w:t xml:space="preserve">Phase 3 · Mo 13–18</w:t>
            </w:r>
          </w:p>
        </w:tc>
        <w:tc>
          <w:tcPr>
            <w:tcW w:type="dxa" w:w="1700"/>
            <w:tcMar>
              <w:top w:type="dxa" w:w="80"/>
              <w:left w:type="dxa" w:w="120"/>
              <w:bottom w:type="dxa" w:w="80"/>
              <w:right w:type="dxa" w:w="120"/>
            </w:tcMar>
          </w:tcPr>
          <w:p>
            <w:pPr>
              <w:spacing w:after="0"/>
            </w:pPr>
            <w:r>
              <w:rPr>
                <w:rFonts w:ascii="Calibri" w:cs="Calibri" w:eastAsia="Calibri" w:hAnsi="Calibri"/>
                <w:color w:val="16161A"/>
                <w:sz w:val="19"/>
                <w:szCs w:val="19"/>
              </w:rPr>
              <w:t xml:space="preserve">Enterprise wedge</w:t>
            </w:r>
          </w:p>
        </w:tc>
        <w:tc>
          <w:tcPr>
            <w:tcW w:type="dxa" w:w="3300"/>
            <w:tcMar>
              <w:top w:type="dxa" w:w="80"/>
              <w:left w:type="dxa" w:w="120"/>
              <w:bottom w:type="dxa" w:w="80"/>
              <w:right w:type="dxa" w:w="120"/>
            </w:tcMar>
          </w:tcPr>
          <w:p>
            <w:pPr>
              <w:spacing w:after="0"/>
            </w:pPr>
            <w:r>
              <w:rPr>
                <w:rFonts w:ascii="Calibri" w:cs="Calibri" w:eastAsia="Calibri" w:hAnsi="Calibri"/>
                <w:color w:val="16161A"/>
                <w:sz w:val="19"/>
                <w:szCs w:val="19"/>
              </w:rPr>
              <w:t xml:space="preserve">Governance GA · SOC 2 · 2–3 lighthouse logos · analyst briefings</w:t>
            </w:r>
          </w:p>
        </w:tc>
        <w:tc>
          <w:tcPr>
            <w:tcW w:type="dxa" w:w="2800"/>
            <w:tcMar>
              <w:top w:type="dxa" w:w="80"/>
              <w:left w:type="dxa" w:w="120"/>
              <w:bottom w:type="dxa" w:w="80"/>
              <w:right w:type="dxa" w:w="120"/>
            </w:tcMar>
          </w:tcPr>
          <w:p>
            <w:pPr>
              <w:spacing w:after="0"/>
            </w:pPr>
            <w:r>
              <w:rPr>
                <w:rFonts w:ascii="Calibri" w:cs="Calibri" w:eastAsia="Calibri" w:hAnsi="Calibri"/>
                <w:color w:val="16161A"/>
                <w:sz w:val="19"/>
                <w:szCs w:val="19"/>
              </w:rPr>
              <w:t xml:space="preserve">$3–5M ARR trajectory</w:t>
            </w:r>
          </w:p>
        </w:tc>
      </w:tr>
    </w:tbl>
    <w:p>
      <w:pPr>
        <w:spacing w:after="120"/>
      </w:pPr>
      <w:r>
        <w:rPr>
          <w:sz w:val="12"/>
          <w:szCs w:val="12"/>
        </w:rPr>
        <w:t xml:space="preserve"/>
      </w:r>
    </w:p>
    <w:p>
      <w:pPr>
        <w:spacing w:after="120" w:line="276"/>
      </w:pPr>
      <w:r>
        <w:rPr>
          <w:rFonts w:ascii="Calibri" w:cs="Calibri" w:eastAsia="Calibri" w:hAnsi="Calibri"/>
          <w:color w:val="16161A"/>
          <w:sz w:val="21"/>
          <w:szCs w:val="21"/>
        </w:rPr>
        <w:t xml:space="preserve">The go/no-go rules are written in advance so they cannot be rationalized away later: if Phase 0 fails its gate, fix the product before spending on demand. If Phase 1 activation falls below 20%, rework onboarding and pause paid spend.</w:t>
      </w:r>
    </w:p>
    <w:p>
      <w:pPr>
        <w:pStyle w:val="Heading2"/>
        <w:spacing w:after="120" w:before="260"/>
      </w:pPr>
      <w:r>
        <w:rPr>
          <w:rFonts w:ascii="Calibri" w:cs="Calibri" w:eastAsia="Calibri" w:hAnsi="Calibri"/>
          <w:b/>
          <w:bCs/>
          <w:color w:val="16161A"/>
          <w:sz w:val="24"/>
          <w:szCs w:val="24"/>
        </w:rPr>
        <w:t xml:space="preserve">7.7 Metrics framework</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00"/>
      </w:tblGrid>
      <w:tr>
        <w:trPr>
          <w:tblHeader/>
        </w:trPr>
        <w:tc>
          <w:tcPr>
            <w:tcW w:type="dxa" w:w="18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Layer</w:t>
            </w:r>
          </w:p>
        </w:tc>
        <w:tc>
          <w:tcPr>
            <w:tcW w:type="dxa" w:w="32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KPI</w:t>
            </w:r>
          </w:p>
        </w:tc>
        <w:tc>
          <w:tcPr>
            <w:tcW w:type="dxa" w:w="43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12-month target</w:t>
            </w:r>
          </w:p>
        </w:tc>
      </w:tr>
      <w:tr>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Awareness</w:t>
            </w:r>
          </w:p>
        </w:tc>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Category-term ranking</w:t>
            </w:r>
          </w:p>
        </w:tc>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Top 3 for "autonomous campaign optimization"</w:t>
            </w:r>
          </w:p>
        </w:tc>
      </w:tr>
      <w:tr>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Acquisition</w:t>
            </w:r>
          </w:p>
        </w:tc>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Signups / blended CAC</w:t>
            </w:r>
          </w:p>
        </w:tc>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1,500 per month · CAC under $400 self-serve</w:t>
            </w:r>
          </w:p>
        </w:tc>
      </w:tr>
      <w:tr>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Activation</w:t>
            </w:r>
          </w:p>
        </w:tc>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Live campaign within 7 days</w:t>
            </w:r>
          </w:p>
        </w:tc>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≥35% of new workspaces</w:t>
            </w:r>
          </w:p>
        </w:tc>
      </w:tr>
      <w:tr>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Value proof</w:t>
            </w:r>
          </w:p>
        </w:tc>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Intent → live · % of campaigns tested</w:t>
            </w:r>
          </w:p>
        </w:tc>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Under 4 hours · ≥40%</w:t>
            </w:r>
          </w:p>
        </w:tc>
      </w:tr>
      <w:tr>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Revenue</w:t>
            </w:r>
          </w:p>
        </w:tc>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ARR · NRR · free-to-paid</w:t>
            </w:r>
          </w:p>
        </w:tc>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$1M run-rate · ≥110% · ≥4%</w:t>
            </w:r>
          </w:p>
        </w:tc>
      </w:tr>
      <w:tr>
        <w:tc>
          <w:tcPr>
            <w:tcW w:type="dxa" w:w="1800"/>
            <w:tcMar>
              <w:top w:type="dxa" w:w="80"/>
              <w:left w:type="dxa" w:w="120"/>
              <w:bottom w:type="dxa" w:w="80"/>
              <w:right w:type="dxa" w:w="120"/>
            </w:tcMar>
          </w:tcPr>
          <w:p>
            <w:pPr>
              <w:spacing w:after="0"/>
            </w:pPr>
            <w:r>
              <w:rPr>
                <w:rFonts w:ascii="Calibri" w:cs="Calibri" w:eastAsia="Calibri" w:hAnsi="Calibri"/>
                <w:color w:val="16161A"/>
                <w:sz w:val="19"/>
                <w:szCs w:val="19"/>
              </w:rPr>
              <w:t xml:space="preserve">Retention</w:t>
            </w:r>
          </w:p>
        </w:tc>
        <w:tc>
          <w:tcPr>
            <w:tcW w:type="dxa" w:w="3200"/>
            <w:tcMar>
              <w:top w:type="dxa" w:w="80"/>
              <w:left w:type="dxa" w:w="120"/>
              <w:bottom w:type="dxa" w:w="80"/>
              <w:right w:type="dxa" w:w="120"/>
            </w:tcMar>
          </w:tcPr>
          <w:p>
            <w:pPr>
              <w:spacing w:after="0"/>
            </w:pPr>
            <w:r>
              <w:rPr>
                <w:rFonts w:ascii="Calibri" w:cs="Calibri" w:eastAsia="Calibri" w:hAnsi="Calibri"/>
                <w:color w:val="16161A"/>
                <w:sz w:val="19"/>
                <w:szCs w:val="19"/>
              </w:rPr>
              <w:t xml:space="preserve">Logo churn, Growth tier</w:t>
            </w:r>
          </w:p>
        </w:tc>
        <w:tc>
          <w:tcPr>
            <w:tcW w:type="dxa" w:w="4300"/>
            <w:tcMar>
              <w:top w:type="dxa" w:w="80"/>
              <w:left w:type="dxa" w:w="120"/>
              <w:bottom w:type="dxa" w:w="80"/>
              <w:right w:type="dxa" w:w="120"/>
            </w:tcMar>
          </w:tcPr>
          <w:p>
            <w:pPr>
              <w:spacing w:after="0"/>
            </w:pPr>
            <w:r>
              <w:rPr>
                <w:rFonts w:ascii="Calibri" w:cs="Calibri" w:eastAsia="Calibri" w:hAnsi="Calibri"/>
                <w:color w:val="16161A"/>
                <w:sz w:val="19"/>
                <w:szCs w:val="19"/>
              </w:rPr>
              <w:t xml:space="preserve">Under 2.5% per month</w:t>
            </w:r>
          </w:p>
        </w:tc>
      </w:tr>
    </w:tbl>
    <w:p>
      <w:pPr>
        <w:spacing w:after="120"/>
      </w:pPr>
      <w:r>
        <w:rPr>
          <w:sz w:val="12"/>
          <w:szCs w:val="12"/>
        </w:rPr>
        <w:t xml:space="preserve"/>
      </w:r>
    </w:p>
    <w:p>
      <w:pPr>
        <w:spacing w:after="120" w:line="276"/>
      </w:pPr>
      <w:r>
        <w:rPr>
          <w:rFonts w:ascii="Calibri" w:cs="Calibri" w:eastAsia="Calibri" w:hAnsi="Calibri"/>
          <w:color w:val="16161A"/>
          <w:sz w:val="21"/>
          <w:szCs w:val="21"/>
        </w:rPr>
        <w:t xml:space="preserve">The stat intended to market itself: ≥40% of IntentFlow workspaces run experiments, against an industry baseline the deck cites as under 15% — with the caveat, carried forward honestly from the research phase, that the baseline figure is itself flagged as a discrepancy against other published survey data and should be sourced carefully before external use.</w:t>
      </w:r>
    </w:p>
    <w:p>
      <w:pPr>
        <w:pStyle w:val="Heading2"/>
        <w:spacing w:after="120" w:before="260"/>
      </w:pPr>
      <w:r>
        <w:rPr>
          <w:rFonts w:ascii="Calibri" w:cs="Calibri" w:eastAsia="Calibri" w:hAnsi="Calibri"/>
          <w:b/>
          <w:bCs/>
          <w:color w:val="16161A"/>
          <w:sz w:val="24"/>
          <w:szCs w:val="24"/>
        </w:rPr>
        <w:t xml:space="preserve">7.8 Risks and mitigations</w:t>
      </w:r>
    </w:p>
    <w:p>
      <w:pPr>
        <w:spacing w:after="120"/>
      </w:pPr>
      <w:r>
        <w:rPr>
          <w:sz w:val="12"/>
          <w:szCs w:val="12"/>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00"/>
      </w:tblGrid>
      <w:tr>
        <w:trPr>
          <w:tblHeader/>
        </w:trPr>
        <w:tc>
          <w:tcPr>
            <w:tcW w:type="dxa" w:w="19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Risk</w:t>
            </w:r>
          </w:p>
        </w:tc>
        <w:tc>
          <w:tcPr>
            <w:tcW w:type="dxa" w:w="33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What it looks like</w:t>
            </w:r>
          </w:p>
        </w:tc>
        <w:tc>
          <w:tcPr>
            <w:tcW w:type="dxa" w:w="4100"/>
            <w:shd w:fill="F2F2F0" w:color="auto" w:val="clear"/>
            <w:tcMar>
              <w:top w:type="dxa" w:w="80"/>
              <w:left w:type="dxa" w:w="120"/>
              <w:bottom w:type="dxa" w:w="80"/>
              <w:right w:type="dxa" w:w="120"/>
            </w:tcMar>
          </w:tcPr>
          <w:p>
            <w:pPr>
              <w:spacing w:after="0"/>
            </w:pPr>
            <w:r>
              <w:rPr>
                <w:rFonts w:ascii="Calibri" w:cs="Calibri" w:eastAsia="Calibri" w:hAnsi="Calibri"/>
                <w:b/>
                <w:bCs/>
                <w:color w:val="16161A"/>
                <w:sz w:val="19"/>
                <w:szCs w:val="19"/>
              </w:rPr>
              <w:t xml:space="preserve">Mitigation</w:t>
            </w:r>
          </w:p>
        </w:tc>
      </w:tr>
      <w:tr>
        <w:tc>
          <w:tcPr>
            <w:tcW w:type="dxa" w:w="1900"/>
            <w:tcMar>
              <w:top w:type="dxa" w:w="80"/>
              <w:left w:type="dxa" w:w="120"/>
              <w:bottom w:type="dxa" w:w="80"/>
              <w:right w:type="dxa" w:w="120"/>
            </w:tcMar>
          </w:tcPr>
          <w:p>
            <w:pPr>
              <w:spacing w:after="0"/>
            </w:pPr>
            <w:r>
              <w:rPr>
                <w:rFonts w:ascii="Calibri" w:cs="Calibri" w:eastAsia="Calibri" w:hAnsi="Calibri"/>
                <w:color w:val="16161A"/>
                <w:sz w:val="19"/>
                <w:szCs w:val="19"/>
              </w:rPr>
              <w:t xml:space="preserve">Incumbent convergence</w:t>
            </w:r>
          </w:p>
        </w:tc>
        <w:tc>
          <w:tcPr>
            <w:tcW w:type="dxa" w:w="3300"/>
            <w:tcMar>
              <w:top w:type="dxa" w:w="80"/>
              <w:left w:type="dxa" w:w="120"/>
              <w:bottom w:type="dxa" w:w="80"/>
              <w:right w:type="dxa" w:w="120"/>
            </w:tcMar>
          </w:tcPr>
          <w:p>
            <w:pPr>
              <w:spacing w:after="0"/>
            </w:pPr>
            <w:r>
              <w:rPr>
                <w:rFonts w:ascii="Calibri" w:cs="Calibri" w:eastAsia="Calibri" w:hAnsi="Calibri"/>
                <w:color w:val="16161A"/>
                <w:sz w:val="19"/>
                <w:szCs w:val="19"/>
              </w:rPr>
              <w:t xml:space="preserve">Optimizely or Adobe ship credible agentic features inside our runway</w:t>
            </w:r>
          </w:p>
        </w:tc>
        <w:tc>
          <w:tcPr>
            <w:tcW w:type="dxa" w:w="4100"/>
            <w:tcMar>
              <w:top w:type="dxa" w:w="80"/>
              <w:left w:type="dxa" w:w="120"/>
              <w:bottom w:type="dxa" w:w="80"/>
              <w:right w:type="dxa" w:w="120"/>
            </w:tcMar>
          </w:tcPr>
          <w:p>
            <w:pPr>
              <w:spacing w:after="0"/>
            </w:pPr>
            <w:r>
              <w:rPr>
                <w:rFonts w:ascii="Calibri" w:cs="Calibri" w:eastAsia="Calibri" w:hAnsi="Calibri"/>
                <w:color w:val="16161A"/>
                <w:sz w:val="19"/>
                <w:szCs w:val="19"/>
              </w:rPr>
              <w:t xml:space="preserve">Speed, the Memory moat, and category naming — a fast follower validates the category we named</w:t>
            </w:r>
          </w:p>
        </w:tc>
      </w:tr>
      <w:tr>
        <w:tc>
          <w:tcPr>
            <w:tcW w:type="dxa" w:w="1900"/>
            <w:tcMar>
              <w:top w:type="dxa" w:w="80"/>
              <w:left w:type="dxa" w:w="120"/>
              <w:bottom w:type="dxa" w:w="80"/>
              <w:right w:type="dxa" w:w="120"/>
            </w:tcMar>
          </w:tcPr>
          <w:p>
            <w:pPr>
              <w:spacing w:after="0"/>
            </w:pPr>
            <w:r>
              <w:rPr>
                <w:rFonts w:ascii="Calibri" w:cs="Calibri" w:eastAsia="Calibri" w:hAnsi="Calibri"/>
                <w:color w:val="16161A"/>
                <w:sz w:val="19"/>
                <w:szCs w:val="19"/>
              </w:rPr>
              <w:t xml:space="preserve">LLM cost squeeze</w:t>
            </w:r>
          </w:p>
        </w:tc>
        <w:tc>
          <w:tcPr>
            <w:tcW w:type="dxa" w:w="3300"/>
            <w:tcMar>
              <w:top w:type="dxa" w:w="80"/>
              <w:left w:type="dxa" w:w="120"/>
              <w:bottom w:type="dxa" w:w="80"/>
              <w:right w:type="dxa" w:w="120"/>
            </w:tcMar>
          </w:tcPr>
          <w:p>
            <w:pPr>
              <w:spacing w:after="0"/>
            </w:pPr>
            <w:r>
              <w:rPr>
                <w:rFonts w:ascii="Calibri" w:cs="Calibri" w:eastAsia="Calibri" w:hAnsi="Calibri"/>
                <w:color w:val="16161A"/>
                <w:sz w:val="19"/>
                <w:szCs w:val="19"/>
              </w:rPr>
              <w:t xml:space="preserve">Generation costs erode gross margin at scale</w:t>
            </w:r>
          </w:p>
        </w:tc>
        <w:tc>
          <w:tcPr>
            <w:tcW w:type="dxa" w:w="4100"/>
            <w:tcMar>
              <w:top w:type="dxa" w:w="80"/>
              <w:left w:type="dxa" w:w="120"/>
              <w:bottom w:type="dxa" w:w="80"/>
              <w:right w:type="dxa" w:w="120"/>
            </w:tcMar>
          </w:tcPr>
          <w:p>
            <w:pPr>
              <w:spacing w:after="0"/>
            </w:pPr>
            <w:r>
              <w:rPr>
                <w:rFonts w:ascii="Calibri" w:cs="Calibri" w:eastAsia="Calibri" w:hAnsi="Calibri"/>
                <w:color w:val="16161A"/>
                <w:sz w:val="19"/>
                <w:szCs w:val="19"/>
              </w:rPr>
              <w:t xml:space="preserve">Metered generation credits · model routing to cheaper models · caching</w:t>
            </w:r>
          </w:p>
        </w:tc>
      </w:tr>
      <w:tr>
        <w:tc>
          <w:tcPr>
            <w:tcW w:type="dxa" w:w="1900"/>
            <w:tcMar>
              <w:top w:type="dxa" w:w="80"/>
              <w:left w:type="dxa" w:w="120"/>
              <w:bottom w:type="dxa" w:w="80"/>
              <w:right w:type="dxa" w:w="120"/>
            </w:tcMar>
          </w:tcPr>
          <w:p>
            <w:pPr>
              <w:spacing w:after="0"/>
            </w:pPr>
            <w:r>
              <w:rPr>
                <w:rFonts w:ascii="Calibri" w:cs="Calibri" w:eastAsia="Calibri" w:hAnsi="Calibri"/>
                <w:color w:val="16161A"/>
                <w:sz w:val="19"/>
                <w:szCs w:val="19"/>
              </w:rPr>
              <w:t xml:space="preserve">AI-quality trust gap</w:t>
            </w:r>
          </w:p>
        </w:tc>
        <w:tc>
          <w:tcPr>
            <w:tcW w:type="dxa" w:w="3300"/>
            <w:tcMar>
              <w:top w:type="dxa" w:w="80"/>
              <w:left w:type="dxa" w:w="120"/>
              <w:bottom w:type="dxa" w:w="80"/>
              <w:right w:type="dxa" w:w="120"/>
            </w:tcMar>
          </w:tcPr>
          <w:p>
            <w:pPr>
              <w:spacing w:after="0"/>
            </w:pPr>
            <w:r>
              <w:rPr>
                <w:rFonts w:ascii="Calibri" w:cs="Calibri" w:eastAsia="Calibri" w:hAnsi="Calibri"/>
                <w:color w:val="16161A"/>
                <w:sz w:val="19"/>
                <w:szCs w:val="19"/>
              </w:rPr>
              <w:t xml:space="preserve">One embarrassing generated page kills a logo</w:t>
            </w:r>
          </w:p>
        </w:tc>
        <w:tc>
          <w:tcPr>
            <w:tcW w:type="dxa" w:w="4100"/>
            <w:tcMar>
              <w:top w:type="dxa" w:w="80"/>
              <w:left w:type="dxa" w:w="120"/>
              <w:bottom w:type="dxa" w:w="80"/>
              <w:right w:type="dxa" w:w="120"/>
            </w:tcMar>
          </w:tcPr>
          <w:p>
            <w:pPr>
              <w:spacing w:after="0"/>
            </w:pPr>
            <w:r>
              <w:rPr>
                <w:rFonts w:ascii="Calibri" w:cs="Calibri" w:eastAsia="Calibri" w:hAnsi="Calibri"/>
                <w:color w:val="16161A"/>
                <w:sz w:val="19"/>
                <w:szCs w:val="19"/>
              </w:rPr>
              <w:t xml:space="preserve">Brand Compliance gate default-ON · human approval defaults · public quality benchmarks</w:t>
            </w:r>
          </w:p>
        </w:tc>
      </w:tr>
      <w:tr>
        <w:tc>
          <w:tcPr>
            <w:tcW w:type="dxa" w:w="1900"/>
            <w:tcMar>
              <w:top w:type="dxa" w:w="80"/>
              <w:left w:type="dxa" w:w="120"/>
              <w:bottom w:type="dxa" w:w="80"/>
              <w:right w:type="dxa" w:w="120"/>
            </w:tcMar>
          </w:tcPr>
          <w:p>
            <w:pPr>
              <w:spacing w:after="0"/>
            </w:pPr>
            <w:r>
              <w:rPr>
                <w:rFonts w:ascii="Calibri" w:cs="Calibri" w:eastAsia="Calibri" w:hAnsi="Calibri"/>
                <w:color w:val="16161A"/>
                <w:sz w:val="19"/>
                <w:szCs w:val="19"/>
              </w:rPr>
              <w:t xml:space="preserve">Stats credibility attack</w:t>
            </w:r>
          </w:p>
        </w:tc>
        <w:tc>
          <w:tcPr>
            <w:tcW w:type="dxa" w:w="3300"/>
            <w:tcMar>
              <w:top w:type="dxa" w:w="80"/>
              <w:left w:type="dxa" w:w="120"/>
              <w:bottom w:type="dxa" w:w="80"/>
              <w:right w:type="dxa" w:w="120"/>
            </w:tcMar>
          </w:tcPr>
          <w:p>
            <w:pPr>
              <w:spacing w:after="0"/>
            </w:pPr>
            <w:r>
              <w:rPr>
                <w:rFonts w:ascii="Calibri" w:cs="Calibri" w:eastAsia="Calibri" w:hAnsi="Calibri"/>
                <w:color w:val="16161A"/>
                <w:sz w:val="19"/>
                <w:szCs w:val="19"/>
              </w:rPr>
              <w:t xml:space="preserve">CRO experts publicly challenge the methodology</w:t>
            </w:r>
          </w:p>
        </w:tc>
        <w:tc>
          <w:tcPr>
            <w:tcW w:type="dxa" w:w="4100"/>
            <w:tcMar>
              <w:top w:type="dxa" w:w="80"/>
              <w:left w:type="dxa" w:w="120"/>
              <w:bottom w:type="dxa" w:w="80"/>
              <w:right w:type="dxa" w:w="120"/>
            </w:tcMar>
          </w:tcPr>
          <w:p>
            <w:pPr>
              <w:spacing w:after="0"/>
            </w:pPr>
            <w:r>
              <w:rPr>
                <w:rFonts w:ascii="Calibri" w:cs="Calibri" w:eastAsia="Calibri" w:hAnsi="Calibri"/>
                <w:color w:val="16161A"/>
                <w:sz w:val="19"/>
                <w:szCs w:val="19"/>
              </w:rPr>
              <w:t xml:space="preserve">Publish the methodology · invite scrutiny · a visible statistics advisor</w:t>
            </w:r>
          </w:p>
        </w:tc>
      </w:tr>
    </w:tbl>
    <w:p>
      <w:pPr>
        <w:spacing w:after="120"/>
      </w:pPr>
      <w:r>
        <w:rPr>
          <w:sz w:val="12"/>
          <w:szCs w:val="12"/>
        </w:rPr>
        <w:t xml:space="preserve"/>
      </w:r>
    </w:p>
    <w:p>
      <w:pPr>
        <w:pStyle w:val="Heading2"/>
        <w:spacing w:after="120" w:before="260"/>
      </w:pPr>
      <w:r>
        <w:rPr>
          <w:rFonts w:ascii="Calibri" w:cs="Calibri" w:eastAsia="Calibri" w:hAnsi="Calibri"/>
          <w:b/>
          <w:bCs/>
          <w:color w:val="16161A"/>
          <w:sz w:val="24"/>
          <w:szCs w:val="24"/>
        </w:rPr>
        <w:t xml:space="preserve">7.9 Branding</w:t>
      </w:r>
    </w:p>
    <w:p>
      <w:pPr>
        <w:spacing w:after="120" w:line="276"/>
      </w:pPr>
      <w:r>
        <w:rPr>
          <w:rFonts w:ascii="Calibri" w:cs="Calibri" w:eastAsia="Calibri" w:hAnsi="Calibri"/>
          <w:color w:val="16161A"/>
          <w:sz w:val="21"/>
          <w:szCs w:val="21"/>
        </w:rPr>
        <w:t xml:space="preserve">The organizing idea is elevation, not automation: we sell what marketers become when execution is delegated — strategists rather than production workers. This is the emotional wedge against Optimizely, which sells rigour to enterprises, and Adobe, which sells power to teams that already have creative departments.</w:t>
      </w:r>
    </w:p>
    <w:p>
      <w:pPr>
        <w:spacing w:after="120" w:line="276"/>
      </w:pPr>
      <w:r>
        <w:rPr>
          <w:rFonts w:ascii="Calibri" w:cs="Calibri" w:eastAsia="Calibri" w:hAnsi="Calibri"/>
          <w:color w:val="16161A"/>
          <w:sz w:val="21"/>
          <w:szCs w:val="21"/>
        </w:rPr>
        <w:t xml:space="preserve">The brand line, "Intent in. Outcomes out.", is deliberately mechanical rather than aspirational — it describes what the product does, and it is falsifiable, which is the point for a brand that sells epistemic honesty. The visual identity is instrument-grade against two clichés (enterprise-blue gradients and pastel AI-purple), using calm neutrals, one high-visibility signal, and the product's own posterior curves and allocation streams as brand art.</w:t>
      </w:r>
    </w:p>
    <w:p>
      <w:pPr>
        <w:pStyle w:val="Heading2"/>
        <w:spacing w:after="120" w:before="260"/>
      </w:pPr>
      <w:r>
        <w:rPr>
          <w:rFonts w:ascii="Calibri" w:cs="Calibri" w:eastAsia="Calibri" w:hAnsi="Calibri"/>
          <w:b/>
          <w:bCs/>
          <w:color w:val="16161A"/>
          <w:sz w:val="24"/>
          <w:szCs w:val="24"/>
        </w:rPr>
        <w:t xml:space="preserve">7.10 The ask</w:t>
      </w:r>
    </w:p>
    <w:p>
      <w:pPr>
        <w:spacing w:after="120" w:line="276"/>
      </w:pPr>
      <w:r>
        <w:rPr>
          <w:rFonts w:ascii="Calibri" w:cs="Calibri" w:eastAsia="Calibri" w:hAnsi="Calibri"/>
          <w:color w:val="16161A"/>
          <w:sz w:val="21"/>
          <w:szCs w:val="21"/>
        </w:rPr>
        <w:t xml:space="preserve">Convert an 18-month runway into a category we own. Concretely: approve Phase 0 and recruit 10 design partners from the beachhead ICP; fund brand and site v1 plus the category manifesto; and lock the name with legal clearance before public beta.</w:t>
      </w:r>
    </w:p>
    <w:p>
      <w:pPr>
        <w:pStyle w:val="Heading2"/>
        <w:spacing w:after="120" w:before="260"/>
      </w:pPr>
      <w:r>
        <w:rPr>
          <w:rFonts w:ascii="Calibri" w:cs="Calibri" w:eastAsia="Calibri" w:hAnsi="Calibri"/>
          <w:b/>
          <w:bCs/>
          <w:color w:val="16161A"/>
          <w:sz w:val="24"/>
          <w:szCs w:val="24"/>
        </w:rPr>
        <w:t xml:space="preserve">7.11 How AI supported the GTM phase</w:t>
      </w:r>
    </w:p>
    <w:p>
      <w:pPr>
        <w:spacing w:after="40" w:before="140"/>
      </w:pPr>
      <w:r>
        <w:rPr>
          <w:rFonts w:ascii="Calibri" w:cs="Calibri" w:eastAsia="Calibri" w:hAnsi="Calibri"/>
          <w:b/>
          <w:bCs/>
          <w:color w:val="F04E10"/>
          <w:sz w:val="19"/>
          <w:szCs w:val="19"/>
        </w:rPr>
        <w:t xml:space="preserve">Prompt 18 — GTM synthesis</w:t>
      </w:r>
    </w:p>
    <w:p>
      <w:pPr>
        <w:pBdr>
          <w:left w:val="single" w:color="D9D9D9" w:sz="12" w:space="8"/>
        </w:pBdr>
        <w:spacing w:after="0" w:line="260"/>
        <w:ind w:left="360"/>
      </w:pPr>
      <w:r>
        <w:rPr>
          <w:rFonts w:ascii="Consolas" w:cs="Consolas" w:eastAsia="Consolas" w:hAnsi="Consolas"/>
          <w:color w:val="3A3A42"/>
          <w:sz w:val="18"/>
          <w:szCs w:val="18"/>
        </w:rPr>
        <w:t xml:space="preserve">Using the verified market research and the approved positioning, build an</w:t>
      </w:r>
    </w:p>
    <w:p>
      <w:pPr>
        <w:pBdr>
          <w:left w:val="single" w:color="D9D9D9" w:sz="12" w:space="8"/>
        </w:pBdr>
        <w:spacing w:after="0" w:line="260"/>
        <w:ind w:left="360"/>
      </w:pPr>
      <w:r>
        <w:rPr>
          <w:rFonts w:ascii="Consolas" w:cs="Consolas" w:eastAsia="Consolas" w:hAnsi="Consolas"/>
          <w:color w:val="3A3A42"/>
          <w:sz w:val="18"/>
          <w:szCs w:val="18"/>
        </w:rPr>
        <w:t xml:space="preserve">18-month go-to-market plan. Sequence the three personas rather than targeting</w:t>
      </w:r>
    </w:p>
    <w:p>
      <w:pPr>
        <w:pBdr>
          <w:left w:val="single" w:color="D9D9D9" w:sz="12" w:space="8"/>
        </w:pBdr>
        <w:spacing w:after="0" w:line="260"/>
        <w:ind w:left="360"/>
      </w:pPr>
      <w:r>
        <w:rPr>
          <w:rFonts w:ascii="Consolas" w:cs="Consolas" w:eastAsia="Consolas" w:hAnsi="Consolas"/>
          <w:color w:val="3A3A42"/>
          <w:sz w:val="18"/>
          <w:szCs w:val="18"/>
        </w:rPr>
        <w:t xml:space="preserve">them simultaneously, and justify the sequence. Define an anti-ICP we will refuse</w:t>
      </w:r>
    </w:p>
    <w:p>
      <w:pPr>
        <w:pBdr>
          <w:left w:val="single" w:color="D9D9D9" w:sz="12" w:space="8"/>
        </w:pBdr>
        <w:spacing w:after="0" w:line="260"/>
        <w:ind w:left="360"/>
      </w:pPr>
      <w:r>
        <w:rPr>
          <w:rFonts w:ascii="Consolas" w:cs="Consolas" w:eastAsia="Consolas" w:hAnsi="Consolas"/>
          <w:color w:val="3A3A42"/>
          <w:sz w:val="18"/>
          <w:szCs w:val="18"/>
        </w:rPr>
        <w:t xml:space="preserve">early and say why each exclusion protects us. For every phase, write the</w:t>
      </w:r>
    </w:p>
    <w:p>
      <w:pPr>
        <w:pBdr>
          <w:left w:val="single" w:color="D9D9D9" w:sz="12" w:space="8"/>
        </w:pBdr>
        <w:spacing w:after="0" w:line="260"/>
        <w:ind w:left="360"/>
      </w:pPr>
      <w:r>
        <w:rPr>
          <w:rFonts w:ascii="Consolas" w:cs="Consolas" w:eastAsia="Consolas" w:hAnsi="Consolas"/>
          <w:color w:val="3A3A42"/>
          <w:sz w:val="18"/>
          <w:szCs w:val="18"/>
        </w:rPr>
        <w:t xml:space="preserve">go/no-go gate BEFORE the activities, so the gate cannot be rationalized after</w:t>
      </w:r>
    </w:p>
    <w:p>
      <w:pPr>
        <w:pBdr>
          <w:left w:val="single" w:color="D9D9D9" w:sz="12" w:space="8"/>
        </w:pBdr>
        <w:spacing w:after="140" w:line="260"/>
        <w:ind w:left="360"/>
      </w:pPr>
      <w:r>
        <w:rPr>
          <w:rFonts w:ascii="Consolas" w:cs="Consolas" w:eastAsia="Consolas" w:hAnsi="Consolas"/>
          <w:color w:val="3A3A42"/>
          <w:sz w:val="18"/>
          <w:szCs w:val="18"/>
        </w:rPr>
        <w:t xml:space="preserve">the fact.</w:t>
      </w:r>
    </w:p>
    <w:p>
      <w:pPr>
        <w:spacing w:after="40" w:before="140"/>
      </w:pPr>
      <w:r>
        <w:rPr>
          <w:rFonts w:ascii="Calibri" w:cs="Calibri" w:eastAsia="Calibri" w:hAnsi="Calibri"/>
          <w:b/>
          <w:bCs/>
          <w:color w:val="F04E10"/>
          <w:sz w:val="19"/>
          <w:szCs w:val="19"/>
        </w:rPr>
        <w:t xml:space="preserve">Prompt 19 — pricing</w:t>
      </w:r>
    </w:p>
    <w:p>
      <w:pPr>
        <w:pBdr>
          <w:left w:val="single" w:color="D9D9D9" w:sz="12" w:space="8"/>
        </w:pBdr>
        <w:spacing w:after="0" w:line="260"/>
        <w:ind w:left="360"/>
      </w:pPr>
      <w:r>
        <w:rPr>
          <w:rFonts w:ascii="Consolas" w:cs="Consolas" w:eastAsia="Consolas" w:hAnsi="Consolas"/>
          <w:color w:val="3A3A42"/>
          <w:sz w:val="18"/>
          <w:szCs w:val="18"/>
        </w:rPr>
        <w:t xml:space="preserve">Propose pricing and packaging using live campaigns plus tracked visitors as the</w:t>
      </w:r>
    </w:p>
    <w:p>
      <w:pPr>
        <w:pBdr>
          <w:left w:val="single" w:color="D9D9D9" w:sz="12" w:space="8"/>
        </w:pBdr>
        <w:spacing w:after="0" w:line="260"/>
        <w:ind w:left="360"/>
      </w:pPr>
      <w:r>
        <w:rPr>
          <w:rFonts w:ascii="Consolas" w:cs="Consolas" w:eastAsia="Consolas" w:hAnsi="Consolas"/>
          <w:color w:val="3A3A42"/>
          <w:sz w:val="18"/>
          <w:szCs w:val="18"/>
        </w:rPr>
        <w:t xml:space="preserve">value metric. Anchor against real published competitor pricing where it exists,</w:t>
      </w:r>
    </w:p>
    <w:p>
      <w:pPr>
        <w:pBdr>
          <w:left w:val="single" w:color="D9D9D9" w:sz="12" w:space="8"/>
        </w:pBdr>
        <w:spacing w:after="0" w:line="260"/>
        <w:ind w:left="360"/>
      </w:pPr>
      <w:r>
        <w:rPr>
          <w:rFonts w:ascii="Consolas" w:cs="Consolas" w:eastAsia="Consolas" w:hAnsi="Consolas"/>
          <w:color w:val="3A3A42"/>
          <w:sz w:val="18"/>
          <w:szCs w:val="18"/>
        </w:rPr>
        <w:t xml:space="preserve">and say where it does not. Identify the cost structure that could destroy gross</w:t>
      </w:r>
    </w:p>
    <w:p>
      <w:pPr>
        <w:pBdr>
          <w:left w:val="single" w:color="D9D9D9" w:sz="12" w:space="8"/>
        </w:pBdr>
        <w:spacing w:after="140" w:line="260"/>
        <w:ind w:left="360"/>
      </w:pPr>
      <w:r>
        <w:rPr>
          <w:rFonts w:ascii="Consolas" w:cs="Consolas" w:eastAsia="Consolas" w:hAnsi="Consolas"/>
          <w:color w:val="3A3A42"/>
          <w:sz w:val="18"/>
          <w:szCs w:val="18"/>
        </w:rPr>
        <w:t xml:space="preserve">margin at scale and design a packaging defence against it.</w:t>
      </w:r>
    </w:p>
    <w:p>
      <w:pPr>
        <w:spacing w:after="40" w:before="140"/>
      </w:pPr>
      <w:r>
        <w:rPr>
          <w:rFonts w:ascii="Calibri" w:cs="Calibri" w:eastAsia="Calibri" w:hAnsi="Calibri"/>
          <w:b/>
          <w:bCs/>
          <w:color w:val="F04E10"/>
          <w:sz w:val="19"/>
          <w:szCs w:val="19"/>
        </w:rPr>
        <w:t xml:space="preserve">Prompt 20 — pre-mortem</w:t>
      </w:r>
    </w:p>
    <w:p>
      <w:pPr>
        <w:pBdr>
          <w:left w:val="single" w:color="D9D9D9" w:sz="12" w:space="8"/>
        </w:pBdr>
        <w:spacing w:after="0" w:line="260"/>
        <w:ind w:left="360"/>
      </w:pPr>
      <w:r>
        <w:rPr>
          <w:rFonts w:ascii="Consolas" w:cs="Consolas" w:eastAsia="Consolas" w:hAnsi="Consolas"/>
          <w:color w:val="3A3A42"/>
          <w:sz w:val="18"/>
          <w:szCs w:val="18"/>
        </w:rPr>
        <w:t xml:space="preserve">It is 18 months from now and this plan failed. Write the four most likely</w:t>
      </w:r>
    </w:p>
    <w:p>
      <w:pPr>
        <w:pBdr>
          <w:left w:val="single" w:color="D9D9D9" w:sz="12" w:space="8"/>
        </w:pBdr>
        <w:spacing w:after="0" w:line="260"/>
        <w:ind w:left="360"/>
      </w:pPr>
      <w:r>
        <w:rPr>
          <w:rFonts w:ascii="Consolas" w:cs="Consolas" w:eastAsia="Consolas" w:hAnsi="Consolas"/>
          <w:color w:val="3A3A42"/>
          <w:sz w:val="18"/>
          <w:szCs w:val="18"/>
        </w:rPr>
        <w:t xml:space="preserve">post-mortems, in order of probability, and for each give the mitigation we</w:t>
      </w:r>
    </w:p>
    <w:p>
      <w:pPr>
        <w:pBdr>
          <w:left w:val="single" w:color="D9D9D9" w:sz="12" w:space="8"/>
        </w:pBdr>
        <w:spacing w:after="140" w:line="260"/>
        <w:ind w:left="360"/>
      </w:pPr>
      <w:r>
        <w:rPr>
          <w:rFonts w:ascii="Consolas" w:cs="Consolas" w:eastAsia="Consolas" w:hAnsi="Consolas"/>
          <w:color w:val="3A3A42"/>
          <w:sz w:val="18"/>
          <w:szCs w:val="18"/>
        </w:rPr>
        <w:t xml:space="preserve">should put in place today — not a monitoring plan, an actual structural defence.</w:t>
      </w:r>
    </w:p>
    <w:p>
      <w:pPr>
        <w:spacing w:after="120" w:line="276"/>
      </w:pPr>
      <w:r>
        <w:rPr>
          <w:rFonts w:ascii="Calibri" w:cs="Calibri" w:eastAsia="Calibri" w:hAnsi="Calibri"/>
          <w:color w:val="16161A"/>
          <w:sz w:val="21"/>
          <w:szCs w:val="21"/>
        </w:rPr>
        <w:t xml:space="preserve">Prompt 20 produced the risk register in Section 7.8 more or less directly. Asking a model to imagine a specific failure yields sharper, more actionable output than asking it to list risks in the abstract.</w:t>
      </w:r>
    </w:p>
    <w:p>
      <w:r>
        <w:br w:type="page"/>
      </w:r>
    </w:p>
    <w:p>
      <w:pPr>
        <w:pStyle w:val="Heading1"/>
        <w:spacing w:after="160" w:before="360"/>
      </w:pPr>
      <w:r>
        <w:rPr>
          <w:rFonts w:ascii="Calibri" w:cs="Calibri" w:eastAsia="Calibri" w:hAnsi="Calibri"/>
          <w:b/>
          <w:bCs/>
          <w:color w:val="16161A"/>
          <w:sz w:val="30"/>
          <w:szCs w:val="30"/>
        </w:rPr>
        <w:t xml:space="preserve">8. Reflections on Building With AI</w:t>
      </w:r>
    </w:p>
    <w:p>
      <w:pPr>
        <w:spacing w:after="120" w:line="276"/>
      </w:pPr>
      <w:r>
        <w:rPr>
          <w:rFonts w:ascii="Calibri" w:cs="Calibri" w:eastAsia="Calibri" w:hAnsi="Calibri"/>
          <w:color w:val="16161A"/>
          <w:sz w:val="21"/>
          <w:szCs w:val="21"/>
        </w:rPr>
        <w:t xml:space="preserve">Because AI was present at every phase, the project doubles as a case study in AI-assisted product development. Five observations generalize beyond IntentFlow.</w:t>
      </w:r>
    </w:p>
    <w:p>
      <w:pPr>
        <w:pStyle w:val="ListParagraph"/>
        <w:numPr>
          <w:ilvl w:val="0"/>
          <w:numId w:val="3"/>
        </w:numPr>
        <w:spacing w:after="80" w:line="276"/>
      </w:pPr>
      <w:r>
        <w:rPr>
          <w:rFonts w:ascii="Calibri" w:cs="Calibri" w:eastAsia="Calibri" w:hAnsi="Calibri"/>
          <w:color w:val="16161A"/>
          <w:sz w:val="21"/>
          <w:szCs w:val="21"/>
        </w:rPr>
        <w:t xml:space="preserve">The adversarial step is where the value is. The single highest-leverage prompt in the entire project was the one that asked a model to attack our own work. It found a positioning claim contradicted by our own cited evidence and a competitor quote that did not exist. Generation is cheap and getting cheaper; disciplined critique is what remains scarce.</w:t>
      </w:r>
    </w:p>
    <w:p>
      <w:pPr>
        <w:pStyle w:val="ListParagraph"/>
        <w:numPr>
          <w:ilvl w:val="0"/>
          <w:numId w:val="3"/>
        </w:numPr>
        <w:spacing w:after="80" w:line="276"/>
      </w:pPr>
      <w:r>
        <w:rPr>
          <w:rFonts w:ascii="Calibri" w:cs="Calibri" w:eastAsia="Calibri" w:hAnsi="Calibri"/>
          <w:color w:val="16161A"/>
          <w:sz w:val="21"/>
          <w:szCs w:val="21"/>
        </w:rPr>
        <w:t xml:space="preserve">Fluency is not correctness — in research, design, or code. Unverifiable statistics read exactly like verified ones. A beautiful screen for a state that should not exist looks like a beautiful screen. Code with a missing await reads like correct code. In all three cases the countermeasure was the same: verify against something external — a primary source, a requirement, a running browser.</w:t>
      </w:r>
    </w:p>
    <w:p>
      <w:pPr>
        <w:pStyle w:val="ListParagraph"/>
        <w:numPr>
          <w:ilvl w:val="0"/>
          <w:numId w:val="3"/>
        </w:numPr>
        <w:spacing w:after="80" w:line="276"/>
      </w:pPr>
      <w:r>
        <w:rPr>
          <w:rFonts w:ascii="Calibri" w:cs="Calibri" w:eastAsia="Calibri" w:hAnsi="Calibri"/>
          <w:color w:val="16161A"/>
          <w:sz w:val="21"/>
          <w:szCs w:val="21"/>
        </w:rPr>
        <w:t xml:space="preserve">Written context outperforms clever prompting. The most useful artefacts in the repository are not prompts but the convention file, the ADRs and the PRDs. They mean any session, with no memory of the project, can pick up where the last one stopped. Getting the context right is more durable than getting the prompt right.</w:t>
      </w:r>
    </w:p>
    <w:p>
      <w:pPr>
        <w:pStyle w:val="ListParagraph"/>
        <w:numPr>
          <w:ilvl w:val="0"/>
          <w:numId w:val="3"/>
        </w:numPr>
        <w:spacing w:after="80" w:line="276"/>
      </w:pPr>
      <w:r>
        <w:rPr>
          <w:rFonts w:ascii="Calibri" w:cs="Calibri" w:eastAsia="Calibri" w:hAnsi="Calibri"/>
          <w:color w:val="16161A"/>
          <w:sz w:val="21"/>
          <w:szCs w:val="21"/>
        </w:rPr>
        <w:t xml:space="preserve">AI must be explicitly rewarded for reporting failure. Models are cooperative by default and will quietly fill a gap rather than name it. Requiring an explicit "cannot verify" list, and requiring caveats in the first sentence rather than the last, is what produced the honest status reporting throughout this project.</w:t>
      </w:r>
    </w:p>
    <w:p>
      <w:pPr>
        <w:pStyle w:val="ListParagraph"/>
        <w:numPr>
          <w:ilvl w:val="0"/>
          <w:numId w:val="3"/>
        </w:numPr>
        <w:spacing w:after="80" w:line="276"/>
      </w:pPr>
      <w:r>
        <w:rPr>
          <w:rFonts w:ascii="Calibri" w:cs="Calibri" w:eastAsia="Calibri" w:hAnsi="Calibri"/>
          <w:color w:val="16161A"/>
          <w:sz w:val="21"/>
          <w:szCs w:val="21"/>
        </w:rPr>
        <w:t xml:space="preserve">The bottleneck moved, it did not disappear. AI removed the cost of producing a page, a design, a market summary, a slice of code. What it did not remove — and arguably made scarcer — is judgement about what should exist, and verification that what was produced actually works. This project spent most of its human effort on exactly those two things, which is probably the right allocation.</w:t>
      </w:r>
    </w:p>
    <w:p>
      <w:r>
        <w:br w:type="page"/>
      </w:r>
    </w:p>
    <w:p>
      <w:pPr>
        <w:pStyle w:val="Heading1"/>
        <w:spacing w:after="160" w:before="360"/>
      </w:pPr>
      <w:r>
        <w:rPr>
          <w:rFonts w:ascii="Calibri" w:cs="Calibri" w:eastAsia="Calibri" w:hAnsi="Calibri"/>
          <w:b/>
          <w:bCs/>
          <w:color w:val="16161A"/>
          <w:sz w:val="30"/>
          <w:szCs w:val="30"/>
        </w:rPr>
        <w:t xml:space="preserve">9. Conclusion and Acknowledgements</w:t>
      </w:r>
    </w:p>
    <w:p>
      <w:pPr>
        <w:spacing w:after="120" w:line="276"/>
      </w:pPr>
      <w:r>
        <w:rPr>
          <w:rFonts w:ascii="Calibri" w:cs="Calibri" w:eastAsia="Calibri" w:hAnsi="Calibri"/>
          <w:color w:val="16161A"/>
          <w:sz w:val="21"/>
          <w:szCs w:val="21"/>
        </w:rPr>
        <w:t xml:space="preserve">IntentFlow set out to test a specific proposition: that a marketer should be able to state an intent in plain language and receive a live, self-testing, continuously improving campaign — and that the experiment should be part of the content rather than a script layered on top of it. That proposition now has running software behind it. Seven slices across three phases are delivered, with 168 automated checks passing, seven Architecture Decision Records, and seven Product Requirement Documents each carrying an honest out-of-scope section.</w:t>
      </w:r>
    </w:p>
    <w:p>
      <w:pPr>
        <w:spacing w:after="120" w:line="276"/>
      </w:pPr>
      <w:r>
        <w:rPr>
          <w:rFonts w:ascii="Calibri" w:cs="Calibri" w:eastAsia="Calibri" w:hAnsi="Calibri"/>
          <w:color w:val="16161A"/>
          <w:sz w:val="21"/>
          <w:szCs w:val="21"/>
        </w:rPr>
        <w:t xml:space="preserve">What we are most satisfied with is not the feature count. It is that the project holds together as a chain of reasoning: interviews produced pains, pains produced prioritized requirements, requirements produced a value proposition that survived its own strongest objection, that proposition constrained the design, the design constrained the architecture, and the architecture is what the go-to-market plan actually sells. Where a link in that chain broke — the positioning claim contradicted by our own research, the statistics we could not verify, the approval record we discovered was missing — we recorded the break rather than smoothing it over. A product that sells scientific honesty had no honest alternative.</w:t>
      </w:r>
    </w:p>
    <w:p>
      <w:pPr>
        <w:spacing w:after="120" w:line="276"/>
      </w:pPr>
      <w:r>
        <w:rPr>
          <w:rFonts w:ascii="Calibri" w:cs="Calibri" w:eastAsia="Calibri" w:hAnsi="Calibri"/>
          <w:color w:val="16161A"/>
          <w:sz w:val="21"/>
          <w:szCs w:val="21"/>
        </w:rPr>
        <w:t xml:space="preserve">The limits are equally clear and equally documented. Authentication is a placeholder. The public endpoints are unprotected. Tenant isolation is application-level. Several inherited statistics remain flagged as assumptions. None of these are surprises; all of them are written down, dated, and sequenced in a roadmap. Knowing precisely what is not done is, we would argue, a result in its own right.</w:t>
      </w:r>
    </w:p>
    <w:p>
      <w:pPr>
        <w:pStyle w:val="Heading2"/>
        <w:spacing w:after="120" w:before="260"/>
      </w:pPr>
      <w:r>
        <w:rPr>
          <w:rFonts w:ascii="Calibri" w:cs="Calibri" w:eastAsia="Calibri" w:hAnsi="Calibri"/>
          <w:b/>
          <w:bCs/>
          <w:color w:val="16161A"/>
          <w:sz w:val="24"/>
          <w:szCs w:val="24"/>
        </w:rPr>
        <w:t xml:space="preserve">Acknowledgements</w:t>
      </w:r>
    </w:p>
    <w:p>
      <w:pPr>
        <w:spacing w:after="120" w:line="276"/>
      </w:pPr>
      <w:r>
        <w:rPr>
          <w:rFonts w:ascii="Calibri" w:cs="Calibri" w:eastAsia="Calibri" w:hAnsi="Calibri"/>
          <w:color w:val="16161A"/>
          <w:sz w:val="21"/>
          <w:szCs w:val="21"/>
        </w:rPr>
        <w:t xml:space="preserve">Our sincere thanks to Professor Saravana, whose guidance shaped this project from the proposal stage through to delivery. His insistence on rigour — on knowing where a number came from, on being able to defend a positioning claim rather than merely assert it, and on distinguishing what has been built from what has been imagined — is visible in nearly every section of this report, most of all in the ones where we had to correct ourselves.</w:t>
      </w:r>
    </w:p>
    <w:p>
      <w:pPr>
        <w:spacing w:after="120" w:line="276"/>
      </w:pPr>
      <w:r>
        <w:rPr>
          <w:rFonts w:ascii="Calibri" w:cs="Calibri" w:eastAsia="Calibri" w:hAnsi="Calibri"/>
          <w:color w:val="16161A"/>
          <w:sz w:val="21"/>
          <w:szCs w:val="21"/>
        </w:rPr>
        <w:t xml:space="preserve">We are equally grateful to Arun for his sustained support, practical direction and generous feedback throughout. His input at critical decision points — particularly on scoping and on the discipline of what to leave out — kept the project focused when it could easily have sprawled.</w:t>
      </w:r>
    </w:p>
    <w:p>
      <w:pPr>
        <w:spacing w:after="120" w:line="276"/>
      </w:pPr>
      <w:r>
        <w:rPr>
          <w:rFonts w:ascii="Calibri" w:cs="Calibri" w:eastAsia="Calibri" w:hAnsi="Calibri"/>
          <w:color w:val="16161A"/>
          <w:sz w:val="21"/>
          <w:szCs w:val="21"/>
        </w:rPr>
        <w:t xml:space="preserve">Thanks also to the forty-plus practitioners who gave their time in discovery interviews. Maya, Raj and Sarah are composites, but the frustrations behind them are real, and they are the reason this product exists in the shape it does.</w:t>
      </w:r>
    </w:p>
    <w:p>
      <w:pPr>
        <w:spacing w:after="120"/>
      </w:pPr>
      <w:r>
        <w:rPr>
          <w:sz w:val="12"/>
          <w:szCs w:val="12"/>
        </w:rPr>
        <w:t xml:space="preserve"/>
      </w:r>
    </w:p>
    <w:p>
      <w:pPr>
        <w:spacing w:before="400"/>
        <w:jc w:val="center"/>
      </w:pPr>
      <w:r>
        <w:rPr>
          <w:rFonts w:ascii="Calibri" w:cs="Calibri" w:eastAsia="Calibri" w:hAnsi="Calibri"/>
          <w:i/>
          <w:iCs/>
          <w:color w:val="F04E10"/>
          <w:sz w:val="24"/>
          <w:szCs w:val="24"/>
        </w:rPr>
        <w:t xml:space="preserve">"The future of digital marketing is not building campaigns — it is defining business outcomes."</w:t>
      </w:r>
    </w:p>
    <w:p>
      <w:pPr>
        <w:spacing w:before="120"/>
        <w:jc w:val="center"/>
      </w:pPr>
      <w:r>
        <w:rPr>
          <w:rFonts w:ascii="Calibri" w:cs="Calibri" w:eastAsia="Calibri" w:hAnsi="Calibri"/>
          <w:color w:val="6E6E78"/>
          <w:sz w:val="19"/>
          <w:szCs w:val="19"/>
        </w:rPr>
        <w:t xml:space="preserve">Prepared by Working Group 3 (WG-3) · Capstone Project, Group 3 · August 2026</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IntentFlow — Capstone Project Report</dc:title>
  <dc:creator>WG-3</dc:creator>
  <cp:lastModifiedBy>Un-named</cp:lastModifiedBy>
  <cp:revision>1</cp:revision>
  <dcterms:created xsi:type="dcterms:W3CDTF">2026-08-06T09:49:15.542Z</dcterms:created>
  <dcterms:modified xsi:type="dcterms:W3CDTF">2026-08-06T09:49:15.600Z</dcterms:modified>
</cp:coreProperties>
</file>

<file path=docProps/custom.xml><?xml version="1.0" encoding="utf-8"?>
<Properties xmlns="http://schemas.openxmlformats.org/officeDocument/2006/custom-properties" xmlns:vt="http://schemas.openxmlformats.org/officeDocument/2006/docPropsVTypes"/>
</file>