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784"/>
      </w:tblGrid>
      <w:tr>
        <w:tc>
          <w:tcPr>
            <w:tcW w:type="dxa" w:w="8784"/>
            <w:shd w:val="clear" w:color="auto" w:fill="0F2140"/>
          </w:tcPr>
          <w:p/>
          <w:p>
            <w:pPr>
              <w:spacing w:before="80" w:after="80"/>
              <w:jc w:val="center"/>
            </w:pPr>
            <w:r>
              <w:rPr>
                <w:b/>
                <w:color w:val="00C2A8"/>
                <w:sz w:val="52"/>
              </w:rPr>
              <w:t>TradePe / ScreenDesk</w:t>
            </w:r>
          </w:p>
          <w:p>
            <w:pPr>
              <w:spacing w:before="80" w:after="80"/>
              <w:jc w:val="center"/>
            </w:pPr>
            <w:r>
              <w:rPr>
                <w:b w:val="0"/>
                <w:color w:val="FFFFFF"/>
                <w:sz w:val="40"/>
              </w:rPr>
              <w:t>Market &amp; Branding Strategy</w:t>
            </w:r>
          </w:p>
          <w:p>
            <w:pPr>
              <w:spacing w:before="80" w:after="80"/>
              <w:jc w:val="center"/>
            </w:pPr>
            <w:r>
              <w:rPr>
                <w:b w:val="0"/>
                <w:color w:val="FFFFFF"/>
                <w:sz w:val="16"/>
              </w:rPr>
            </w:r>
          </w:p>
          <w:p>
            <w:pPr>
              <w:spacing w:before="80" w:after="80"/>
              <w:jc w:val="center"/>
            </w:pPr>
            <w:r>
              <w:rPr>
                <w:b w:val="0"/>
                <w:color w:val="FFFFFF"/>
                <w:sz w:val="22"/>
              </w:rPr>
              <w:t>Category Strategy  ·  Segmentation &amp; Beachhead Sequence  ·  The Narrative</w:t>
            </w:r>
          </w:p>
          <w:p>
            <w:pPr>
              <w:spacing w:before="80" w:after="80"/>
              <w:jc w:val="center"/>
            </w:pPr>
            <w:r>
              <w:rPr>
                <w:b w:val="0"/>
                <w:color w:val="FFFFFF"/>
                <w:sz w:val="16"/>
              </w:rPr>
            </w:r>
          </w:p>
          <w:p>
            <w:pPr>
              <w:spacing w:before="80" w:after="80"/>
              <w:jc w:val="center"/>
            </w:pPr>
            <w:r>
              <w:rPr>
                <w:b w:val="0"/>
                <w:color w:val="FFFFFF"/>
                <w:sz w:val="20"/>
              </w:rPr>
              <w:t>IIM Calcutta  ·  Group 2 Capstone  ·  July 2026</w:t>
            </w:r>
          </w:p>
        </w:tc>
      </w:tr>
    </w:tbl>
    <w:p/>
    <w:p>
      <w:pPr>
        <w:spacing w:before="280" w:after="80"/>
      </w:pPr>
      <w:r>
        <w:rPr>
          <w:b/>
          <w:color w:val="00C2A8"/>
          <w:sz w:val="26"/>
        </w:rPr>
        <w:t>Brand Architecture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r>
              <w:rPr>
                <w:b/>
                <w:color w:val="FFFFFF"/>
                <w:sz w:val="19"/>
              </w:rPr>
              <w:t>Layer</w:t>
            </w:r>
          </w:p>
        </w:tc>
        <w:tc>
          <w:tcPr>
            <w:tcW w:type="dxa" w:w="2928"/>
            <w:shd w:val="clear" w:color="auto" w:fill="0F2140"/>
          </w:tcPr>
          <w:p>
            <w:r>
              <w:rPr>
                <w:b/>
                <w:color w:val="FFFFFF"/>
                <w:sz w:val="19"/>
              </w:rPr>
              <w:t>Name</w:t>
            </w:r>
          </w:p>
        </w:tc>
        <w:tc>
          <w:tcPr>
            <w:tcW w:type="dxa" w:w="2928"/>
            <w:shd w:val="clear" w:color="auto" w:fill="0F2140"/>
          </w:tcPr>
          <w:p>
            <w:r>
              <w:rPr>
                <w:b/>
                <w:color w:val="FFFFFF"/>
                <w:sz w:val="19"/>
              </w:rPr>
              <w:t>Audience</w:t>
            </w:r>
          </w:p>
        </w:tc>
      </w:tr>
      <w:tr>
        <w:tc>
          <w:tcPr>
            <w:tcW w:type="dxa" w:w="2928"/>
            <w:shd w:val="clear" w:color="auto" w:fill="F0F4F8"/>
          </w:tcPr>
          <w:p>
            <w:r>
              <w:rPr>
                <w:b/>
                <w:color w:val="0F2140"/>
                <w:sz w:val="19"/>
              </w:rPr>
              <w:t>Platform / company brand</w:t>
            </w:r>
          </w:p>
        </w:tc>
        <w:tc>
          <w:tcPr>
            <w:tcW w:type="dxa" w:w="2928"/>
            <w:shd w:val="clear" w:color="auto" w:fill="F0F4F8"/>
          </w:tcPr>
          <w:p>
            <w:r>
              <w:rPr>
                <w:color w:val="2D3748"/>
                <w:sz w:val="19"/>
              </w:rPr>
              <w:t>TradePe</w:t>
            </w:r>
          </w:p>
        </w:tc>
        <w:tc>
          <w:tcPr>
            <w:tcW w:type="dxa" w:w="2928"/>
            <w:shd w:val="clear" w:color="auto" w:fill="F0F4F8"/>
          </w:tcPr>
          <w:p>
            <w:r>
              <w:rPr>
                <w:color w:val="2D3748"/>
                <w:sz w:val="19"/>
              </w:rPr>
              <w:t>MLROs, buyers, enterprise deals</w:t>
            </w:r>
          </w:p>
        </w:tc>
      </w:tr>
      <w:tr>
        <w:tc>
          <w:tcPr>
            <w:tcW w:type="dxa" w:w="2928"/>
            <w:shd w:val="clear" w:color="auto" w:fill="FFFFFF"/>
          </w:tcPr>
          <w:p>
            <w:r>
              <w:rPr>
                <w:b/>
                <w:color w:val="0F2140"/>
                <w:sz w:val="19"/>
              </w:rPr>
              <w:t>Analyst workbench</w:t>
            </w:r>
          </w:p>
        </w:tc>
        <w:tc>
          <w:tcPr>
            <w:tcW w:type="dxa" w:w="2928"/>
            <w:shd w:val="clear" w:color="auto" w:fill="FFFFFF"/>
          </w:tcPr>
          <w:p>
            <w:r>
              <w:rPr>
                <w:color w:val="2D3748"/>
                <w:sz w:val="19"/>
              </w:rPr>
              <w:t>ScreenDesk</w:t>
            </w:r>
          </w:p>
        </w:tc>
        <w:tc>
          <w:tcPr>
            <w:tcW w:type="dxa" w:w="2928"/>
            <w:shd w:val="clear" w:color="auto" w:fill="FFFFFF"/>
          </w:tcPr>
          <w:p>
            <w:r>
              <w:rPr>
                <w:color w:val="2D3748"/>
                <w:sz w:val="19"/>
              </w:rPr>
              <w:t>Screening analysts — what Priya uses every day</w:t>
            </w:r>
          </w:p>
        </w:tc>
      </w:tr>
      <w:tr>
        <w:tc>
          <w:tcPr>
            <w:tcW w:type="dxa" w:w="2928"/>
            <w:shd w:val="clear" w:color="auto" w:fill="F0F4F8"/>
          </w:tcPr>
          <w:p>
            <w:r>
              <w:rPr>
                <w:b/>
                <w:color w:val="0F2140"/>
                <w:sz w:val="19"/>
              </w:rPr>
              <w:t>Future modules</w:t>
            </w:r>
          </w:p>
        </w:tc>
        <w:tc>
          <w:tcPr>
            <w:tcW w:type="dxa" w:w="2928"/>
            <w:shd w:val="clear" w:color="auto" w:fill="F0F4F8"/>
          </w:tcPr>
          <w:p>
            <w:r>
              <w:rPr>
                <w:color w:val="2D3748"/>
                <w:sz w:val="19"/>
              </w:rPr>
              <w:t>TradePe [Capability]</w:t>
            </w:r>
          </w:p>
        </w:tc>
        <w:tc>
          <w:tcPr>
            <w:tcW w:type="dxa" w:w="2928"/>
            <w:shd w:val="clear" w:color="auto" w:fill="F0F4F8"/>
          </w:tcPr>
          <w:p>
            <w:r>
              <w:rPr>
                <w:color w:val="2D3748"/>
                <w:sz w:val="19"/>
              </w:rPr>
              <w:t>e.g. TradePe Document Intelligence</w:t>
            </w:r>
          </w:p>
        </w:tc>
      </w:tr>
    </w:tbl>
    <w:p/>
    <w:p>
      <w:pPr>
        <w:spacing w:before="40" w:after="120"/>
      </w:pPr>
      <w:r>
        <w:rPr>
          <w:color w:val="2D3748"/>
          <w:sz w:val="21"/>
        </w:rPr>
        <w:t>Working rule: ScreenDesk leads in analyst-facing GTM for the beachhead. TradePe leads when selling to the MLRO, a bank compliance head, or an enterprise procurement team.</w:t>
      </w:r>
    </w:p>
    <w:p>
      <w:r>
        <w:br w:type="page"/>
      </w:r>
    </w:p>
    <w:p>
      <w:pPr>
        <w:spacing w:before="360" w:after="120"/>
      </w:pPr>
      <w:r>
        <w:rPr>
          <w:b/>
          <w:color w:val="0F2140"/>
          <w:sz w:val="36"/>
        </w:rPr>
        <w:t>Part 1 — Category Strategy</w:t>
      </w:r>
    </w:p>
    <w:p>
      <w:pPr>
        <w:pBdr>
          <w:bottom w:val="single" w:sz="6" w:space="1" w:color="00C2A8"/>
        </w:pBdr>
        <w:spacing w:before="80" w:after="80"/>
      </w:pPr>
    </w:p>
    <w:p>
      <w:pPr>
        <w:spacing w:before="280" w:after="80"/>
      </w:pPr>
      <w:r>
        <w:rPr>
          <w:b/>
          <w:color w:val="00C2A8"/>
          <w:sz w:val="26"/>
        </w:rPr>
        <w:t>The Market as It Stands</w:t>
      </w:r>
    </w:p>
    <w:p>
      <w:pPr>
        <w:spacing w:before="40" w:after="120"/>
      </w:pPr>
      <w:r>
        <w:rPr>
          <w:color w:val="2D3748"/>
          <w:sz w:val="21"/>
        </w:rPr>
        <w:t>Three existing positions in compliance tooling for India’s cross-border payment fintechs: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r>
              <w:rPr>
                <w:b/>
                <w:color w:val="FFFFFF"/>
                <w:sz w:val="19"/>
              </w:rPr>
              <w:t>Position</w:t>
            </w:r>
          </w:p>
        </w:tc>
        <w:tc>
          <w:tcPr>
            <w:tcW w:type="dxa" w:w="2928"/>
            <w:shd w:val="clear" w:color="auto" w:fill="0F2140"/>
          </w:tcPr>
          <w:p>
            <w:r>
              <w:rPr>
                <w:b/>
                <w:color w:val="FFFFFF"/>
                <w:sz w:val="19"/>
              </w:rPr>
              <w:t>Who lives here</w:t>
            </w:r>
          </w:p>
        </w:tc>
        <w:tc>
          <w:tcPr>
            <w:tcW w:type="dxa" w:w="2928"/>
            <w:shd w:val="clear" w:color="auto" w:fill="0F2140"/>
          </w:tcPr>
          <w:p>
            <w:r>
              <w:rPr>
                <w:b/>
                <w:color w:val="FFFFFF"/>
                <w:sz w:val="19"/>
              </w:rPr>
              <w:t>The problem</w:t>
            </w:r>
          </w:p>
        </w:tc>
      </w:tr>
      <w:tr>
        <w:tc>
          <w:tcPr>
            <w:tcW w:type="dxa" w:w="2928"/>
            <w:shd w:val="clear" w:color="auto" w:fill="F0F4F8"/>
          </w:tcPr>
          <w:p>
            <w:r>
              <w:rPr>
                <w:b/>
                <w:color w:val="0F2140"/>
                <w:sz w:val="19"/>
              </w:rPr>
              <w:t>Manual portal checks + Excel + email</w:t>
            </w:r>
          </w:p>
        </w:tc>
        <w:tc>
          <w:tcPr>
            <w:tcW w:type="dxa" w:w="2928"/>
            <w:shd w:val="clear" w:color="auto" w:fill="F0F4F8"/>
          </w:tcPr>
          <w:p>
            <w:r>
              <w:rPr>
                <w:color w:val="2D3748"/>
                <w:sz w:val="19"/>
              </w:rPr>
              <w:t>Most 1–5 analyst fintech compliance teams today</w:t>
            </w:r>
          </w:p>
        </w:tc>
        <w:tc>
          <w:tcPr>
            <w:tcW w:type="dxa" w:w="2928"/>
            <w:shd w:val="clear" w:color="auto" w:fill="F0F4F8"/>
          </w:tcPr>
          <w:p>
            <w:r>
              <w:rPr>
                <w:color w:val="2D3748"/>
                <w:sz w:val="19"/>
              </w:rPr>
              <w:t>No audit trail. Rationale in inboxes. Auditor asks — the team searches for two hours.</w:t>
            </w:r>
          </w:p>
        </w:tc>
      </w:tr>
      <w:tr>
        <w:tc>
          <w:tcPr>
            <w:tcW w:type="dxa" w:w="2928"/>
            <w:shd w:val="clear" w:color="auto" w:fill="FFFFFF"/>
          </w:tcPr>
          <w:p>
            <w:r>
              <w:rPr>
                <w:b/>
                <w:color w:val="0F2140"/>
                <w:sz w:val="19"/>
              </w:rPr>
              <w:t>No-man’s-land</w:t>
            </w:r>
          </w:p>
        </w:tc>
        <w:tc>
          <w:tcPr>
            <w:tcW w:type="dxa" w:w="2928"/>
            <w:shd w:val="clear" w:color="auto" w:fill="FFFFFF"/>
          </w:tcPr>
          <w:p>
            <w:r>
              <w:rPr>
                <w:color w:val="2D3748"/>
                <w:sz w:val="19"/>
              </w:rPr>
              <w:t>— gap —</w:t>
            </w:r>
          </w:p>
        </w:tc>
        <w:tc>
          <w:tcPr>
            <w:tcW w:type="dxa" w:w="2928"/>
            <w:shd w:val="clear" w:color="auto" w:fill="FFFFFF"/>
          </w:tcPr>
          <w:p>
            <w:r>
              <w:rPr>
                <w:color w:val="2D3748"/>
                <w:sz w:val="19"/>
              </w:rPr>
              <w:t>Nothing deployable in a day at a per-analyst price point with full audit capability.</w:t>
            </w:r>
          </w:p>
        </w:tc>
      </w:tr>
      <w:tr>
        <w:tc>
          <w:tcPr>
            <w:tcW w:type="dxa" w:w="2928"/>
            <w:shd w:val="clear" w:color="auto" w:fill="F0F4F8"/>
          </w:tcPr>
          <w:p>
            <w:r>
              <w:rPr>
                <w:b/>
                <w:color w:val="0F2140"/>
                <w:sz w:val="19"/>
              </w:rPr>
              <w:t>Enterprise screening suites</w:t>
              <w:br/>
              <w:t>(World-Check, ComplyAdvantage, Oracle FCCM)</w:t>
            </w:r>
          </w:p>
        </w:tc>
        <w:tc>
          <w:tcPr>
            <w:tcW w:type="dxa" w:w="2928"/>
            <w:shd w:val="clear" w:color="auto" w:fill="F0F4F8"/>
          </w:tcPr>
          <w:p>
            <w:r>
              <w:rPr>
                <w:color w:val="2D3748"/>
                <w:sz w:val="19"/>
              </w:rPr>
              <w:t>Large bank compliance teams</w:t>
            </w:r>
          </w:p>
        </w:tc>
        <w:tc>
          <w:tcPr>
            <w:tcW w:type="dxa" w:w="2928"/>
            <w:shd w:val="clear" w:color="auto" w:fill="F0F4F8"/>
          </w:tcPr>
          <w:p>
            <w:r>
              <w:rPr>
                <w:color w:val="2D3748"/>
                <w:sz w:val="19"/>
              </w:rPr>
              <w:t>Priced and scoped for banks. Months to deploy. ₹30L+ contracts. Unreachable for a 2-analyst fintech.</w:t>
            </w:r>
          </w:p>
        </w:tc>
      </w:tr>
    </w:tbl>
    <w:p/>
    <w:p>
      <w:pPr>
        <w:spacing w:before="40" w:after="120"/>
      </w:pPr>
      <w:r>
        <w:rPr>
          <w:color w:val="2D3748"/>
          <w:sz w:val="21"/>
        </w:rPr>
        <w:t>The gap between manual Excel and enterprise suites is the category ScreenDesk owns.</w:t>
      </w:r>
    </w:p>
    <w:p>
      <w:pPr>
        <w:spacing w:before="280" w:after="80"/>
      </w:pPr>
      <w:r>
        <w:rPr>
          <w:b/>
          <w:color w:val="00C2A8"/>
          <w:sz w:val="26"/>
        </w:rPr>
        <w:t>The Category Name</w:t>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200"/>
              <w:jc w:val="center"/>
            </w:pPr>
            <w:r>
              <w:rPr>
                <w:b/>
                <w:color w:val="FFFFFF"/>
                <w:sz w:val="24"/>
              </w:rPr>
              <w:t>Evidence-First Compliance Workbench</w:t>
            </w:r>
          </w:p>
        </w:tc>
      </w:tr>
    </w:tbl>
    <w:p/>
    <w:p>
      <w:pPr>
        <w:spacing w:before="40" w:after="120"/>
      </w:pPr>
      <w:r>
        <w:rPr>
          <w:color w:val="2D3748"/>
          <w:sz w:val="21"/>
        </w:rPr>
        <w:t>Not “RegTech platform.” Not “AML software.” Not “AI screening tool.”</w:t>
      </w:r>
    </w:p>
    <w:p>
      <w:pPr>
        <w:spacing w:before="40" w:after="120"/>
      </w:pPr>
      <w:r>
        <w:rPr>
          <w:color w:val="2D3748"/>
          <w:sz w:val="21"/>
        </w:rPr>
        <w:t>Evidence-first is the operative phrase — it signals that the product shows WHY a name matched, not just a score. Workbench signals analyst-grade precision tooling, not an automated decision machine.</w:t>
      </w:r>
    </w:p>
    <w:p>
      <w:pPr>
        <w:spacing w:before="200" w:after="40"/>
      </w:pPr>
      <w:r>
        <w:rPr>
          <w:b/>
          <w:color w:val="2D3748"/>
          <w:sz w:val="22"/>
        </w:rPr>
        <w:t>Why This Framing Works</w:t>
      </w:r>
    </w:p>
    <w:p>
      <w:pPr>
        <w:pStyle w:val="ListBullet"/>
        <w:spacing w:before="20" w:after="60"/>
      </w:pPr>
      <w:r>
        <w:rPr>
          <w:b/>
          <w:color w:val="0F2140"/>
          <w:sz w:val="21"/>
        </w:rPr>
        <w:t>For regulators:</w:t>
      </w:r>
      <w:r>
        <w:rPr>
          <w:color w:val="2D3748"/>
          <w:sz w:val="21"/>
        </w:rPr>
        <w:t xml:space="preserve"> Indian regulators (RBI, FIU-IND) want to see the basis for each cleared hit — normalized name pairs, token-level match reasoning, analyst rationale, append-only log. “Evidence-first” maps exactly to that audit requirement.</w:t>
      </w:r>
    </w:p>
    <w:p>
      <w:pPr>
        <w:pStyle w:val="ListBullet"/>
        <w:spacing w:before="20" w:after="60"/>
      </w:pPr>
      <w:r>
        <w:rPr>
          <w:b/>
          <w:color w:val="0F2140"/>
          <w:sz w:val="21"/>
        </w:rPr>
        <w:t>For analysts:</w:t>
      </w:r>
      <w:r>
        <w:rPr>
          <w:color w:val="2D3748"/>
          <w:sz w:val="21"/>
        </w:rPr>
        <w:t xml:space="preserve"> The existing tools show a score. They don’t show which tokens matched or why. Priya’s actual ask: “I don’t need the tool to decide for me. I need it to show me the evidence and remember what I decided.”</w:t>
      </w:r>
    </w:p>
    <w:p>
      <w:pPr>
        <w:pStyle w:val="ListBullet"/>
        <w:spacing w:before="20" w:after="60"/>
      </w:pPr>
      <w:r>
        <w:rPr>
          <w:b/>
          <w:color w:val="0F2140"/>
          <w:sz w:val="21"/>
        </w:rPr>
        <w:t>For MLROs:</w:t>
      </w:r>
      <w:r>
        <w:rPr>
          <w:color w:val="2D3748"/>
          <w:sz w:val="21"/>
        </w:rPr>
        <w:t xml:space="preserve"> Evidence-first translates directly into audit survivability — the MLRO buys throughput without headcount, and the certainty that when the regulator arrives, the paper trail is already assembled.</w:t>
      </w:r>
    </w:p>
    <w:p>
      <w:pPr>
        <w:pStyle w:val="ListBullet"/>
        <w:spacing w:before="20" w:after="60"/>
      </w:pPr>
      <w:r>
        <w:rPr>
          <w:b/>
          <w:color w:val="0F2140"/>
          <w:sz w:val="21"/>
        </w:rPr>
        <w:t>Against incumbents:</w:t>
      </w:r>
      <w:r>
        <w:rPr>
          <w:color w:val="2D3748"/>
          <w:sz w:val="21"/>
        </w:rPr>
        <w:t xml:space="preserve"> World-Check and ComplyAdvantage have scores and alerts — they do not have India-native transliteration handling, FEMA-specific audit export, or a per-analyst price reachable by a two-person team.</w:t>
      </w:r>
    </w:p>
    <w:p>
      <w:pPr>
        <w:spacing w:before="280" w:after="80"/>
      </w:pPr>
      <w:r>
        <w:rPr>
          <w:b/>
          <w:color w:val="00C2A8"/>
          <w:sz w:val="26"/>
        </w:rPr>
        <w:t>The Structural Differentiator — Baked In, Not Claimed</w:t>
      </w:r>
    </w:p>
    <w:p>
      <w:pPr>
        <w:spacing w:before="40" w:after="120"/>
      </w:pPr>
      <w:r>
        <w:rPr>
          <w:color w:val="2D3748"/>
          <w:sz w:val="21"/>
        </w:rPr>
        <w:t>The category claim is architecturally enforced, not just stated:</w:t>
      </w:r>
    </w:p>
    <w:p>
      <w:pPr>
        <w:pStyle w:val="ListBullet"/>
        <w:spacing w:before="20" w:after="60"/>
      </w:pPr>
      <w:r>
        <w:rPr>
          <w:color w:val="2D3748"/>
          <w:sz w:val="21"/>
        </w:rPr>
        <w:t xml:space="preserve"> The deterministic scoring engine never uses an LLM to produce a risk score — every number traces to a threshold, a weight, or a rule (Level A weighted scoring + Level B compliance hard-stop rules).</w:t>
      </w:r>
    </w:p>
    <w:p>
      <w:pPr>
        <w:pStyle w:val="ListBullet"/>
        <w:spacing w:before="20" w:after="60"/>
      </w:pPr>
      <w:r>
        <w:rPr>
          <w:color w:val="2D3748"/>
          <w:sz w:val="21"/>
        </w:rPr>
        <w:t xml:space="preserve"> The AI layer is narrow and bounded: it drafts the disposition rationale in prose. The analyst edits and owns it. The LLM never touches risk_score, outcome, or any compliance determination.</w:t>
      </w:r>
    </w:p>
    <w:p>
      <w:pPr>
        <w:pStyle w:val="ListBullet"/>
        <w:spacing w:before="20" w:after="60"/>
      </w:pPr>
      <w:r>
        <w:rPr>
          <w:color w:val="2D3748"/>
          <w:sz w:val="21"/>
        </w:rPr>
        <w:t xml:space="preserve"> Every officer decision that disagrees with the system recommendation requires a written rationale — server-enforced. HTTP 400 if absent.</w:t>
      </w:r>
    </w:p>
    <w:p>
      <w:pPr>
        <w:pStyle w:val="ListBullet"/>
        <w:spacing w:before="20" w:after="60"/>
      </w:pPr>
      <w:r>
        <w:rPr>
          <w:color w:val="2D3748"/>
          <w:sz w:val="21"/>
        </w:rPr>
        <w:t xml:space="preserve"> The audit trail is append-only. Decisions are never deleted or edited.</w:t>
      </w:r>
    </w:p>
    <w:tbl>
      <w:tblPr>
        <w:tblW w:type="auto" w:w="0"/>
        <w:jc w:val="center"/>
        <w:tblLook w:firstColumn="1" w:firstRow="1" w:lastColumn="0" w:lastRow="0" w:noHBand="0" w:noVBand="1" w:val="04A0"/>
      </w:tblPr>
      <w:tblGrid>
        <w:gridCol w:w="8784"/>
      </w:tblGrid>
      <w:tr>
        <w:tc>
          <w:tcPr>
            <w:tcW w:type="dxa" w:w="8784"/>
            <w:shd w:val="clear" w:color="auto" w:fill="00C2A8"/>
          </w:tcPr>
          <w:p>
            <w:pPr>
              <w:spacing w:before="200" w:after="200"/>
              <w:jc w:val="center"/>
            </w:pPr>
            <w:r>
              <w:rPr>
                <w:b/>
                <w:color w:val="FFFFFF"/>
                <w:sz w:val="24"/>
              </w:rPr>
              <w:t>“The AI drafts. The analyst decides.”</w:t>
            </w:r>
          </w:p>
        </w:tc>
      </w:tr>
    </w:tbl>
    <w:p/>
    <w:p>
      <w:pPr>
        <w:spacing w:before="40" w:after="120"/>
      </w:pPr>
      <w:r>
        <w:rPr>
          <w:color w:val="2D3748"/>
          <w:sz w:val="21"/>
        </w:rPr>
        <w:t>This is not a marketing disclaimer. It is a structural guarantee — and the branding must reflect it at every touchpoint.</w:t>
      </w:r>
    </w:p>
    <w:p>
      <w:pPr>
        <w:spacing w:before="280" w:after="80"/>
      </w:pPr>
      <w:r>
        <w:rPr>
          <w:b/>
          <w:color w:val="00C2A8"/>
          <w:sz w:val="26"/>
        </w:rPr>
        <w:t>Category Creation Moves</w:t>
      </w:r>
    </w:p>
    <w:p>
      <w:pPr>
        <w:pStyle w:val="ListBullet"/>
        <w:spacing w:before="20" w:after="60"/>
      </w:pPr>
      <w:r>
        <w:rPr>
          <w:b/>
          <w:color w:val="0F2140"/>
          <w:sz w:val="21"/>
        </w:rPr>
        <w:t>1. Own the language.</w:t>
      </w:r>
      <w:r>
        <w:rPr>
          <w:color w:val="2D3748"/>
          <w:sz w:val="21"/>
        </w:rPr>
        <w:t xml:space="preserve"> Use “evidence-first screening” consistently across all content, sales decks, and onboarding materials. Goal: own the term before incumbents adopt it.</w:t>
      </w:r>
    </w:p>
    <w:p>
      <w:pPr>
        <w:pStyle w:val="ListBullet"/>
        <w:spacing w:before="20" w:after="60"/>
      </w:pPr>
      <w:r>
        <w:rPr>
          <w:b/>
          <w:color w:val="0F2140"/>
          <w:sz w:val="21"/>
        </w:rPr>
        <w:t>2. Educate, don’t sell.</w:t>
      </w:r>
      <w:r>
        <w:rPr>
          <w:color w:val="2D3748"/>
          <w:sz w:val="21"/>
        </w:rPr>
        <w:t xml:space="preserve"> Publish a practical “Sanctions Screening Under FEMA: What FIU-IND Actually Looks For in Your Audit Trail” guide. The content answers the question compliance heads are already searching. The product is the answer.</w:t>
      </w:r>
    </w:p>
    <w:p>
      <w:pPr>
        <w:pStyle w:val="ListBullet"/>
        <w:spacing w:before="20" w:after="60"/>
      </w:pPr>
      <w:r>
        <w:rPr>
          <w:b/>
          <w:color w:val="0F2140"/>
          <w:sz w:val="21"/>
        </w:rPr>
        <w:t>3. Anchor in the regulatory moment.</w:t>
      </w:r>
      <w:r>
        <w:rPr>
          <w:color w:val="2D3748"/>
          <w:sz w:val="21"/>
        </w:rPr>
        <w:t xml:space="preserve"> RBI’s 2026 KYC/AML guidelines and updated FEMA outward remittance reporting requirements created an acute compliance workload spike. Every piece of category content references this as the why now.</w:t>
      </w:r>
    </w:p>
    <w:p>
      <w:pPr>
        <w:pStyle w:val="ListBullet"/>
        <w:spacing w:before="20" w:after="60"/>
      </w:pPr>
      <w:r>
        <w:rPr>
          <w:b/>
          <w:color w:val="0F2140"/>
          <w:sz w:val="21"/>
        </w:rPr>
        <w:t>4. Brief the ecosystem.</w:t>
      </w:r>
      <w:r>
        <w:rPr>
          <w:color w:val="2D3748"/>
          <w:sz w:val="21"/>
        </w:rPr>
        <w:t xml:space="preserve"> Engage DSCI, ACAMS India chapter, and IBA compliance working groups as a methodology contribution — not a sales motion. Being cited in a working group paper is category validation no marketing budget can buy.</w:t>
      </w:r>
    </w:p>
    <w:p>
      <w:r>
        <w:br w:type="page"/>
      </w:r>
    </w:p>
    <w:p>
      <w:pPr>
        <w:spacing w:before="360" w:after="120"/>
      </w:pPr>
      <w:r>
        <w:rPr>
          <w:b/>
          <w:color w:val="0F2140"/>
          <w:sz w:val="36"/>
        </w:rPr>
        <w:t>Part 2 — Segmentation &amp; Beachhead Sequence</w:t>
      </w:r>
    </w:p>
    <w:p>
      <w:pPr>
        <w:pBdr>
          <w:bottom w:val="single" w:sz="6" w:space="1" w:color="00C2A8"/>
        </w:pBdr>
        <w:spacing w:before="80" w:after="80"/>
      </w:pPr>
    </w:p>
    <w:p>
      <w:pPr>
        <w:spacing w:before="280" w:after="80"/>
      </w:pPr>
      <w:r>
        <w:rPr>
          <w:b/>
          <w:color w:val="00C2A8"/>
          <w:sz w:val="26"/>
        </w:rPr>
        <w:t>Full Market Segmentation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F2140"/>
          </w:tcPr>
          <w:p>
            <w:r>
              <w:rPr>
                <w:b/>
                <w:color w:val="FFFFFF"/>
                <w:sz w:val="19"/>
              </w:rPr>
              <w:t>Segment</w:t>
            </w:r>
          </w:p>
        </w:tc>
        <w:tc>
          <w:tcPr>
            <w:tcW w:type="dxa" w:w="1757"/>
            <w:shd w:val="clear" w:color="auto" w:fill="0F2140"/>
          </w:tcPr>
          <w:p>
            <w:r>
              <w:rPr>
                <w:b/>
                <w:color w:val="FFFFFF"/>
                <w:sz w:val="19"/>
              </w:rPr>
              <w:t>Team size</w:t>
            </w:r>
          </w:p>
        </w:tc>
        <w:tc>
          <w:tcPr>
            <w:tcW w:type="dxa" w:w="1757"/>
            <w:shd w:val="clear" w:color="auto" w:fill="0F2140"/>
          </w:tcPr>
          <w:p>
            <w:r>
              <w:rPr>
                <w:b/>
                <w:color w:val="FFFFFF"/>
                <w:sz w:val="19"/>
              </w:rPr>
              <w:t>Compliance pressure</w:t>
            </w:r>
          </w:p>
        </w:tc>
        <w:tc>
          <w:tcPr>
            <w:tcW w:type="dxa" w:w="1757"/>
            <w:shd w:val="clear" w:color="auto" w:fill="0F2140"/>
          </w:tcPr>
          <w:p>
            <w:r>
              <w:rPr>
                <w:b/>
                <w:color w:val="FFFFFF"/>
                <w:sz w:val="19"/>
              </w:rPr>
              <w:t>Budget cycle</w:t>
            </w:r>
          </w:p>
        </w:tc>
        <w:tc>
          <w:tcPr>
            <w:tcW w:type="dxa" w:w="1757"/>
            <w:shd w:val="clear" w:color="auto" w:fill="0F2140"/>
          </w:tcPr>
          <w:p>
            <w:r>
              <w:rPr>
                <w:b/>
                <w:color w:val="FFFFFF"/>
                <w:sz w:val="19"/>
              </w:rPr>
              <w:t>Strategic fit</w:t>
            </w:r>
          </w:p>
        </w:tc>
      </w:tr>
      <w:tr>
        <w:tc>
          <w:tcPr>
            <w:tcW w:type="dxa" w:w="1757"/>
            <w:shd w:val="clear" w:color="auto" w:fill="F0F4F8"/>
          </w:tcPr>
          <w:p>
            <w:r>
              <w:rPr>
                <w:b/>
                <w:color w:val="0F2140"/>
                <w:sz w:val="19"/>
              </w:rPr>
              <w:t>Cross-border payment fintechs (RBI/FEMA regulated)</w:t>
            </w:r>
          </w:p>
        </w:tc>
        <w:tc>
          <w:tcPr>
            <w:tcW w:type="dxa" w:w="1757"/>
            <w:shd w:val="clear" w:color="auto" w:fill="F0F4F8"/>
          </w:tcPr>
          <w:p>
            <w:r>
              <w:rPr>
                <w:color w:val="2D3748"/>
                <w:sz w:val="19"/>
              </w:rPr>
              <w:t>1–5 analysts</w:t>
            </w:r>
          </w:p>
        </w:tc>
        <w:tc>
          <w:tcPr>
            <w:tcW w:type="dxa" w:w="1757"/>
            <w:shd w:val="clear" w:color="auto" w:fill="F0F4F8"/>
          </w:tcPr>
          <w:p>
            <w:r>
              <w:rPr>
                <w:color w:val="2D3748"/>
                <w:sz w:val="19"/>
              </w:rPr>
              <w:t>Very High</w:t>
            </w:r>
          </w:p>
        </w:tc>
        <w:tc>
          <w:tcPr>
            <w:tcW w:type="dxa" w:w="1757"/>
            <w:shd w:val="clear" w:color="auto" w:fill="F0F4F8"/>
          </w:tcPr>
          <w:p>
            <w:r>
              <w:rPr>
                <w:color w:val="2D3748"/>
                <w:sz w:val="19"/>
              </w:rPr>
              <w:t>Fast (3–6 weeks)</w:t>
            </w:r>
          </w:p>
        </w:tc>
        <w:tc>
          <w:tcPr>
            <w:tcW w:type="dxa" w:w="1757"/>
            <w:shd w:val="clear" w:color="auto" w:fill="F0F4F8"/>
          </w:tcPr>
          <w:p>
            <w:r>
              <w:rPr>
                <w:color w:val="2D3748"/>
                <w:sz w:val="19"/>
              </w:rPr>
              <w:t>BEACHHEAD</w:t>
            </w:r>
          </w:p>
        </w:tc>
      </w:tr>
      <w:tr>
        <w:tc>
          <w:tcPr>
            <w:tcW w:type="dxa" w:w="1757"/>
            <w:shd w:val="clear" w:color="auto" w:fill="FFFFFF"/>
          </w:tcPr>
          <w:p>
            <w:r>
              <w:rPr>
                <w:b/>
                <w:color w:val="0F2140"/>
                <w:sz w:val="19"/>
              </w:rPr>
              <w:t>Trade-finance NBFCs (invoice discounting, TReDS operators)</w:t>
            </w:r>
          </w:p>
        </w:tc>
        <w:tc>
          <w:tcPr>
            <w:tcW w:type="dxa" w:w="1757"/>
            <w:shd w:val="clear" w:color="auto" w:fill="FFFFFF"/>
          </w:tcPr>
          <w:p>
            <w:r>
              <w:rPr>
                <w:color w:val="2D3748"/>
                <w:sz w:val="19"/>
              </w:rPr>
              <w:t>Small–Medium</w:t>
            </w:r>
          </w:p>
        </w:tc>
        <w:tc>
          <w:tcPr>
            <w:tcW w:type="dxa" w:w="1757"/>
            <w:shd w:val="clear" w:color="auto" w:fill="FFFFFF"/>
          </w:tcPr>
          <w:p>
            <w:r>
              <w:rPr>
                <w:color w:val="2D3748"/>
                <w:sz w:val="19"/>
              </w:rPr>
              <w:t>High</w:t>
            </w:r>
          </w:p>
        </w:tc>
        <w:tc>
          <w:tcPr>
            <w:tcW w:type="dxa" w:w="1757"/>
            <w:shd w:val="clear" w:color="auto" w:fill="FFFFFF"/>
          </w:tcPr>
          <w:p>
            <w:r>
              <w:rPr>
                <w:color w:val="2D3748"/>
                <w:sz w:val="19"/>
              </w:rPr>
              <w:t>Moderate</w:t>
            </w:r>
          </w:p>
        </w:tc>
        <w:tc>
          <w:tcPr>
            <w:tcW w:type="dxa" w:w="1757"/>
            <w:shd w:val="clear" w:color="auto" w:fill="FFFFFF"/>
          </w:tcPr>
          <w:p>
            <w:r>
              <w:rPr>
                <w:color w:val="2D3748"/>
                <w:sz w:val="19"/>
              </w:rPr>
              <w:t>Second wave</w:t>
            </w:r>
          </w:p>
        </w:tc>
      </w:tr>
      <w:tr>
        <w:tc>
          <w:tcPr>
            <w:tcW w:type="dxa" w:w="1757"/>
            <w:shd w:val="clear" w:color="auto" w:fill="F0F4F8"/>
          </w:tcPr>
          <w:p>
            <w:r>
              <w:rPr>
                <w:b/>
                <w:color w:val="0F2140"/>
                <w:sz w:val="19"/>
              </w:rPr>
              <w:t>Payment aggregators (RBI PA licence holders)</w:t>
            </w:r>
          </w:p>
        </w:tc>
        <w:tc>
          <w:tcPr>
            <w:tcW w:type="dxa" w:w="1757"/>
            <w:shd w:val="clear" w:color="auto" w:fill="F0F4F8"/>
          </w:tcPr>
          <w:p>
            <w:r>
              <w:rPr>
                <w:color w:val="2D3748"/>
                <w:sz w:val="19"/>
              </w:rPr>
              <w:t>Small</w:t>
            </w:r>
          </w:p>
        </w:tc>
        <w:tc>
          <w:tcPr>
            <w:tcW w:type="dxa" w:w="1757"/>
            <w:shd w:val="clear" w:color="auto" w:fill="F0F4F8"/>
          </w:tcPr>
          <w:p>
            <w:r>
              <w:rPr>
                <w:color w:val="2D3748"/>
                <w:sz w:val="19"/>
              </w:rPr>
              <w:t>High</w:t>
            </w:r>
          </w:p>
        </w:tc>
        <w:tc>
          <w:tcPr>
            <w:tcW w:type="dxa" w:w="1757"/>
            <w:shd w:val="clear" w:color="auto" w:fill="F0F4F8"/>
          </w:tcPr>
          <w:p>
            <w:r>
              <w:rPr>
                <w:color w:val="2D3748"/>
                <w:sz w:val="19"/>
              </w:rPr>
              <w:t>Fast</w:t>
            </w:r>
          </w:p>
        </w:tc>
        <w:tc>
          <w:tcPr>
            <w:tcW w:type="dxa" w:w="1757"/>
            <w:shd w:val="clear" w:color="auto" w:fill="F0F4F8"/>
          </w:tcPr>
          <w:p>
            <w:r>
              <w:rPr>
                <w:color w:val="2D3748"/>
                <w:sz w:val="19"/>
              </w:rPr>
              <w:t>Second wave</w:t>
            </w:r>
          </w:p>
        </w:tc>
      </w:tr>
      <w:tr>
        <w:tc>
          <w:tcPr>
            <w:tcW w:type="dxa" w:w="1757"/>
            <w:shd w:val="clear" w:color="auto" w:fill="FFFFFF"/>
          </w:tcPr>
          <w:p>
            <w:r>
              <w:rPr>
                <w:b/>
                <w:color w:val="0F2140"/>
                <w:sz w:val="19"/>
              </w:rPr>
              <w:t>Mid-tier private banks (Yes, Federal, RBL, IndusInd, IDFC First)</w:t>
            </w:r>
          </w:p>
        </w:tc>
        <w:tc>
          <w:tcPr>
            <w:tcW w:type="dxa" w:w="1757"/>
            <w:shd w:val="clear" w:color="auto" w:fill="FFFFFF"/>
          </w:tcPr>
          <w:p>
            <w:r>
              <w:rPr>
                <w:color w:val="2D3748"/>
                <w:sz w:val="19"/>
              </w:rPr>
              <w:t>Medium</w:t>
            </w:r>
          </w:p>
        </w:tc>
        <w:tc>
          <w:tcPr>
            <w:tcW w:type="dxa" w:w="1757"/>
            <w:shd w:val="clear" w:color="auto" w:fill="FFFFFF"/>
          </w:tcPr>
          <w:p>
            <w:r>
              <w:rPr>
                <w:color w:val="2D3748"/>
                <w:sz w:val="19"/>
              </w:rPr>
              <w:t>Very High</w:t>
            </w:r>
          </w:p>
        </w:tc>
        <w:tc>
          <w:tcPr>
            <w:tcW w:type="dxa" w:w="1757"/>
            <w:shd w:val="clear" w:color="auto" w:fill="FFFFFF"/>
          </w:tcPr>
          <w:p>
            <w:r>
              <w:rPr>
                <w:color w:val="2D3748"/>
                <w:sz w:val="19"/>
              </w:rPr>
              <w:t>Slow (6–12 months)</w:t>
            </w:r>
          </w:p>
        </w:tc>
        <w:tc>
          <w:tcPr>
            <w:tcW w:type="dxa" w:w="1757"/>
            <w:shd w:val="clear" w:color="auto" w:fill="FFFFFF"/>
          </w:tcPr>
          <w:p>
            <w:r>
              <w:rPr>
                <w:color w:val="2D3748"/>
                <w:sz w:val="19"/>
              </w:rPr>
              <w:t>Phase 2</w:t>
            </w:r>
          </w:p>
        </w:tc>
      </w:tr>
      <w:tr>
        <w:tc>
          <w:tcPr>
            <w:tcW w:type="dxa" w:w="1757"/>
            <w:shd w:val="clear" w:color="auto" w:fill="F0F4F8"/>
          </w:tcPr>
          <w:p>
            <w:r>
              <w:rPr>
                <w:b/>
                <w:color w:val="0F2140"/>
                <w:sz w:val="19"/>
              </w:rPr>
              <w:t>Large corporate treasury (₹500Cr+ exporters)</w:t>
            </w:r>
          </w:p>
        </w:tc>
        <w:tc>
          <w:tcPr>
            <w:tcW w:type="dxa" w:w="1757"/>
            <w:shd w:val="clear" w:color="auto" w:fill="F0F4F8"/>
          </w:tcPr>
          <w:p>
            <w:r>
              <w:rPr>
                <w:color w:val="2D3748"/>
                <w:sz w:val="19"/>
              </w:rPr>
              <w:t>Medium</w:t>
            </w:r>
          </w:p>
        </w:tc>
        <w:tc>
          <w:tcPr>
            <w:tcW w:type="dxa" w:w="1757"/>
            <w:shd w:val="clear" w:color="auto" w:fill="F0F4F8"/>
          </w:tcPr>
          <w:p>
            <w:r>
              <w:rPr>
                <w:color w:val="2D3748"/>
                <w:sz w:val="19"/>
              </w:rPr>
              <w:t>Medium</w:t>
            </w:r>
          </w:p>
        </w:tc>
        <w:tc>
          <w:tcPr>
            <w:tcW w:type="dxa" w:w="1757"/>
            <w:shd w:val="clear" w:color="auto" w:fill="F0F4F8"/>
          </w:tcPr>
          <w:p>
            <w:r>
              <w:rPr>
                <w:color w:val="2D3748"/>
                <w:sz w:val="19"/>
              </w:rPr>
              <w:t>Variable</w:t>
            </w:r>
          </w:p>
        </w:tc>
        <w:tc>
          <w:tcPr>
            <w:tcW w:type="dxa" w:w="1757"/>
            <w:shd w:val="clear" w:color="auto" w:fill="F0F4F8"/>
          </w:tcPr>
          <w:p>
            <w:r>
              <w:rPr>
                <w:color w:val="2D3748"/>
                <w:sz w:val="19"/>
              </w:rPr>
              <w:t>Phase 2</w:t>
            </w:r>
          </w:p>
        </w:tc>
      </w:tr>
      <w:tr>
        <w:tc>
          <w:tcPr>
            <w:tcW w:type="dxa" w:w="1757"/>
            <w:shd w:val="clear" w:color="auto" w:fill="FFFFFF"/>
          </w:tcPr>
          <w:p>
            <w:r>
              <w:rPr>
                <w:b/>
                <w:color w:val="0F2140"/>
                <w:sz w:val="19"/>
              </w:rPr>
              <w:t>Public sector banks</w:t>
            </w:r>
          </w:p>
        </w:tc>
        <w:tc>
          <w:tcPr>
            <w:tcW w:type="dxa" w:w="1757"/>
            <w:shd w:val="clear" w:color="auto" w:fill="FFFFFF"/>
          </w:tcPr>
          <w:p>
            <w:r>
              <w:rPr>
                <w:color w:val="2D3748"/>
                <w:sz w:val="19"/>
              </w:rPr>
              <w:t>Large</w:t>
            </w:r>
          </w:p>
        </w:tc>
        <w:tc>
          <w:tcPr>
            <w:tcW w:type="dxa" w:w="1757"/>
            <w:shd w:val="clear" w:color="auto" w:fill="FFFFFF"/>
          </w:tcPr>
          <w:p>
            <w:r>
              <w:rPr>
                <w:color w:val="2D3748"/>
                <w:sz w:val="19"/>
              </w:rPr>
              <w:t>Very High</w:t>
            </w:r>
          </w:p>
        </w:tc>
        <w:tc>
          <w:tcPr>
            <w:tcW w:type="dxa" w:w="1757"/>
            <w:shd w:val="clear" w:color="auto" w:fill="FFFFFF"/>
          </w:tcPr>
          <w:p>
            <w:r>
              <w:rPr>
                <w:color w:val="2D3748"/>
                <w:sz w:val="19"/>
              </w:rPr>
              <w:t>Very slow</w:t>
            </w:r>
          </w:p>
        </w:tc>
        <w:tc>
          <w:tcPr>
            <w:tcW w:type="dxa" w:w="1757"/>
            <w:shd w:val="clear" w:color="auto" w:fill="FFFFFF"/>
          </w:tcPr>
          <w:p>
            <w:r>
              <w:rPr>
                <w:color w:val="2D3748"/>
                <w:sz w:val="19"/>
              </w:rPr>
              <w:t>Phase 3</w:t>
            </w:r>
          </w:p>
        </w:tc>
      </w:tr>
    </w:tbl>
    <w:p/>
    <w:p>
      <w:pPr>
        <w:spacing w:before="280" w:after="80"/>
      </w:pPr>
      <w:r>
        <w:rPr>
          <w:b/>
          <w:color w:val="00C2A8"/>
          <w:sz w:val="26"/>
        </w:rPr>
        <w:t>The Beachhead — Exactly as the Documentation Defines It</w:t>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200"/>
              <w:jc w:val="center"/>
            </w:pPr>
            <w:r>
              <w:rPr>
                <w:b/>
                <w:color w:val="FFFFFF"/>
                <w:sz w:val="24"/>
              </w:rPr>
              <w:t>“Compliance teams of 1–5 analysts at Indian cross-border payment fintechs, trade-finance NBFCs and payment aggregators moving importer/exporter flows under RBI/FEMA — teams big enough to be audited, too small for bank-grade screening suites.”</w:t>
            </w:r>
          </w:p>
        </w:tc>
      </w:tr>
    </w:tbl>
    <w:p/>
    <w:p>
      <w:pPr>
        <w:spacing w:before="200" w:after="40"/>
      </w:pPr>
      <w:r>
        <w:rPr>
          <w:b/>
          <w:color w:val="2D3748"/>
          <w:sz w:val="22"/>
        </w:rPr>
        <w:t>Why This Is the Right Beachhead</w:t>
      </w:r>
    </w:p>
    <w:p>
      <w:pPr>
        <w:pStyle w:val="ListBullet"/>
        <w:spacing w:before="20" w:after="60"/>
      </w:pPr>
      <w:r>
        <w:rPr>
          <w:b/>
          <w:color w:val="0F2140"/>
          <w:sz w:val="21"/>
        </w:rPr>
        <w:t>Already regulated.</w:t>
      </w:r>
      <w:r>
        <w:rPr>
          <w:color w:val="2D3748"/>
          <w:sz w:val="21"/>
        </w:rPr>
        <w:t xml:space="preserve"> RBI/FEMA perimeter means every one of them must run sanctions and watchlist screening. This is not a discretionary purchase.</w:t>
      </w:r>
    </w:p>
    <w:p>
      <w:pPr>
        <w:pStyle w:val="ListBullet"/>
        <w:spacing w:before="20" w:after="60"/>
      </w:pPr>
      <w:r>
        <w:rPr>
          <w:b/>
          <w:color w:val="0F2140"/>
          <w:sz w:val="21"/>
        </w:rPr>
        <w:t>Under-served.</w:t>
      </w:r>
      <w:r>
        <w:rPr>
          <w:color w:val="2D3748"/>
          <w:sz w:val="21"/>
        </w:rPr>
        <w:t xml:space="preserve"> Enterprise suites are priced for banks; manual Excel is the current state. Nothing reachable exists for this segment at this price point.</w:t>
      </w:r>
    </w:p>
    <w:p>
      <w:pPr>
        <w:pStyle w:val="ListBullet"/>
        <w:spacing w:before="20" w:after="60"/>
      </w:pPr>
      <w:r>
        <w:rPr>
          <w:b/>
          <w:color w:val="0F2140"/>
          <w:sz w:val="21"/>
        </w:rPr>
        <w:t>Fast to decide.</w:t>
      </w:r>
      <w:r>
        <w:rPr>
          <w:color w:val="2D3748"/>
          <w:sz w:val="21"/>
        </w:rPr>
        <w:t xml:space="preserve"> A Head of Compliance at a 50-person fintech can approve a ₹12,000/month tool without a procurement committee or a board.</w:t>
      </w:r>
    </w:p>
    <w:p>
      <w:pPr>
        <w:pStyle w:val="ListBullet"/>
        <w:spacing w:before="20" w:after="60"/>
      </w:pPr>
      <w:r>
        <w:rPr>
          <w:b/>
          <w:color w:val="0F2140"/>
          <w:sz w:val="21"/>
        </w:rPr>
        <w:t>Referenceable.</w:t>
      </w:r>
      <w:r>
        <w:rPr>
          <w:color w:val="2D3748"/>
          <w:sz w:val="21"/>
        </w:rPr>
        <w:t xml:space="preserve"> A case study from three fintech compliance teams is the most credible proof-of-concept for every bank compliance head who follows. Banks watch where fintechs move.</w:t>
      </w:r>
    </w:p>
    <w:p>
      <w:pPr>
        <w:pStyle w:val="ListBullet"/>
        <w:spacing w:before="20" w:after="60"/>
      </w:pPr>
      <w:r>
        <w:rPr>
          <w:b/>
          <w:color w:val="0F2140"/>
          <w:sz w:val="21"/>
        </w:rPr>
        <w:t>They have Priya.</w:t>
      </w:r>
      <w:r>
        <w:rPr>
          <w:color w:val="2D3748"/>
          <w:sz w:val="21"/>
        </w:rPr>
        <w:t xml:space="preserve"> False positive overload, scattered rationale, undocumented clears, audit anxiety — the exact pain profile the product was designed against.</w:t>
      </w:r>
    </w:p>
    <w:p>
      <w:pPr>
        <w:spacing w:before="280" w:after="80"/>
      </w:pPr>
      <w:r>
        <w:rPr>
          <w:b/>
          <w:color w:val="00C2A8"/>
          <w:sz w:val="26"/>
        </w:rPr>
        <w:t>User Personas</w:t>
      </w:r>
    </w:p>
    <w:p>
      <w:pPr>
        <w:spacing w:before="200" w:after="40"/>
      </w:pPr>
      <w:r>
        <w:rPr>
          <w:b/>
          <w:color w:val="2D3748"/>
          <w:sz w:val="22"/>
        </w:rPr>
        <w:t>Priya Nair — Primary User (Screening Analyst)</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F0F4F8"/>
          </w:tcPr>
          <w:p>
            <w:r>
              <w:rPr>
                <w:b/>
                <w:color w:val="0F2140"/>
                <w:sz w:val="20"/>
              </w:rPr>
              <w:t>Name / Role</w:t>
            </w:r>
          </w:p>
        </w:tc>
        <w:tc>
          <w:tcPr>
            <w:tcW w:type="dxa" w:w="4392"/>
            <w:shd w:val="clear" w:color="auto" w:fill="F0F4F8"/>
          </w:tcPr>
          <w:p>
            <w:r>
              <w:rPr>
                <w:color w:val="2D3748"/>
                <w:sz w:val="20"/>
              </w:rPr>
              <w:t>Priya Nair, 27 · Screening Analyst · Cross-border payments fintech, Mumbai · 2-person team</w:t>
            </w:r>
          </w:p>
        </w:tc>
      </w:tr>
      <w:tr>
        <w:tc>
          <w:tcPr>
            <w:tcW w:type="dxa" w:w="4392"/>
            <w:shd w:val="clear" w:color="auto" w:fill="FFFFFF"/>
          </w:tcPr>
          <w:p>
            <w:r>
              <w:rPr>
                <w:b/>
                <w:color w:val="0F2140"/>
                <w:sz w:val="20"/>
              </w:rPr>
              <w:t>Daily reality</w:t>
            </w:r>
          </w:p>
        </w:tc>
        <w:tc>
          <w:tcPr>
            <w:tcW w:type="dxa" w:w="4392"/>
            <w:shd w:val="clear" w:color="auto" w:fill="FFFFFF"/>
          </w:tcPr>
          <w:p>
            <w:r>
              <w:rPr>
                <w:color w:val="2D3748"/>
                <w:sz w:val="20"/>
              </w:rPr>
              <w:t>Clears 60–90 name-screening alerts per day; the majority are false positives from transliteration variants</w:t>
            </w:r>
          </w:p>
        </w:tc>
      </w:tr>
      <w:tr>
        <w:tc>
          <w:tcPr>
            <w:tcW w:type="dxa" w:w="4392"/>
            <w:shd w:val="clear" w:color="auto" w:fill="F0F4F8"/>
          </w:tcPr>
          <w:p>
            <w:r>
              <w:rPr>
                <w:b/>
                <w:color w:val="0F2140"/>
                <w:sz w:val="20"/>
              </w:rPr>
              <w:t>Goals</w:t>
            </w:r>
          </w:p>
        </w:tc>
        <w:tc>
          <w:tcPr>
            <w:tcW w:type="dxa" w:w="4392"/>
            <w:shd w:val="clear" w:color="auto" w:fill="F0F4F8"/>
          </w:tcPr>
          <w:p>
            <w:r>
              <w:rPr>
                <w:color w:val="2D3748"/>
                <w:sz w:val="20"/>
              </w:rPr>
              <w:t>Clear the queue before payment-release cutoff; never clear a true match; keep a defensible paper trail</w:t>
            </w:r>
          </w:p>
        </w:tc>
      </w:tr>
      <w:tr>
        <w:tc>
          <w:tcPr>
            <w:tcW w:type="dxa" w:w="4392"/>
            <w:shd w:val="clear" w:color="auto" w:fill="FFFFFF"/>
          </w:tcPr>
          <w:p>
            <w:r>
              <w:rPr>
                <w:b/>
                <w:color w:val="0F2140"/>
                <w:sz w:val="20"/>
              </w:rPr>
              <w:t>Pains</w:t>
            </w:r>
          </w:p>
        </w:tc>
        <w:tc>
          <w:tcPr>
            <w:tcW w:type="dxa" w:w="4392"/>
            <w:shd w:val="clear" w:color="auto" w:fill="FFFFFF"/>
          </w:tcPr>
          <w:p>
            <w:r>
              <w:rPr>
                <w:color w:val="2D3748"/>
                <w:sz w:val="20"/>
              </w:rPr>
              <w:t>Tool shows a score but not why; rationale-writing is copy-paste drudgery; auditors ask “on what basis was this cleared?” and the answer lives in old email threads</w:t>
            </w:r>
          </w:p>
        </w:tc>
      </w:tr>
      <w:tr>
        <w:tc>
          <w:tcPr>
            <w:tcW w:type="dxa" w:w="4392"/>
            <w:shd w:val="clear" w:color="auto" w:fill="F0F4F8"/>
          </w:tcPr>
          <w:p>
            <w:r>
              <w:rPr>
                <w:b/>
                <w:color w:val="0F2140"/>
                <w:sz w:val="20"/>
              </w:rPr>
              <w:t>Her quote</w:t>
            </w:r>
          </w:p>
        </w:tc>
        <w:tc>
          <w:tcPr>
            <w:tcW w:type="dxa" w:w="4392"/>
            <w:shd w:val="clear" w:color="auto" w:fill="F0F4F8"/>
          </w:tcPr>
          <w:p>
            <w:r>
              <w:rPr>
                <w:color w:val="2D3748"/>
                <w:sz w:val="20"/>
              </w:rPr>
              <w:t>“I don’t need the tool to decide for me. I need it to show me the evidence and remember what I decided.”</w:t>
            </w:r>
          </w:p>
        </w:tc>
      </w:tr>
      <w:tr>
        <w:tc>
          <w:tcPr>
            <w:tcW w:type="dxa" w:w="4392"/>
            <w:shd w:val="clear" w:color="auto" w:fill="FFFFFF"/>
          </w:tcPr>
          <w:p>
            <w:r>
              <w:rPr>
                <w:b/>
                <w:color w:val="0F2140"/>
                <w:sz w:val="20"/>
              </w:rPr>
              <w:t>What ScreenDesk gives her</w:t>
            </w:r>
          </w:p>
        </w:tc>
        <w:tc>
          <w:tcPr>
            <w:tcW w:type="dxa" w:w="4392"/>
            <w:shd w:val="clear" w:color="auto" w:fill="FFFFFF"/>
          </w:tcPr>
          <w:p>
            <w:r>
              <w:rPr>
                <w:color w:val="2D3748"/>
                <w:sz w:val="20"/>
              </w:rPr>
              <w:t>Evidence-first match cards with highlighted shared tokens · One-click AI-drafted rationale she edits and owns · Automatic append-only audit trail</w:t>
            </w:r>
          </w:p>
        </w:tc>
      </w:tr>
    </w:tbl>
    <w:p/>
    <w:p>
      <w:pPr>
        <w:spacing w:before="200" w:after="40"/>
      </w:pPr>
      <w:r>
        <w:rPr>
          <w:b/>
          <w:color w:val="2D3748"/>
          <w:sz w:val="22"/>
        </w:rPr>
        <w:t>MLRO / Head of Compliance — Economic Buyer</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F0F4F8"/>
          </w:tcPr>
          <w:p>
            <w:r>
              <w:rPr>
                <w:b/>
                <w:color w:val="0F2140"/>
                <w:sz w:val="20"/>
              </w:rPr>
              <w:t>What they buy</w:t>
            </w:r>
          </w:p>
        </w:tc>
        <w:tc>
          <w:tcPr>
            <w:tcW w:type="dxa" w:w="4392"/>
            <w:shd w:val="clear" w:color="auto" w:fill="F0F4F8"/>
          </w:tcPr>
          <w:p>
            <w:r>
              <w:rPr>
                <w:color w:val="2D3748"/>
                <w:sz w:val="20"/>
              </w:rPr>
              <w:t>Throughput without additional headcount · An audit trail that survives RBI or FIU-IND inspection</w:t>
            </w:r>
          </w:p>
        </w:tc>
      </w:tr>
      <w:tr>
        <w:tc>
          <w:tcPr>
            <w:tcW w:type="dxa" w:w="4392"/>
            <w:shd w:val="clear" w:color="auto" w:fill="FFFFFF"/>
          </w:tcPr>
          <w:p>
            <w:r>
              <w:rPr>
                <w:b/>
                <w:color w:val="0F2140"/>
                <w:sz w:val="20"/>
              </w:rPr>
              <w:t>What they do not need</w:t>
            </w:r>
          </w:p>
        </w:tc>
        <w:tc>
          <w:tcPr>
            <w:tcW w:type="dxa" w:w="4392"/>
            <w:shd w:val="clear" w:color="auto" w:fill="FFFFFF"/>
          </w:tcPr>
          <w:p>
            <w:r>
              <w:rPr>
                <w:color w:val="2D3748"/>
                <w:sz w:val="20"/>
              </w:rPr>
              <w:t>To understand the AI — only to know it is explainable, defensible, and not a regulatory liability</w:t>
            </w:r>
          </w:p>
        </w:tc>
      </w:tr>
      <w:tr>
        <w:tc>
          <w:tcPr>
            <w:tcW w:type="dxa" w:w="4392"/>
            <w:shd w:val="clear" w:color="auto" w:fill="F0F4F8"/>
          </w:tcPr>
          <w:p>
            <w:r>
              <w:rPr>
                <w:b/>
                <w:color w:val="0F2140"/>
                <w:sz w:val="20"/>
              </w:rPr>
              <w:t>What ScreenDesk gives them</w:t>
            </w:r>
          </w:p>
        </w:tc>
        <w:tc>
          <w:tcPr>
            <w:tcW w:type="dxa" w:w="4392"/>
            <w:shd w:val="clear" w:color="auto" w:fill="F0F4F8"/>
          </w:tcPr>
          <w:p>
            <w:r>
              <w:rPr>
                <w:color w:val="2D3748"/>
                <w:sz w:val="20"/>
              </w:rPr>
              <w:t>Portfolio dashboard (total cases, auto-cleared, needs review, escalated) · Override tracking with mandatory rationale enforcement · Full audit export before the regulator arrives</w:t>
            </w:r>
          </w:p>
        </w:tc>
      </w:tr>
    </w:tbl>
    <w:p/>
    <w:p>
      <w:pPr>
        <w:spacing w:before="280" w:after="80"/>
      </w:pPr>
      <w:r>
        <w:rPr>
          <w:b/>
          <w:color w:val="00C2A8"/>
          <w:sz w:val="26"/>
        </w:rPr>
        <w:t>The Beachhead Sequence — Four Phases</w:t>
      </w:r>
    </w:p>
    <w:p>
      <w:pPr>
        <w:spacing w:before="200" w:after="40"/>
      </w:pPr>
      <w:r>
        <w:rPr>
          <w:b/>
          <w:color w:val="2D3748"/>
          <w:sz w:val="22"/>
        </w:rPr>
        <w:t>Phase 0 — Design Partners (Weeks 1–4)</w:t>
      </w:r>
    </w:p>
    <w:p>
      <w:pPr>
        <w:spacing w:before="40" w:after="120"/>
      </w:pPr>
      <w:r>
        <w:rPr>
          <w:color w:val="2D3748"/>
          <w:sz w:val="21"/>
        </w:rPr>
        <w:t>Objective: establish baseline metrics and generate referenceable case studies.</w:t>
      </w:r>
    </w:p>
    <w:p>
      <w:pPr>
        <w:pStyle w:val="ListBullet"/>
        <w:spacing w:before="20" w:after="60"/>
      </w:pPr>
      <w:r>
        <w:rPr>
          <w:b/>
          <w:color w:val="0F2140"/>
          <w:sz w:val="21"/>
        </w:rPr>
        <w:t>Sources:</w:t>
      </w:r>
      <w:r>
        <w:rPr>
          <w:color w:val="2D3748"/>
          <w:sz w:val="21"/>
        </w:rPr>
        <w:t>ACAMS India, Fintech Convergence Council, IIM alumni network, RBI PA-licence payment aggregators</w:t>
      </w:r>
    </w:p>
    <w:p>
      <w:pPr>
        <w:pStyle w:val="ListBullet"/>
        <w:spacing w:before="20" w:after="60"/>
      </w:pPr>
      <w:r>
        <w:rPr>
          <w:b/>
          <w:color w:val="0F2140"/>
          <w:sz w:val="21"/>
        </w:rPr>
        <w:t>Terms:</w:t>
      </w:r>
      <w:r>
        <w:rPr>
          <w:color w:val="2D3748"/>
          <w:sz w:val="21"/>
        </w:rPr>
        <w:t>Free 60–90 day pilot. Baseline each team: (1) mean time-to-disposition per alert in minutes, (2) rationale coverage rate — % of cleared hits with documented rationale on file.</w:t>
      </w:r>
    </w:p>
    <w:p>
      <w:pPr>
        <w:pStyle w:val="ListBullet"/>
        <w:spacing w:before="20" w:after="60"/>
      </w:pPr>
      <w:r>
        <w:rPr>
          <w:b/>
          <w:color w:val="0F2140"/>
          <w:sz w:val="21"/>
        </w:rPr>
        <w:t>Conversion target:</w:t>
      </w:r>
      <w:r>
        <w:rPr>
          <w:color w:val="2D3748"/>
          <w:sz w:val="21"/>
        </w:rPr>
        <w:t>2 of 3 pilots convert to paid. Publish pilot results as the launch content anchor.</w:t>
      </w:r>
    </w:p>
    <w:p>
      <w:pPr>
        <w:spacing w:before="200" w:after="40"/>
      </w:pPr>
      <w:r>
        <w:rPr>
          <w:b/>
          <w:color w:val="2D3748"/>
          <w:sz w:val="22"/>
        </w:rPr>
        <w:t>Phase 1 — Case-Study-Led Launch (Weeks 5–12)</w:t>
      </w:r>
    </w:p>
    <w:p>
      <w:pPr>
        <w:spacing w:before="40" w:after="120"/>
      </w:pPr>
      <w:r>
        <w:rPr>
          <w:color w:val="2D3748"/>
          <w:sz w:val="21"/>
        </w:rPr>
        <w:t>Objective: 25 qualified demos; first paid revenue.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r>
              <w:rPr>
                <w:b/>
                <w:color w:val="FFFFFF"/>
                <w:sz w:val="19"/>
              </w:rPr>
              <w:t>Launch asset</w:t>
            </w:r>
          </w:p>
        </w:tc>
        <w:tc>
          <w:tcPr>
            <w:tcW w:type="dxa" w:w="2928"/>
            <w:shd w:val="clear" w:color="auto" w:fill="0F2140"/>
          </w:tcPr>
          <w:p>
            <w:r>
              <w:rPr>
                <w:b/>
                <w:color w:val="FFFFFF"/>
                <w:sz w:val="19"/>
              </w:rPr>
              <w:t>Description</w:t>
            </w:r>
          </w:p>
        </w:tc>
        <w:tc>
          <w:tcPr>
            <w:tcW w:type="dxa" w:w="2928"/>
            <w:shd w:val="clear" w:color="auto" w:fill="0F2140"/>
          </w:tcPr>
          <w:p>
            <w:r>
              <w:rPr>
                <w:b/>
                <w:color w:val="FFFFFF"/>
                <w:sz w:val="19"/>
              </w:rPr>
              <w:t>Channel</w:t>
            </w:r>
          </w:p>
        </w:tc>
      </w:tr>
      <w:tr>
        <w:tc>
          <w:tcPr>
            <w:tcW w:type="dxa" w:w="2928"/>
            <w:shd w:val="clear" w:color="auto" w:fill="F0F4F8"/>
          </w:tcPr>
          <w:p>
            <w:r>
              <w:rPr>
                <w:b/>
                <w:color w:val="0F2140"/>
                <w:sz w:val="19"/>
              </w:rPr>
              <w:t>“Sanctions Screening Under FEMA” checklist</w:t>
            </w:r>
          </w:p>
        </w:tc>
        <w:tc>
          <w:tcPr>
            <w:tcW w:type="dxa" w:w="2928"/>
            <w:shd w:val="clear" w:color="auto" w:fill="F0F4F8"/>
          </w:tcPr>
          <w:p>
            <w:r>
              <w:rPr>
                <w:color w:val="2D3748"/>
                <w:sz w:val="19"/>
              </w:rPr>
              <w:t>Practical regulatory guide — not a product demo. The anchor content piece.</w:t>
            </w:r>
          </w:p>
        </w:tc>
        <w:tc>
          <w:tcPr>
            <w:tcW w:type="dxa" w:w="2928"/>
            <w:shd w:val="clear" w:color="auto" w:fill="F0F4F8"/>
          </w:tcPr>
          <w:p>
            <w:r>
              <w:rPr>
                <w:color w:val="2D3748"/>
                <w:sz w:val="19"/>
              </w:rPr>
              <w:t>LinkedIn, ACAMS India, direct email</w:t>
            </w:r>
          </w:p>
        </w:tc>
      </w:tr>
      <w:tr>
        <w:tc>
          <w:tcPr>
            <w:tcW w:type="dxa" w:w="2928"/>
            <w:shd w:val="clear" w:color="auto" w:fill="FFFFFF"/>
          </w:tcPr>
          <w:p>
            <w:r>
              <w:rPr>
                <w:b/>
                <w:color w:val="0F2140"/>
                <w:sz w:val="19"/>
              </w:rPr>
              <w:t>MLRO Webinar</w:t>
            </w:r>
          </w:p>
        </w:tc>
        <w:tc>
          <w:tcPr>
            <w:tcW w:type="dxa" w:w="2928"/>
            <w:shd w:val="clear" w:color="auto" w:fill="FFFFFF"/>
          </w:tcPr>
          <w:p>
            <w:r>
              <w:rPr>
                <w:color w:val="2D3748"/>
                <w:sz w:val="19"/>
              </w:rPr>
              <w:t>“What FIU-IND Actually Looks For in Your Audit Trail” — education first, product at the end</w:t>
            </w:r>
          </w:p>
        </w:tc>
        <w:tc>
          <w:tcPr>
            <w:tcW w:type="dxa" w:w="2928"/>
            <w:shd w:val="clear" w:color="auto" w:fill="FFFFFF"/>
          </w:tcPr>
          <w:p>
            <w:r>
              <w:rPr>
                <w:color w:val="2D3748"/>
                <w:sz w:val="19"/>
              </w:rPr>
              <w:t>ACAMS India, Fintech Convergence Council</w:t>
            </w:r>
          </w:p>
        </w:tc>
      </w:tr>
      <w:tr>
        <w:tc>
          <w:tcPr>
            <w:tcW w:type="dxa" w:w="2928"/>
            <w:shd w:val="clear" w:color="auto" w:fill="F0F4F8"/>
          </w:tcPr>
          <w:p>
            <w:r>
              <w:rPr>
                <w:b/>
                <w:color w:val="0F2140"/>
                <w:sz w:val="19"/>
              </w:rPr>
              <w:t>Pilot case studies</w:t>
            </w:r>
          </w:p>
        </w:tc>
        <w:tc>
          <w:tcPr>
            <w:tcW w:type="dxa" w:w="2928"/>
            <w:shd w:val="clear" w:color="auto" w:fill="F0F4F8"/>
          </w:tcPr>
          <w:p>
            <w:r>
              <w:rPr>
                <w:color w:val="2D3748"/>
                <w:sz w:val="19"/>
              </w:rPr>
              <w:t>Time-to-disposition improvement and rationale coverage rate from design partners</w:t>
            </w:r>
          </w:p>
        </w:tc>
        <w:tc>
          <w:tcPr>
            <w:tcW w:type="dxa" w:w="2928"/>
            <w:shd w:val="clear" w:color="auto" w:fill="F0F4F8"/>
          </w:tcPr>
          <w:p>
            <w:r>
              <w:rPr>
                <w:color w:val="2D3748"/>
                <w:sz w:val="19"/>
              </w:rPr>
              <w:t>Sales deck, LinkedIn</w:t>
            </w:r>
          </w:p>
        </w:tc>
      </w:tr>
      <w:tr>
        <w:tc>
          <w:tcPr>
            <w:tcW w:type="dxa" w:w="2928"/>
            <w:shd w:val="clear" w:color="auto" w:fill="FFFFFF"/>
          </w:tcPr>
          <w:p>
            <w:r>
              <w:rPr>
                <w:b/>
                <w:color w:val="0F2140"/>
                <w:sz w:val="19"/>
              </w:rPr>
              <w:t>2-minute demo video</w:t>
            </w:r>
          </w:p>
        </w:tc>
        <w:tc>
          <w:tcPr>
            <w:tcW w:type="dxa" w:w="2928"/>
            <w:shd w:val="clear" w:color="auto" w:fill="FFFFFF"/>
          </w:tcPr>
          <w:p>
            <w:r>
              <w:rPr>
                <w:color w:val="2D3748"/>
                <w:sz w:val="19"/>
              </w:rPr>
              <w:t>Screen a name → see evidence → draft rationale → audit trail</w:t>
            </w:r>
          </w:p>
        </w:tc>
        <w:tc>
          <w:tcPr>
            <w:tcW w:type="dxa" w:w="2928"/>
            <w:shd w:val="clear" w:color="auto" w:fill="FFFFFF"/>
          </w:tcPr>
          <w:p>
            <w:r>
              <w:rPr>
                <w:color w:val="2D3748"/>
                <w:sz w:val="19"/>
              </w:rPr>
              <w:t>LinkedIn, website</w:t>
            </w:r>
          </w:p>
        </w:tc>
      </w:tr>
    </w:tbl>
    <w:p/>
    <w:p>
      <w:pPr>
        <w:spacing w:before="40" w:after="120"/>
      </w:pPr>
      <w:r>
        <w:rPr>
          <w:color w:val="2D3748"/>
          <w:sz w:val="21"/>
        </w:rPr>
        <w:t>Launch metric targets: time-to-disposition down 50% vs. baseline · 100% rationale coverage · 2 of 3 pilot conversions · 25 qualified demos in 90 days.</w:t>
      </w:r>
    </w:p>
    <w:p>
      <w:pPr>
        <w:spacing w:before="200" w:after="40"/>
      </w:pPr>
      <w:r>
        <w:rPr>
          <w:b/>
          <w:color w:val="2D3748"/>
          <w:sz w:val="22"/>
        </w:rPr>
        <w:t>Phase 2 — Channel Expansion (Months 4–9)</w:t>
      </w:r>
    </w:p>
    <w:p>
      <w:pPr>
        <w:spacing w:before="40" w:after="120"/>
      </w:pPr>
      <w:r>
        <w:rPr>
          <w:color w:val="2D3748"/>
          <w:sz w:val="21"/>
        </w:rPr>
        <w:t>Objective: ₹50–80L ARR; repeatable sales motion.</w:t>
      </w:r>
    </w:p>
    <w:p>
      <w:pPr>
        <w:pStyle w:val="ListBullet"/>
        <w:spacing w:before="20" w:after="60"/>
      </w:pPr>
      <w:r>
        <w:rPr>
          <w:b/>
          <w:color w:val="0F2140"/>
          <w:sz w:val="21"/>
        </w:rPr>
        <w:t>Channel partnerships:</w:t>
      </w:r>
      <w:r>
        <w:rPr>
          <w:color w:val="2D3748"/>
          <w:sz w:val="21"/>
        </w:rPr>
        <w:t>Compliance consultants advising the same 1–5 analyst fintech teams become a referral multiplier.</w:t>
      </w:r>
    </w:p>
    <w:p>
      <w:pPr>
        <w:pStyle w:val="ListBullet"/>
        <w:spacing w:before="20" w:after="60"/>
      </w:pPr>
      <w:r>
        <w:rPr>
          <w:b/>
          <w:color w:val="0F2140"/>
          <w:sz w:val="21"/>
        </w:rPr>
        <w:t>Trade-finance NBFCs:</w:t>
      </w:r>
      <w:r>
        <w:rPr>
          <w:color w:val="2D3748"/>
          <w:sz w:val="21"/>
        </w:rPr>
        <w:t>Invoice discounting firms and TReDS operators share the analyst pain profile, plus the Trade Document agent use case is already built and shipped.</w:t>
      </w:r>
    </w:p>
    <w:p>
      <w:pPr>
        <w:pStyle w:val="ListBullet"/>
        <w:spacing w:before="20" w:after="60"/>
      </w:pPr>
      <w:r>
        <w:rPr>
          <w:b/>
          <w:color w:val="0F2140"/>
          <w:sz w:val="21"/>
        </w:rPr>
        <w:t>Bank qualification:</w:t>
      </w:r>
      <w:r>
        <w:rPr>
          <w:color w:val="2D3748"/>
          <w:sz w:val="21"/>
        </w:rPr>
        <w:t>Begin qualifying mid-tier private bank prospects — the 4-agent architecture, 10-scenario demo dataset, and 155-test suite support an enterprise conversation.</w:t>
      </w:r>
    </w:p>
    <w:p>
      <w:pPr>
        <w:spacing w:before="200" w:after="40"/>
      </w:pPr>
      <w:r>
        <w:rPr>
          <w:b/>
          <w:color w:val="2D3748"/>
          <w:sz w:val="22"/>
        </w:rPr>
        <w:t>Phase 3 — Upmarket (Month 10+)</w:t>
      </w:r>
    </w:p>
    <w:p>
      <w:pPr>
        <w:spacing w:before="40" w:after="120"/>
      </w:pPr>
      <w:r>
        <w:rPr>
          <w:color w:val="2D3748"/>
          <w:sz w:val="21"/>
        </w:rPr>
        <w:t>Objective: first mid-tier bank contract; first enterprise deal (₹25L+/year).</w:t>
      </w:r>
    </w:p>
    <w:p>
      <w:pPr>
        <w:pStyle w:val="ListBullet"/>
        <w:spacing w:before="20" w:after="60"/>
      </w:pPr>
      <w:r>
        <w:rPr>
          <w:b/>
          <w:color w:val="0F2140"/>
          <w:sz w:val="21"/>
        </w:rPr>
        <w:t>Target banks:</w:t>
      </w:r>
      <w:r>
        <w:rPr>
          <w:color w:val="2D3748"/>
          <w:sz w:val="21"/>
        </w:rPr>
        <w:t>Yes Bank, Federal Bank, RBL Bank, IndusInd Bank, IDFC First Bank — 6–12 month cycles, 20–50 analyst compliance teams. Fintech case studies are the proof.</w:t>
      </w:r>
    </w:p>
    <w:p>
      <w:pPr>
        <w:pStyle w:val="ListBullet"/>
        <w:spacing w:before="20" w:after="60"/>
      </w:pPr>
      <w:r>
        <w:rPr>
          <w:b/>
          <w:color w:val="0F2140"/>
          <w:sz w:val="21"/>
        </w:rPr>
        <w:t>Enterprise tier:</w:t>
      </w:r>
      <w:r>
        <w:rPr>
          <w:color w:val="2D3748"/>
          <w:sz w:val="21"/>
        </w:rPr>
        <w:t>API-first CBS integration (Finacle, T24, Oracle FLEXCUBE), India-region cloud, custom scoring weights, SLA guarantees, white-label option.</w:t>
      </w:r>
    </w:p>
    <w:p>
      <w:pPr>
        <w:spacing w:before="280" w:after="80"/>
      </w:pPr>
      <w:r>
        <w:rPr>
          <w:b/>
          <w:color w:val="00C2A8"/>
          <w:sz w:val="26"/>
        </w:rPr>
        <w:t>Geographic Corridor Sequence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r>
              <w:rPr>
                <w:b/>
                <w:color w:val="FFFFFF"/>
                <w:sz w:val="19"/>
              </w:rPr>
              <w:t>Phase</w:t>
            </w:r>
          </w:p>
        </w:tc>
        <w:tc>
          <w:tcPr>
            <w:tcW w:type="dxa" w:w="2928"/>
            <w:shd w:val="clear" w:color="auto" w:fill="0F2140"/>
          </w:tcPr>
          <w:p>
            <w:r>
              <w:rPr>
                <w:b/>
                <w:color w:val="FFFFFF"/>
                <w:sz w:val="19"/>
              </w:rPr>
              <w:t>Corridor</w:t>
            </w:r>
          </w:p>
        </w:tc>
        <w:tc>
          <w:tcPr>
            <w:tcW w:type="dxa" w:w="2928"/>
            <w:shd w:val="clear" w:color="auto" w:fill="0F2140"/>
          </w:tcPr>
          <w:p>
            <w:r>
              <w:rPr>
                <w:b/>
                <w:color w:val="FFFFFF"/>
                <w:sz w:val="19"/>
              </w:rPr>
              <w:t>Regulatory anchor</w:t>
            </w:r>
          </w:p>
        </w:tc>
      </w:tr>
      <w:tr>
        <w:tc>
          <w:tcPr>
            <w:tcW w:type="dxa" w:w="2928"/>
            <w:shd w:val="clear" w:color="auto" w:fill="F0F4F8"/>
          </w:tcPr>
          <w:p>
            <w:r>
              <w:rPr>
                <w:b/>
                <w:color w:val="0F2140"/>
                <w:sz w:val="19"/>
              </w:rPr>
              <w:t>Beachhead</w:t>
            </w:r>
          </w:p>
        </w:tc>
        <w:tc>
          <w:tcPr>
            <w:tcW w:type="dxa" w:w="2928"/>
            <w:shd w:val="clear" w:color="auto" w:fill="F0F4F8"/>
          </w:tcPr>
          <w:p>
            <w:r>
              <w:rPr>
                <w:color w:val="2D3748"/>
                <w:sz w:val="19"/>
              </w:rPr>
              <w:t>India domestic</w:t>
            </w:r>
          </w:p>
        </w:tc>
        <w:tc>
          <w:tcPr>
            <w:tcW w:type="dxa" w:w="2928"/>
            <w:shd w:val="clear" w:color="auto" w:fill="F0F4F8"/>
          </w:tcPr>
          <w:p>
            <w:r>
              <w:rPr>
                <w:color w:val="2D3748"/>
                <w:sz w:val="19"/>
              </w:rPr>
              <w:t>RBI, FIU-IND, FEMA</w:t>
            </w:r>
          </w:p>
        </w:tc>
      </w:tr>
      <w:tr>
        <w:tc>
          <w:tcPr>
            <w:tcW w:type="dxa" w:w="2928"/>
            <w:shd w:val="clear" w:color="auto" w:fill="FFFFFF"/>
          </w:tcPr>
          <w:p>
            <w:r>
              <w:rPr>
                <w:b/>
                <w:color w:val="0F2140"/>
                <w:sz w:val="19"/>
              </w:rPr>
              <w:t>Phase 1</w:t>
            </w:r>
          </w:p>
        </w:tc>
        <w:tc>
          <w:tcPr>
            <w:tcW w:type="dxa" w:w="2928"/>
            <w:shd w:val="clear" w:color="auto" w:fill="FFFFFF"/>
          </w:tcPr>
          <w:p>
            <w:r>
              <w:rPr>
                <w:color w:val="2D3748"/>
                <w:sz w:val="19"/>
              </w:rPr>
              <w:t>India → UAE</w:t>
            </w:r>
          </w:p>
        </w:tc>
        <w:tc>
          <w:tcPr>
            <w:tcW w:type="dxa" w:w="2928"/>
            <w:shd w:val="clear" w:color="auto" w:fill="FFFFFF"/>
          </w:tcPr>
          <w:p>
            <w:r>
              <w:rPr>
                <w:color w:val="2D3748"/>
                <w:sz w:val="19"/>
              </w:rPr>
              <w:t>RBI/FEMA + CBUAE · Highest-volume Indian trade corridor</w:t>
            </w:r>
          </w:p>
        </w:tc>
      </w:tr>
      <w:tr>
        <w:tc>
          <w:tcPr>
            <w:tcW w:type="dxa" w:w="2928"/>
            <w:shd w:val="clear" w:color="auto" w:fill="F0F4F8"/>
          </w:tcPr>
          <w:p>
            <w:r>
              <w:rPr>
                <w:b/>
                <w:color w:val="0F2140"/>
                <w:sz w:val="19"/>
              </w:rPr>
              <w:t>Phase 2</w:t>
            </w:r>
          </w:p>
        </w:tc>
        <w:tc>
          <w:tcPr>
            <w:tcW w:type="dxa" w:w="2928"/>
            <w:shd w:val="clear" w:color="auto" w:fill="F0F4F8"/>
          </w:tcPr>
          <w:p>
            <w:r>
              <w:rPr>
                <w:color w:val="2D3748"/>
                <w:sz w:val="19"/>
              </w:rPr>
              <w:t>India → Singapore</w:t>
            </w:r>
          </w:p>
        </w:tc>
        <w:tc>
          <w:tcPr>
            <w:tcW w:type="dxa" w:w="2928"/>
            <w:shd w:val="clear" w:color="auto" w:fill="F0F4F8"/>
          </w:tcPr>
          <w:p>
            <w:r>
              <w:rPr>
                <w:color w:val="2D3748"/>
                <w:sz w:val="19"/>
              </w:rPr>
              <w:t>MAS guidance already in the Regulatory Intelligence module</w:t>
            </w:r>
          </w:p>
        </w:tc>
      </w:tr>
      <w:tr>
        <w:tc>
          <w:tcPr>
            <w:tcW w:type="dxa" w:w="2928"/>
            <w:shd w:val="clear" w:color="auto" w:fill="FFFFFF"/>
          </w:tcPr>
          <w:p>
            <w:r>
              <w:rPr>
                <w:b/>
                <w:color w:val="0F2140"/>
                <w:sz w:val="19"/>
              </w:rPr>
              <w:t>Phase 3</w:t>
            </w:r>
          </w:p>
        </w:tc>
        <w:tc>
          <w:tcPr>
            <w:tcW w:type="dxa" w:w="2928"/>
            <w:shd w:val="clear" w:color="auto" w:fill="FFFFFF"/>
          </w:tcPr>
          <w:p>
            <w:r>
              <w:rPr>
                <w:color w:val="2D3748"/>
                <w:sz w:val="19"/>
              </w:rPr>
              <w:t>India → US / EU</w:t>
            </w:r>
          </w:p>
        </w:tc>
        <w:tc>
          <w:tcPr>
            <w:tcW w:type="dxa" w:w="2928"/>
            <w:shd w:val="clear" w:color="auto" w:fill="FFFFFF"/>
          </w:tcPr>
          <w:p>
            <w:r>
              <w:rPr>
                <w:color w:val="2D3748"/>
                <w:sz w:val="19"/>
              </w:rPr>
              <w:t>OFAC, EU lists already screened against · GTM follows product readiness</w:t>
            </w:r>
          </w:p>
        </w:tc>
      </w:tr>
    </w:tbl>
    <w:p/>
    <w:p>
      <w:r>
        <w:br w:type="page"/>
      </w:r>
    </w:p>
    <w:p>
      <w:pPr>
        <w:spacing w:before="360" w:after="120"/>
      </w:pPr>
      <w:r>
        <w:rPr>
          <w:b/>
          <w:color w:val="0F2140"/>
          <w:sz w:val="36"/>
        </w:rPr>
        <w:t>Part 3 — The Narrative</w:t>
      </w:r>
    </w:p>
    <w:p>
      <w:pPr>
        <w:pBdr>
          <w:bottom w:val="single" w:sz="6" w:space="1" w:color="00C2A8"/>
        </w:pBdr>
        <w:spacing w:before="80" w:after="80"/>
      </w:pPr>
    </w:p>
    <w:p>
      <w:pPr>
        <w:spacing w:before="280" w:after="80"/>
      </w:pPr>
      <w:r>
        <w:rPr>
          <w:b/>
          <w:color w:val="00C2A8"/>
          <w:sz w:val="26"/>
        </w:rPr>
        <w:t>The Problem — Three Things That Break Every Team</w:t>
      </w:r>
    </w:p>
    <w:p>
      <w:pPr>
        <w:spacing w:before="200" w:after="40"/>
      </w:pPr>
      <w:r>
        <w:rPr>
          <w:b/>
          <w:color w:val="2D3748"/>
          <w:sz w:val="22"/>
        </w:rPr>
        <w:t>1. False positives from transliteration</w:t>
      </w:r>
    </w:p>
    <w:p>
      <w:pPr>
        <w:spacing w:before="40" w:after="120"/>
      </w:pPr>
      <w:r>
        <w:rPr>
          <w:color w:val="2D3748"/>
          <w:sz w:val="21"/>
        </w:rPr>
        <w:t>A basic fuzzy engine produces false positives on transliterated names — “Mohammed” vs “Muhammad,” “Aliyev” vs “Aliev,” “Al-Rashid” vs “Al-Rasheed.” Every potential hit is reviewed manually. A 2-person team running 60–90 alerts a day spends most of their time on names that are obviously not the sanctioned entity — but they cannot skip them, because they cannot prove that without reviewing the evidence.</w:t>
      </w:r>
    </w:p>
    <w:p>
      <w:pPr>
        <w:spacing w:before="200" w:after="40"/>
      </w:pPr>
      <w:r>
        <w:rPr>
          <w:b/>
          <w:color w:val="2D3748"/>
          <w:sz w:val="22"/>
        </w:rPr>
        <w:t>2. Rationale scattered across email threads</w:t>
      </w:r>
    </w:p>
    <w:p>
      <w:pPr>
        <w:spacing w:before="40" w:after="120"/>
      </w:pPr>
      <w:r>
        <w:rPr>
          <w:color w:val="2D3748"/>
          <w:sz w:val="21"/>
        </w:rPr>
        <w:t>Disposition happens in email threads and spreadsheets. When the auditor asks “on what basis was this cleared in March?” the answer takes hours to reconstruct from inboxes and meeting notes. The compliance record is scattered.</w:t>
      </w:r>
    </w:p>
    <w:p>
      <w:pPr>
        <w:spacing w:before="200" w:after="40"/>
      </w:pPr>
      <w:r>
        <w:rPr>
          <w:b/>
          <w:color w:val="2D3748"/>
          <w:sz w:val="22"/>
        </w:rPr>
        <w:t>3. Screening is periodic, not continuous</w:t>
      </w:r>
    </w:p>
    <w:p>
      <w:pPr>
        <w:spacing w:before="40" w:after="120"/>
      </w:pPr>
      <w:r>
        <w:rPr>
          <w:color w:val="2D3748"/>
          <w:sz w:val="21"/>
        </w:rPr>
        <w:t>Real matches can slip through between screening cycles. Legitimate payments queue in a backlog while analysts clear the noise. Slower payment release hurts the business; incomplete screening creates regulatory exposure.</w:t>
      </w:r>
    </w:p>
    <w:p>
      <w:pPr>
        <w:spacing w:before="40" w:after="120"/>
      </w:pPr>
      <w:r>
        <w:rPr>
          <w:color w:val="2D3748"/>
          <w:sz w:val="21"/>
        </w:rPr>
        <w:t>Business impact: slower payment release, screening backlog, analyst fatigue, and audit risk from undocumented clears.</w:t>
      </w:r>
    </w:p>
    <w:p>
      <w:pPr>
        <w:spacing w:before="280" w:after="80"/>
      </w:pPr>
      <w:r>
        <w:rPr>
          <w:b/>
          <w:color w:val="00C2A8"/>
          <w:sz w:val="26"/>
        </w:rPr>
        <w:t>The Story — Through Priya’s Monday Morning</w:t>
      </w:r>
    </w:p>
    <w:p>
      <w:pPr>
        <w:spacing w:before="40" w:after="120"/>
      </w:pPr>
      <w:r>
        <w:rPr>
          <w:color w:val="2D3748"/>
          <w:sz w:val="21"/>
        </w:rPr>
        <w:t>Priya opens Monday with 87 alerts.</w:t>
      </w:r>
    </w:p>
    <w:p>
      <w:pPr>
        <w:spacing w:before="40" w:after="120"/>
      </w:pPr>
      <w:r>
        <w:rPr>
          <w:color w:val="2D3748"/>
          <w:sz w:val="21"/>
        </w:rPr>
        <w:t>She knows most of them are false positives — she’s done this for two years and recognises the patterns. “Orion Trading LLC” matches “Orion International” on the UN list at 89% because the fuzzy engine doesn’t strip “International” as a legal-form suffix. “Mohammed Al-Rashid General Trading” matches seven entries because the engine doesn’t fold Arabic name transliterations. She clears them. She writes the rationale in a separate email to her manager for the compliance record.</w:t>
      </w:r>
    </w:p>
    <w:p>
      <w:pPr>
        <w:spacing w:before="40" w:after="120"/>
      </w:pPr>
      <w:r>
        <w:rPr>
          <w:color w:val="2D3748"/>
          <w:sz w:val="21"/>
        </w:rPr>
        <w:t>By Thursday afternoon she’s cleared 61 of 87. She’s documented them all — somewhere.</w:t>
      </w:r>
    </w:p>
    <w:p>
      <w:pPr>
        <w:spacing w:before="40" w:after="120"/>
      </w:pPr>
      <w:r>
        <w:rPr>
          <w:color w:val="2D3748"/>
          <w:sz w:val="21"/>
        </w:rPr>
        <w:t>Three months later, FIU-IND audits the firm. The auditor asks for the basis on which “Al-Rashid General Trading” was cleared in March. Priya spends two hours searching email. She finds the rationale in a thread that started as a team lunch invite.</w:t>
      </w:r>
    </w:p>
    <w:p>
      <w:pPr>
        <w:spacing w:before="40" w:after="120"/>
      </w:pPr>
      <w:r>
        <w:rPr>
          <w:color w:val="2D3748"/>
          <w:sz w:val="21"/>
        </w:rPr>
        <w:t>The auditor is not satisfied with an email thread. The compliance record is scattered.</w:t>
      </w:r>
    </w:p>
    <w:p>
      <w:pPr>
        <w:spacing w:before="280" w:after="80"/>
      </w:pPr>
      <w:r>
        <w:rPr>
          <w:b/>
          <w:color w:val="00C2A8"/>
          <w:sz w:val="26"/>
        </w:rPr>
        <w:t>The Answer — What ScreenDesk Actually Does</w:t>
      </w:r>
    </w:p>
    <w:p>
      <w:pPr>
        <w:spacing w:before="40" w:after="120"/>
      </w:pPr>
      <w:r>
        <w:rPr>
          <w:color w:val="2D3748"/>
          <w:sz w:val="21"/>
        </w:rPr>
        <w:t>ScreenDesk runs the same screening Priya runs — against OFAC, UN, EU, and PEP watchlists — but it shows her why the engine matched.</w:t>
      </w:r>
    </w:p>
    <w:p>
      <w:pPr>
        <w:spacing w:before="40" w:after="120"/>
      </w:pPr>
      <w:r>
        <w:rPr>
          <w:color w:val="2D3748"/>
          <w:sz w:val="21"/>
        </w:rPr>
        <w:t>The match card shows the normalized name pair with shared tokens highlighted. It shows the component scores — full ratio, token sort, token set — so she can see exactly which algorithm found which pattern, and why. She makes her decision in 90 seconds with evidence on screen.</w:t>
      </w:r>
    </w:p>
    <w:p>
      <w:pPr>
        <w:spacing w:before="40" w:after="120"/>
      </w:pPr>
      <w:r>
        <w:rPr>
          <w:color w:val="2D3748"/>
          <w:sz w:val="21"/>
        </w:rPr>
        <w:t>One button drafts the disposition rationale in professional compliance language — AI-assisted, analyst-owned. She edits the draft to reflect her specific judgment. She submits. The rationale, the evidence, the timestamp, and her identity are written to the audit trail automatically.</w:t>
      </w:r>
    </w:p>
    <w:p>
      <w:pPr>
        <w:spacing w:before="40" w:after="120"/>
      </w:pPr>
      <w:r>
        <w:rPr>
          <w:color w:val="2D3748"/>
          <w:sz w:val="21"/>
        </w:rPr>
        <w:t>The audit trail is append-only. When FIU-IND arrives, Priya opens the Audit Trail tab. Every screening, every disposition, every rationale — chronological, timestamped, complete. The two-hour email search does not happen.</w:t>
      </w:r>
    </w:p>
    <w:p>
      <w:pPr>
        <w:spacing w:before="280" w:after="80"/>
      </w:pPr>
      <w:r>
        <w:rPr>
          <w:b/>
          <w:color w:val="00C2A8"/>
          <w:sz w:val="26"/>
        </w:rPr>
        <w:t>The Hook</w:t>
      </w:r>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200"/>
              <w:jc w:val="center"/>
            </w:pPr>
            <w:r>
              <w:rPr>
                <w:b/>
                <w:color w:val="FFFFFF"/>
                <w:sz w:val="24"/>
              </w:rPr>
              <w:t>“See why it matched.  Clear the noise.  Keep the receipt.”</w:t>
            </w:r>
          </w:p>
        </w:tc>
      </w:tr>
    </w:tbl>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F0F4F8"/>
          </w:tcPr>
          <w:p>
            <w:r>
              <w:rPr>
                <w:b/>
                <w:color w:val="0F2140"/>
                <w:sz w:val="20"/>
              </w:rPr>
              <w:t>“See why it matched”</w:t>
            </w:r>
          </w:p>
        </w:tc>
        <w:tc>
          <w:tcPr>
            <w:tcW w:type="dxa" w:w="4392"/>
            <w:shd w:val="clear" w:color="auto" w:fill="F0F4F8"/>
          </w:tcPr>
          <w:p>
            <w:r>
              <w:rPr>
                <w:color w:val="2D3748"/>
                <w:sz w:val="20"/>
              </w:rPr>
              <w:t>Evidence-first screening. Not a black-box score — a normalized name pair with highlighted shared tokens, component scores, list name, and full context.</w:t>
            </w:r>
          </w:p>
        </w:tc>
      </w:tr>
      <w:tr>
        <w:tc>
          <w:tcPr>
            <w:tcW w:type="dxa" w:w="4392"/>
            <w:shd w:val="clear" w:color="auto" w:fill="FFFFFF"/>
          </w:tcPr>
          <w:p>
            <w:r>
              <w:rPr>
                <w:b/>
                <w:color w:val="0F2140"/>
                <w:sz w:val="20"/>
              </w:rPr>
              <w:t>“Clear the noise”</w:t>
            </w:r>
          </w:p>
        </w:tc>
        <w:tc>
          <w:tcPr>
            <w:tcW w:type="dxa" w:w="4392"/>
            <w:shd w:val="clear" w:color="auto" w:fill="FFFFFF"/>
          </w:tcPr>
          <w:p>
            <w:r>
              <w:rPr>
                <w:color w:val="2D3748"/>
                <w:sz w:val="20"/>
              </w:rPr>
              <w:t>Transliteration-aware matching tuned for Indian cross-border trade name variants cuts the false positive load that consumes most of a small team’s review capacity.</w:t>
            </w:r>
          </w:p>
        </w:tc>
      </w:tr>
      <w:tr>
        <w:tc>
          <w:tcPr>
            <w:tcW w:type="dxa" w:w="4392"/>
            <w:shd w:val="clear" w:color="auto" w:fill="F0F4F8"/>
          </w:tcPr>
          <w:p>
            <w:r>
              <w:rPr>
                <w:b/>
                <w:color w:val="0F2140"/>
                <w:sz w:val="20"/>
              </w:rPr>
              <w:t>“Keep the receipt”</w:t>
            </w:r>
          </w:p>
        </w:tc>
        <w:tc>
          <w:tcPr>
            <w:tcW w:type="dxa" w:w="4392"/>
            <w:shd w:val="clear" w:color="auto" w:fill="F0F4F8"/>
          </w:tcPr>
          <w:p>
            <w:r>
              <w:rPr>
                <w:color w:val="2D3748"/>
                <w:sz w:val="20"/>
              </w:rPr>
              <w:t>Every clearance carries a written, AI-drafted-but-analyst-owned rationale on an append-only audit trail that survives FIU-IND inspection. The receipt writes itself.</w:t>
            </w:r>
          </w:p>
        </w:tc>
      </w:tr>
    </w:tbl>
    <w:p/>
    <w:p>
      <w:pPr>
        <w:spacing w:before="280" w:after="80"/>
      </w:pPr>
      <w:r>
        <w:rPr>
          <w:b/>
          <w:color w:val="00C2A8"/>
          <w:sz w:val="26"/>
        </w:rPr>
        <w:t>The Regulatory Posture — The Line That Must Appear Everywhere</w:t>
      </w:r>
    </w:p>
    <w:tbl>
      <w:tblPr>
        <w:tblW w:type="auto" w:w="0"/>
        <w:jc w:val="center"/>
        <w:tblLook w:firstColumn="1" w:firstRow="1" w:lastColumn="0" w:lastRow="0" w:noHBand="0" w:noVBand="1" w:val="04A0"/>
      </w:tblPr>
      <w:tblGrid>
        <w:gridCol w:w="8784"/>
      </w:tblGrid>
      <w:tr>
        <w:tc>
          <w:tcPr>
            <w:tcW w:type="dxa" w:w="8784"/>
            <w:shd w:val="clear" w:color="auto" w:fill="00C2A8"/>
          </w:tcPr>
          <w:p>
            <w:pPr>
              <w:spacing w:before="200" w:after="200"/>
              <w:jc w:val="center"/>
            </w:pPr>
            <w:r>
              <w:rPr>
                <w:b/>
                <w:color w:val="FFFFFF"/>
                <w:sz w:val="24"/>
              </w:rPr>
              <w:t>“The AI drafts. The analyst decides.”</w:t>
            </w:r>
          </w:p>
        </w:tc>
      </w:tr>
    </w:tbl>
    <w:p/>
    <w:p>
      <w:pPr>
        <w:spacing w:before="40" w:after="120"/>
      </w:pPr>
      <w:r>
        <w:rPr>
          <w:color w:val="2D3748"/>
          <w:sz w:val="21"/>
        </w:rPr>
        <w:t>This is not a marketing disclaimer. It is a structural guarantee baked into the product architecture. The deterministic scoring engine never uses an LLM to compute a risk score, produce a compliance outcome, or make a recommendation. The LLM is used for exactly one function: drafting rationale prose. The analyst edits it, owns it, and submits it under their name.</w:t>
      </w:r>
    </w:p>
    <w:p>
      <w:pPr>
        <w:spacing w:before="40" w:after="120"/>
      </w:pPr>
      <w:r>
        <w:rPr>
          <w:color w:val="2D3748"/>
          <w:sz w:val="21"/>
        </w:rPr>
        <w:t>This is the posture RBI and FIU-IND signal they expect. It must appear on the product, in the sales deck, on the website, and in every compliance forum conversation.</w:t>
      </w:r>
    </w:p>
    <w:p>
      <w:pPr>
        <w:spacing w:before="280" w:after="80"/>
      </w:pPr>
      <w:r>
        <w:rPr>
          <w:b/>
          <w:color w:val="00C2A8"/>
          <w:sz w:val="26"/>
        </w:rPr>
        <w:t>The Full Narrative — One Paragraph for Any Pitch</w:t>
      </w:r>
    </w:p>
    <w:p>
      <w:pPr>
        <w:spacing w:before="120" w:after="120"/>
        <w:ind w:left="432" w:right="432"/>
      </w:pPr>
      <w:r>
        <w:rPr>
          <w:i/>
          <w:color w:val="2D3748"/>
          <w:sz w:val="21"/>
        </w:rPr>
        <w:t>ScreenDesk by TradePe is an evidence-first compliance workbench for cross-border payment teams. A compliance analyst enters a name; the engine screens it against OFAC, UN, EU, and PEP watchlists with transliteration-aware matching tuned for Indian cross-border trade name variants — and instead of returning a score, it shows exactly which tokens matched and why. The analyst sees the evidence, clicks once to draft a professional disposition rationale with AI assistance, edits it to reflect their judgment, and submits. Every step — the screening, the draft, the decision — is written automatically to an append-only audit trail. The MLRO gets a full audit log that survives RBI or FIU-IND inspection without two hours of email archaeology. The full TradePe Compliance Copilot extends the same audit backbone to customer KYC risk, trade document verification, and transaction monitoring as the team’s compliance perimeter grows. Deployable in a day. Priced for a two-analyst team. The AI drafts. The analyst decides.</w:t>
      </w:r>
    </w:p>
    <w:p>
      <w:pPr>
        <w:spacing w:before="280" w:after="80"/>
      </w:pPr>
      <w:r>
        <w:rPr>
          <w:b/>
          <w:color w:val="00C2A8"/>
          <w:sz w:val="26"/>
        </w:rPr>
        <w:t>Messaging by Audience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F2140"/>
          </w:tcPr>
          <w:p>
            <w:r>
              <w:rPr>
                <w:b/>
                <w:color w:val="FFFFFF"/>
                <w:sz w:val="19"/>
              </w:rPr>
              <w:t>Audience</w:t>
            </w:r>
          </w:p>
        </w:tc>
        <w:tc>
          <w:tcPr>
            <w:tcW w:type="dxa" w:w="2928"/>
            <w:shd w:val="clear" w:color="auto" w:fill="0F2140"/>
          </w:tcPr>
          <w:p>
            <w:r>
              <w:rPr>
                <w:b/>
                <w:color w:val="FFFFFF"/>
                <w:sz w:val="19"/>
              </w:rPr>
              <w:t>Primary message</w:t>
            </w:r>
          </w:p>
        </w:tc>
        <w:tc>
          <w:tcPr>
            <w:tcW w:type="dxa" w:w="2928"/>
            <w:shd w:val="clear" w:color="auto" w:fill="0F2140"/>
          </w:tcPr>
          <w:p>
            <w:r>
              <w:rPr>
                <w:b/>
                <w:color w:val="FFFFFF"/>
                <w:sz w:val="19"/>
              </w:rPr>
              <w:t>Supporting message</w:t>
            </w:r>
          </w:p>
        </w:tc>
      </w:tr>
      <w:tr>
        <w:tc>
          <w:tcPr>
            <w:tcW w:type="dxa" w:w="2928"/>
            <w:shd w:val="clear" w:color="auto" w:fill="F0F4F8"/>
          </w:tcPr>
          <w:p>
            <w:r>
              <w:rPr>
                <w:b/>
                <w:color w:val="0F2140"/>
                <w:sz w:val="19"/>
              </w:rPr>
              <w:t>Priya — the analyst</w:t>
            </w:r>
          </w:p>
        </w:tc>
        <w:tc>
          <w:tcPr>
            <w:tcW w:type="dxa" w:w="2928"/>
            <w:shd w:val="clear" w:color="auto" w:fill="F0F4F8"/>
          </w:tcPr>
          <w:p>
            <w:r>
              <w:rPr>
                <w:color w:val="2D3748"/>
                <w:sz w:val="19"/>
              </w:rPr>
              <w:t>“See why it matched. One click to draft. Your decisions, documented.”</w:t>
            </w:r>
          </w:p>
        </w:tc>
        <w:tc>
          <w:tcPr>
            <w:tcW w:type="dxa" w:w="2928"/>
            <w:shd w:val="clear" w:color="auto" w:fill="F0F4F8"/>
          </w:tcPr>
          <w:p>
            <w:r>
              <w:rPr>
                <w:color w:val="2D3748"/>
                <w:sz w:val="19"/>
              </w:rPr>
              <w:t>Never write a rationale from scratch again. Never lose a cleared record in email.</w:t>
            </w:r>
          </w:p>
        </w:tc>
      </w:tr>
      <w:tr>
        <w:tc>
          <w:tcPr>
            <w:tcW w:type="dxa" w:w="2928"/>
            <w:shd w:val="clear" w:color="auto" w:fill="FFFFFF"/>
          </w:tcPr>
          <w:p>
            <w:r>
              <w:rPr>
                <w:b/>
                <w:color w:val="0F2140"/>
                <w:sz w:val="19"/>
              </w:rPr>
              <w:t>MLRO — the buyer</w:t>
            </w:r>
          </w:p>
        </w:tc>
        <w:tc>
          <w:tcPr>
            <w:tcW w:type="dxa" w:w="2928"/>
            <w:shd w:val="clear" w:color="auto" w:fill="FFFFFF"/>
          </w:tcPr>
          <w:p>
            <w:r>
              <w:rPr>
                <w:color w:val="2D3748"/>
                <w:sz w:val="19"/>
              </w:rPr>
              <w:t>“Throughput without headcount. An audit trail that survives RBI inspection.”</w:t>
            </w:r>
          </w:p>
        </w:tc>
        <w:tc>
          <w:tcPr>
            <w:tcW w:type="dxa" w:w="2928"/>
            <w:shd w:val="clear" w:color="auto" w:fill="FFFFFF"/>
          </w:tcPr>
          <w:p>
            <w:r>
              <w:rPr>
                <w:color w:val="2D3748"/>
                <w:sz w:val="19"/>
              </w:rPr>
              <w:t>The AI drafts. Your team decides. Every decision documented before the auditor asks.</w:t>
            </w:r>
          </w:p>
        </w:tc>
      </w:tr>
      <w:tr>
        <w:tc>
          <w:tcPr>
            <w:tcW w:type="dxa" w:w="2928"/>
            <w:shd w:val="clear" w:color="auto" w:fill="F0F4F8"/>
          </w:tcPr>
          <w:p>
            <w:r>
              <w:rPr>
                <w:b/>
                <w:color w:val="0F2140"/>
                <w:sz w:val="19"/>
              </w:rPr>
              <w:t>Compliance consultant (channel)</w:t>
            </w:r>
          </w:p>
        </w:tc>
        <w:tc>
          <w:tcPr>
            <w:tcW w:type="dxa" w:w="2928"/>
            <w:shd w:val="clear" w:color="auto" w:fill="F0F4F8"/>
          </w:tcPr>
          <w:p>
            <w:r>
              <w:rPr>
                <w:color w:val="2D3748"/>
                <w:sz w:val="19"/>
              </w:rPr>
              <w:t>“Your clients can’t afford World-Check. They can’t afford to fail an FIU-IND audit either. ScreenDesk sits exactly between them.”</w:t>
            </w:r>
          </w:p>
        </w:tc>
        <w:tc>
          <w:tcPr>
            <w:tcW w:type="dxa" w:w="2928"/>
            <w:shd w:val="clear" w:color="auto" w:fill="F0F4F8"/>
          </w:tcPr>
          <w:p>
            <w:r>
              <w:rPr>
                <w:color w:val="2D3748"/>
                <w:sz w:val="19"/>
              </w:rPr>
              <w:t>—</w:t>
            </w:r>
          </w:p>
        </w:tc>
      </w:tr>
      <w:tr>
        <w:tc>
          <w:tcPr>
            <w:tcW w:type="dxa" w:w="2928"/>
            <w:shd w:val="clear" w:color="auto" w:fill="FFFFFF"/>
          </w:tcPr>
          <w:p>
            <w:r>
              <w:rPr>
                <w:b/>
                <w:color w:val="0F2140"/>
                <w:sz w:val="19"/>
              </w:rPr>
              <w:t>Bank compliance head (Phase 2)</w:t>
            </w:r>
          </w:p>
        </w:tc>
        <w:tc>
          <w:tcPr>
            <w:tcW w:type="dxa" w:w="2928"/>
            <w:shd w:val="clear" w:color="auto" w:fill="FFFFFF"/>
          </w:tcPr>
          <w:p>
            <w:r>
              <w:rPr>
                <w:color w:val="2D3748"/>
                <w:sz w:val="19"/>
              </w:rPr>
              <w:t>“The same architecture fintechs use to survive their first RBI audit scales to your full four-agent compliance workflow.”</w:t>
            </w:r>
          </w:p>
        </w:tc>
        <w:tc>
          <w:tcPr>
            <w:tcW w:type="dxa" w:w="2928"/>
            <w:shd w:val="clear" w:color="auto" w:fill="FFFFFF"/>
          </w:tcPr>
          <w:p>
            <w:r>
              <w:rPr>
                <w:color w:val="2D3748"/>
                <w:sz w:val="19"/>
              </w:rPr>
              <w:t>155 tests. 10 reproducible demo scenarios. Human-in-the-loop by design.</w:t>
            </w:r>
          </w:p>
        </w:tc>
      </w:tr>
    </w:tbl>
    <w:p/>
    <w:p>
      <w:r>
        <w:br w:type="page"/>
      </w:r>
    </w:p>
    <w:p>
      <w:pPr>
        <w:spacing w:before="360" w:after="120"/>
      </w:pPr>
      <w:r>
        <w:rPr>
          <w:b/>
          <w:color w:val="0F2140"/>
          <w:sz w:val="36"/>
        </w:rPr>
        <w:t>Branding Quick-Reference</w:t>
      </w:r>
    </w:p>
    <w:p>
      <w:pPr>
        <w:pBdr>
          <w:bottom w:val="single" w:sz="6" w:space="1" w:color="00C2A8"/>
        </w:pBdr>
        <w:spacing w:before="80" w:after="80"/>
      </w:pPr>
    </w:p>
    <w:p>
      <w:pPr>
        <w:spacing w:before="280" w:after="80"/>
      </w:pPr>
      <w:r>
        <w:rPr>
          <w:b/>
          <w:color w:val="00C2A8"/>
          <w:sz w:val="26"/>
        </w:rPr>
        <w:t>Brand Personality</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0F2140"/>
          </w:tcPr>
          <w:p>
            <w:r>
              <w:rPr>
                <w:b/>
                <w:color w:val="FFFFFF"/>
                <w:sz w:val="19"/>
              </w:rPr>
              <w:t>Pillar</w:t>
            </w:r>
          </w:p>
        </w:tc>
        <w:tc>
          <w:tcPr>
            <w:tcW w:type="dxa" w:w="4392"/>
            <w:shd w:val="clear" w:color="auto" w:fill="0F2140"/>
          </w:tcPr>
          <w:p>
            <w:r>
              <w:rPr>
                <w:b/>
                <w:color w:val="FFFFFF"/>
                <w:sz w:val="19"/>
              </w:rPr>
              <w:t>What it means in practice</w:t>
            </w:r>
          </w:p>
        </w:tc>
      </w:tr>
      <w:tr>
        <w:tc>
          <w:tcPr>
            <w:tcW w:type="dxa" w:w="4392"/>
            <w:shd w:val="clear" w:color="auto" w:fill="F0F4F8"/>
          </w:tcPr>
          <w:p>
            <w:r>
              <w:rPr>
                <w:b/>
                <w:color w:val="0F2140"/>
                <w:sz w:val="19"/>
              </w:rPr>
              <w:t>Precise</w:t>
            </w:r>
          </w:p>
        </w:tc>
        <w:tc>
          <w:tcPr>
            <w:tcW w:type="dxa" w:w="4392"/>
            <w:shd w:val="clear" w:color="auto" w:fill="F0F4F8"/>
          </w:tcPr>
          <w:p>
            <w:r>
              <w:rPr>
                <w:color w:val="2D3748"/>
                <w:sz w:val="19"/>
              </w:rPr>
              <w:t>Every recommendation traces to a score, rule, or threshold — never a vague “might be risky”</w:t>
            </w:r>
          </w:p>
        </w:tc>
      </w:tr>
      <w:tr>
        <w:tc>
          <w:tcPr>
            <w:tcW w:type="dxa" w:w="4392"/>
            <w:shd w:val="clear" w:color="auto" w:fill="FFFFFF"/>
          </w:tcPr>
          <w:p>
            <w:r>
              <w:rPr>
                <w:b/>
                <w:color w:val="0F2140"/>
                <w:sz w:val="19"/>
              </w:rPr>
              <w:t>Analyst-first</w:t>
            </w:r>
          </w:p>
        </w:tc>
        <w:tc>
          <w:tcPr>
            <w:tcW w:type="dxa" w:w="4392"/>
            <w:shd w:val="clear" w:color="auto" w:fill="FFFFFF"/>
          </w:tcPr>
          <w:p>
            <w:r>
              <w:rPr>
                <w:color w:val="2D3748"/>
                <w:sz w:val="19"/>
              </w:rPr>
              <w:t>Designed for Priya, not a procurement committee — the UX reflects that at every step</w:t>
            </w:r>
          </w:p>
        </w:tc>
      </w:tr>
      <w:tr>
        <w:tc>
          <w:tcPr>
            <w:tcW w:type="dxa" w:w="4392"/>
            <w:shd w:val="clear" w:color="auto" w:fill="F0F4F8"/>
          </w:tcPr>
          <w:p>
            <w:r>
              <w:rPr>
                <w:b/>
                <w:color w:val="0F2140"/>
                <w:sz w:val="19"/>
              </w:rPr>
              <w:t>Transparent</w:t>
            </w:r>
          </w:p>
        </w:tc>
        <w:tc>
          <w:tcPr>
            <w:tcW w:type="dxa" w:w="4392"/>
            <w:shd w:val="clear" w:color="auto" w:fill="F0F4F8"/>
          </w:tcPr>
          <w:p>
            <w:r>
              <w:rPr>
                <w:color w:val="2D3748"/>
                <w:sz w:val="19"/>
              </w:rPr>
              <w:t>The AI drafts; the analyst decides; the audit trail is immutable — no black boxes, no hidden logic</w:t>
            </w:r>
          </w:p>
        </w:tc>
      </w:tr>
      <w:tr>
        <w:tc>
          <w:tcPr>
            <w:tcW w:type="dxa" w:w="4392"/>
            <w:shd w:val="clear" w:color="auto" w:fill="FFFFFF"/>
          </w:tcPr>
          <w:p>
            <w:r>
              <w:rPr>
                <w:b/>
                <w:color w:val="0F2140"/>
                <w:sz w:val="19"/>
              </w:rPr>
              <w:t>India-native</w:t>
            </w:r>
          </w:p>
        </w:tc>
        <w:tc>
          <w:tcPr>
            <w:tcW w:type="dxa" w:w="4392"/>
            <w:shd w:val="clear" w:color="auto" w:fill="FFFFFF"/>
          </w:tcPr>
          <w:p>
            <w:r>
              <w:rPr>
                <w:color w:val="2D3748"/>
                <w:sz w:val="19"/>
              </w:rPr>
              <w:t>IEC numbers, GST/PAN, FEMA workflows, RBI/DGFT/FIU-IND context built in — not a Western tool retrofitted</w:t>
            </w:r>
          </w:p>
        </w:tc>
      </w:tr>
    </w:tbl>
    <w:p/>
    <w:p>
      <w:pPr>
        <w:spacing w:before="280" w:after="80"/>
      </w:pPr>
      <w:r>
        <w:rPr>
          <w:b/>
          <w:color w:val="00C2A8"/>
          <w:sz w:val="26"/>
        </w:rPr>
        <w:t>Visual Identity</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F0F4F8"/>
          </w:tcPr>
          <w:p>
            <w:r>
              <w:rPr>
                <w:b/>
                <w:color w:val="0F2140"/>
                <w:sz w:val="20"/>
              </w:rPr>
              <w:t>Primary colour</w:t>
            </w:r>
          </w:p>
        </w:tc>
        <w:tc>
          <w:tcPr>
            <w:tcW w:type="dxa" w:w="4392"/>
            <w:shd w:val="clear" w:color="auto" w:fill="F0F4F8"/>
          </w:tcPr>
          <w:p>
            <w:r>
              <w:rPr>
                <w:color w:val="2D3748"/>
                <w:sz w:val="20"/>
              </w:rPr>
              <w:t>Deep navy #0F2140 — financial trust, institutional weight</w:t>
            </w:r>
          </w:p>
        </w:tc>
      </w:tr>
      <w:tr>
        <w:tc>
          <w:tcPr>
            <w:tcW w:type="dxa" w:w="4392"/>
            <w:shd w:val="clear" w:color="auto" w:fill="FFFFFF"/>
          </w:tcPr>
          <w:p>
            <w:r>
              <w:rPr>
                <w:b/>
                <w:color w:val="0F2140"/>
                <w:sz w:val="20"/>
              </w:rPr>
              <w:t>Accent colour</w:t>
            </w:r>
          </w:p>
        </w:tc>
        <w:tc>
          <w:tcPr>
            <w:tcW w:type="dxa" w:w="4392"/>
            <w:shd w:val="clear" w:color="auto" w:fill="FFFFFF"/>
          </w:tcPr>
          <w:p>
            <w:r>
              <w:rPr>
                <w:color w:val="2D3748"/>
                <w:sz w:val="20"/>
              </w:rPr>
              <w:t>Electric teal #00C2A8 — AI layer, speed, decisiveness</w:t>
            </w:r>
          </w:p>
        </w:tc>
      </w:tr>
      <w:tr>
        <w:tc>
          <w:tcPr>
            <w:tcW w:type="dxa" w:w="4392"/>
            <w:shd w:val="clear" w:color="auto" w:fill="F0F4F8"/>
          </w:tcPr>
          <w:p>
            <w:r>
              <w:rPr>
                <w:b/>
                <w:color w:val="0F2140"/>
                <w:sz w:val="20"/>
              </w:rPr>
              <w:t>APPROVE status</w:t>
            </w:r>
          </w:p>
        </w:tc>
        <w:tc>
          <w:tcPr>
            <w:tcW w:type="dxa" w:w="4392"/>
            <w:shd w:val="clear" w:color="auto" w:fill="F0F4F8"/>
          </w:tcPr>
          <w:p>
            <w:r>
              <w:rPr>
                <w:color w:val="2D3748"/>
                <w:sz w:val="20"/>
              </w:rPr>
              <w:t>Green #10B981 — preserved from product; compliance buyers recognise it instantly</w:t>
            </w:r>
          </w:p>
        </w:tc>
      </w:tr>
      <w:tr>
        <w:tc>
          <w:tcPr>
            <w:tcW w:type="dxa" w:w="4392"/>
            <w:shd w:val="clear" w:color="auto" w:fill="FFFFFF"/>
          </w:tcPr>
          <w:p>
            <w:r>
              <w:rPr>
                <w:b/>
                <w:color w:val="0F2140"/>
                <w:sz w:val="20"/>
              </w:rPr>
              <w:t>MANUAL REVIEW status</w:t>
            </w:r>
          </w:p>
        </w:tc>
        <w:tc>
          <w:tcPr>
            <w:tcW w:type="dxa" w:w="4392"/>
            <w:shd w:val="clear" w:color="auto" w:fill="FFFFFF"/>
          </w:tcPr>
          <w:p>
            <w:r>
              <w:rPr>
                <w:color w:val="2D3748"/>
                <w:sz w:val="20"/>
              </w:rPr>
              <w:t>Amber #F59E0B — preserved from product</w:t>
            </w:r>
          </w:p>
        </w:tc>
      </w:tr>
      <w:tr>
        <w:tc>
          <w:tcPr>
            <w:tcW w:type="dxa" w:w="4392"/>
            <w:shd w:val="clear" w:color="auto" w:fill="F0F4F8"/>
          </w:tcPr>
          <w:p>
            <w:r>
              <w:rPr>
                <w:b/>
                <w:color w:val="0F2140"/>
                <w:sz w:val="20"/>
              </w:rPr>
              <w:t>ESCALATE status</w:t>
            </w:r>
          </w:p>
        </w:tc>
        <w:tc>
          <w:tcPr>
            <w:tcW w:type="dxa" w:w="4392"/>
            <w:shd w:val="clear" w:color="auto" w:fill="F0F4F8"/>
          </w:tcPr>
          <w:p>
            <w:r>
              <w:rPr>
                <w:color w:val="2D3748"/>
                <w:sz w:val="20"/>
              </w:rPr>
              <w:t>Red #EF4444 — preserved from product</w:t>
            </w:r>
          </w:p>
        </w:tc>
      </w:tr>
      <w:tr>
        <w:tc>
          <w:tcPr>
            <w:tcW w:type="dxa" w:w="4392"/>
            <w:shd w:val="clear" w:color="auto" w:fill="FFFFFF"/>
          </w:tcPr>
          <w:p>
            <w:r>
              <w:rPr>
                <w:b/>
                <w:color w:val="0F2140"/>
                <w:sz w:val="20"/>
              </w:rPr>
              <w:t>Typography</w:t>
            </w:r>
          </w:p>
        </w:tc>
        <w:tc>
          <w:tcPr>
            <w:tcW w:type="dxa" w:w="4392"/>
            <w:shd w:val="clear" w:color="auto" w:fill="FFFFFF"/>
          </w:tcPr>
          <w:p>
            <w:r>
              <w:rPr>
                <w:color w:val="2D3748"/>
                <w:sz w:val="20"/>
              </w:rPr>
              <w:t>IBM Plex Sans throughout — precision, fintech infrastructure signal. Serif reserved for the “TradePe” logotype only.</w:t>
            </w:r>
          </w:p>
        </w:tc>
      </w:tr>
      <w:tr>
        <w:tc>
          <w:tcPr>
            <w:tcW w:type="dxa" w:w="4392"/>
            <w:shd w:val="clear" w:color="auto" w:fill="F0F4F8"/>
          </w:tcPr>
          <w:p>
            <w:r>
              <w:rPr>
                <w:b/>
                <w:color w:val="0F2140"/>
                <w:sz w:val="20"/>
              </w:rPr>
              <w:t>Hero visual</w:t>
            </w:r>
          </w:p>
        </w:tc>
        <w:tc>
          <w:tcPr>
            <w:tcW w:type="dxa" w:w="4392"/>
            <w:shd w:val="clear" w:color="auto" w:fill="F0F4F8"/>
          </w:tcPr>
          <w:p>
            <w:r>
              <w:rPr>
                <w:color w:val="2D3748"/>
                <w:sz w:val="20"/>
              </w:rPr>
              <w:t>The evidence match card — normalized name pair with shared tokens highlighted. Show the product, not abstract AI imagery. No neural networks, no robots, no purple gradients.</w:t>
            </w:r>
          </w:p>
        </w:tc>
      </w:tr>
    </w:tbl>
    <w:p/>
    <w:p>
      <w:pPr>
        <w:spacing w:before="280" w:after="80"/>
      </w:pPr>
      <w:r>
        <w:rPr>
          <w:b/>
          <w:color w:val="00C2A8"/>
          <w:sz w:val="26"/>
        </w:rPr>
        <w:t>What the Brand Is NOT</w:t>
      </w:r>
    </w:p>
    <w:p>
      <w:pPr>
        <w:pStyle w:val="ListBullet"/>
        <w:spacing w:before="20" w:after="60"/>
      </w:pPr>
      <w:r>
        <w:rPr>
          <w:b/>
          <w:color w:val="0F2140"/>
          <w:sz w:val="21"/>
        </w:rPr>
        <w:t>Not a “black-box AI”:</w:t>
      </w:r>
      <w:r>
        <w:rPr>
          <w:color w:val="2D3748"/>
          <w:sz w:val="21"/>
        </w:rPr>
        <w:t>The product’s entire differentiation is explainability — the brand must never sound opaque or automated.</w:t>
      </w:r>
    </w:p>
    <w:p>
      <w:pPr>
        <w:pStyle w:val="ListBullet"/>
        <w:spacing w:before="20" w:after="60"/>
      </w:pPr>
      <w:r>
        <w:rPr>
          <w:b/>
          <w:color w:val="0F2140"/>
          <w:sz w:val="21"/>
        </w:rPr>
        <w:t>Not fear-based:</w:t>
      </w:r>
      <w:r>
        <w:rPr>
          <w:color w:val="2D3748"/>
          <w:sz w:val="21"/>
        </w:rPr>
        <w:t>Sell on operational excellence and audit confidence, not “what if you miss a sanction hit?” anxiety.</w:t>
      </w:r>
    </w:p>
    <w:p>
      <w:pPr>
        <w:pStyle w:val="ListBullet"/>
        <w:spacing w:before="20" w:after="60"/>
      </w:pPr>
      <w:r>
        <w:rPr>
          <w:b/>
          <w:color w:val="0F2140"/>
          <w:sz w:val="21"/>
        </w:rPr>
        <w:t>Not enterprise-bloated:</w:t>
      </w:r>
      <w:r>
        <w:rPr>
          <w:color w:val="2D3748"/>
          <w:sz w:val="21"/>
        </w:rPr>
        <w:t>The brand should feel like it could be set up in a day — because it can be.</w:t>
      </w:r>
    </w:p>
    <w:p>
      <w:pPr>
        <w:pBdr>
          <w:bottom w:val="single" w:sz="6" w:space="1" w:color="00C2A8"/>
        </w:pBdr>
        <w:spacing w:before="80" w:after="80"/>
      </w:pPr>
    </w:p>
    <w:p>
      <w:pPr>
        <w:jc w:val="center"/>
      </w:pPr>
      <w:r>
        <w:rPr>
          <w:color w:val="9AA5B4"/>
          <w:sz w:val="17"/>
        </w:rPr>
        <w:t>Document grounded in TradePe_Team_Documentation — all product claims verified against the as-built codebase, Cases 1–10 demo dataset, and 155 automated tests.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