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2140"/>
          </w:tcPr>
          <w:p/>
          <w:p>
            <w:pPr>
              <w:spacing w:before="80" w:after="80"/>
              <w:jc w:val="center"/>
            </w:pPr>
            <w:r>
              <w:rPr>
                <w:b/>
                <w:color w:val="00C2A8"/>
                <w:sz w:val="52"/>
              </w:rPr>
              <w:t>TradePe / ScreenDesk</w:t>
            </w:r>
          </w:p>
          <w:p>
            <w:pPr>
              <w:spacing w:before="80" w:after="80"/>
              <w:jc w:val="center"/>
            </w:pPr>
            <w:r>
              <w:rPr>
                <w:b w:val="0"/>
                <w:color w:val="FFFFFF"/>
                <w:sz w:val="36"/>
              </w:rPr>
              <w:t>Pricing &amp; Packaging  ·  Metrics &amp; Frameworks</w:t>
            </w:r>
          </w:p>
          <w:p>
            <w:pPr>
              <w:spacing w:before="80" w:after="80"/>
              <w:jc w:val="center"/>
            </w:pPr>
            <w:r>
              <w:rPr>
                <w:b w:val="0"/>
                <w:color w:val="FFFFFF"/>
                <w:sz w:val="16"/>
              </w:rPr>
            </w:r>
          </w:p>
          <w:p>
            <w:pPr>
              <w:spacing w:before="80" w:after="80"/>
              <w:jc w:val="center"/>
            </w:pPr>
            <w:r>
              <w:rPr>
                <w:b w:val="0"/>
                <w:color w:val="CCEEE8"/>
                <w:sz w:val="22"/>
              </w:rPr>
              <w:t>Go-to-Market Strategy — Section 2</w:t>
            </w:r>
          </w:p>
          <w:p>
            <w:pPr>
              <w:spacing w:before="80" w:after="80"/>
              <w:jc w:val="center"/>
            </w:pPr>
            <w:r>
              <w:rPr>
                <w:b w:val="0"/>
                <w:color w:val="FFFFFF"/>
                <w:sz w:val="16"/>
              </w:rPr>
            </w:r>
          </w:p>
          <w:p>
            <w:pPr>
              <w:spacing w:before="80" w:after="80"/>
              <w:jc w:val="center"/>
            </w:pPr>
            <w:r>
              <w:rPr>
                <w:b w:val="0"/>
                <w:color w:val="9AA5B4"/>
                <w:sz w:val="20"/>
              </w:rPr>
              <w:t>IIM Calcutta  ·  Group 2 Capstone  ·  July 2026</w:t>
            </w:r>
          </w:p>
        </w:tc>
      </w:tr>
    </w:tbl>
    <w:p/>
    <w:p>
      <w:pPr>
        <w:spacing w:before="40" w:after="120"/>
      </w:pPr>
      <w:r>
        <w:rPr>
          <w:color w:val="2D3748"/>
          <w:sz w:val="21"/>
        </w:rPr>
        <w:t>This document covers two integrated sections of the TradePe / ScreenDesk go-to-market strategy:</w:t>
      </w:r>
    </w:p>
    <w:p>
      <w:pPr>
        <w:pStyle w:val="ListBullet"/>
        <w:spacing w:before="20" w:after="60"/>
      </w:pPr>
      <w:r>
        <w:rPr>
          <w:b/>
          <w:color w:val="0F2140"/>
          <w:sz w:val="21"/>
        </w:rPr>
        <w:t>Section 1 — Pricing &amp; Packaging:</w:t>
      </w:r>
      <w:r>
        <w:rPr>
          <w:color w:val="2D3748"/>
          <w:sz w:val="21"/>
        </w:rPr>
        <w:t xml:space="preserve"> Pricing philosophy, three-tier model, the land-and-expand motion, add-ons, pilot structure, and competitive context.</w:t>
      </w:r>
    </w:p>
    <w:p>
      <w:pPr>
        <w:pStyle w:val="ListBullet"/>
        <w:spacing w:before="20" w:after="60"/>
      </w:pPr>
      <w:r>
        <w:rPr>
          <w:b/>
          <w:color w:val="0F2140"/>
          <w:sz w:val="21"/>
        </w:rPr>
        <w:t>Section 2 — Metrics &amp; Frameworks:</w:t>
      </w:r>
      <w:r>
        <w:rPr>
          <w:color w:val="2D3748"/>
          <w:sz w:val="21"/>
        </w:rPr>
        <w:t xml:space="preserve"> North Star, 90-day launch metrics, product health metrics, business metrics, customer health score, and MLRO-level QBR framework.</w:t>
      </w:r>
    </w:p>
    <w:p>
      <w:pPr>
        <w:spacing w:before="40" w:after="120"/>
      </w:pPr>
      <w:r>
        <w:rPr>
          <w:color w:val="2D3748"/>
          <w:sz w:val="21"/>
        </w:rPr>
        <w:t>All pricing and metrics are grounded in the as-built product architecture: 4 specialist agents, 2-level deterministic orchestration, 10-scenario synthetic demo dataset, 155 automated tests.</w:t>
      </w:r>
    </w:p>
    <w:p>
      <w:r>
        <w:br w:type="page"/>
      </w:r>
    </w:p>
    <w:p>
      <w:pPr>
        <w:spacing w:before="360" w:after="120"/>
      </w:pPr>
      <w:r>
        <w:rPr>
          <w:b/>
          <w:color w:val="0F2140"/>
          <w:sz w:val="36"/>
        </w:rPr>
        <w:t>Section 1 — Pricing &amp; Packaging</w:t>
      </w:r>
    </w:p>
    <w:p>
      <w:pPr>
        <w:pBdr>
          <w:bottom w:val="single" w:sz="6" w:space="1" w:color="00C2A8"/>
        </w:pBdr>
        <w:spacing w:before="80" w:after="80"/>
      </w:pPr>
    </w:p>
    <w:p>
      <w:pPr>
        <w:spacing w:before="280" w:after="80"/>
      </w:pPr>
      <w:r>
        <w:rPr>
          <w:b/>
          <w:color w:val="00C2A8"/>
          <w:sz w:val="26"/>
        </w:rPr>
        <w:t>1.1  Pricing Philosophy</w:t>
      </w:r>
    </w:p>
    <w:p>
      <w:pPr>
        <w:spacing w:before="40" w:after="120"/>
      </w:pPr>
      <w:r>
        <w:rPr>
          <w:color w:val="2D3748"/>
          <w:sz w:val="21"/>
        </w:rPr>
        <w:t>Five principles drive every pricing decision: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Principle</w:t>
            </w:r>
          </w:p>
        </w:tc>
        <w:tc>
          <w:tcPr>
            <w:tcW w:type="dxa" w:w="4392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What it means in practice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Per-seat, not per-case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color w:val="2D3748"/>
                <w:sz w:val="19"/>
              </w:rPr>
              <w:t>Compliance teams think in headcount, not transaction volume. A per-analyst price is legible, predictable, and ties the cost directly to the value unit — analyst capacity.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Land with Sanctions, expand to the Copilot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2D3748"/>
                <w:sz w:val="19"/>
              </w:rPr>
              <w:t>ScreenDesk (Sanctions screening) is the entry product. The full TradePe Compliance Copilot — all four agents plus Regulatory Intelligence — is the expansion. Every customer begins with the same audit backbone; modules layer on top.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Deployable-in-a-day pricing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color w:val="2D3748"/>
                <w:sz w:val="19"/>
              </w:rPr>
              <w:t>No implementation fees, no integration project, no minimum contract length at the beachhead tier. The price must match the deployment friction: close to zero.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Design-partner pilots as the conversion engine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2D3748"/>
                <w:sz w:val="19"/>
              </w:rPr>
              <w:t>Free 60-90 day pilots against agreed success metrics replace a traditional free trial. The pilot is scoped, baselined, and outcome-linked — making conversion a natural consequence of measurable success.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Leave room to grow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color w:val="2D3748"/>
                <w:sz w:val="19"/>
              </w:rPr>
              <w:t>Beachhead price is set to make the decision easy. Expansion revenue — additional modules, additional analysts, API volume packs, and eventually enterprise contracts — is where the economics compound.</w:t>
            </w:r>
          </w:p>
        </w:tc>
      </w:tr>
    </w:tbl>
    <w:p/>
    <w:p>
      <w:pPr>
        <w:spacing w:before="280" w:after="80"/>
      </w:pPr>
      <w:r>
        <w:rPr>
          <w:b/>
          <w:color w:val="00C2A8"/>
          <w:sz w:val="26"/>
        </w:rPr>
        <w:t>1.2  Three-Tier Model</w:t>
      </w:r>
    </w:p>
    <w:p>
      <w:pPr>
        <w:spacing w:before="40" w:after="120"/>
      </w:pPr>
      <w:r>
        <w:rPr>
          <w:color w:val="2D3748"/>
          <w:sz w:val="21"/>
        </w:rPr>
        <w:t>Three tiers cover the full customer journey — from a two-analyst fintech compliance team through to a mid-tier bank compliance division.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2140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STARTER — ScreenDesk Core</w:t>
              <w:br/>
            </w:r>
            <w:r>
              <w:rPr>
                <w:b/>
                <w:color w:val="00C2A8"/>
                <w:sz w:val="40"/>
              </w:rPr>
              <w:t>₹12,000 / analyst / month</w:t>
              <w:br/>
            </w:r>
            <w:r>
              <w:rPr>
                <w:color w:val="CCEEE8"/>
                <w:sz w:val="18"/>
              </w:rPr>
              <w:t>For 1–2 analyst teams  ·  No minimum contract  ·  Deployable in a day</w:t>
            </w:r>
          </w:p>
        </w:tc>
      </w:tr>
      <w:tr>
        <w:tc>
          <w:tcPr>
            <w:tcW w:type="dxa" w:w="8784"/>
            <w:shd w:val="clear" w:color="auto" w:fill="F7F8FA"/>
          </w:tcPr>
          <w:p/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Sanctions &amp; Watchlist Screening (Agent 1) — OFAC, UN, EU, PEP watchlists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Transliteration-aware fuzzy matching with India name-variant folding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Evidence-first match cards: normalized name pair, shared tokens highlighted, component scores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AI-assisted disposition rationale drafting (Claude API with offline fallback)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Mandatory rationale enforcement — disposition cannot be saved without a written rationale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Append-only audit trail: every screening, draft, and decision timestamped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Screening stats dashboard: total screened, by level, by disposition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Audit export (CSV) for RBI / FIU-IND inspection readiness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Email support, 48-hour SLA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Self-serve onboarding — no implementation project required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03D78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PROFESSIONAL — TradePe Compliance Copilot</w:t>
              <w:br/>
            </w:r>
            <w:r>
              <w:rPr>
                <w:b/>
                <w:color w:val="00C2A8"/>
                <w:sz w:val="40"/>
              </w:rPr>
              <w:t>₹14,000 / analyst / month</w:t>
              <w:br/>
            </w:r>
            <w:r>
              <w:rPr>
                <w:color w:val="CCEEE8"/>
                <w:sz w:val="18"/>
              </w:rPr>
              <w:t>For 3–10 analyst teams  ·  Full 4-agent orchestration  ·  MLRO dashboard included</w:t>
            </w:r>
          </w:p>
        </w:tc>
      </w:tr>
      <w:tr>
        <w:tc>
          <w:tcPr>
            <w:tcW w:type="dxa" w:w="8784"/>
            <w:shd w:val="clear" w:color="auto" w:fill="F7F8FA"/>
          </w:tcPr>
          <w:p/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Everything in Starter, plus: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Customer Risk / KYC Agent (Agent 2) — completeness, UBO, KYC status, high-risk country, adverse media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Trade Document Agent (Agent 3) — invoice/PO/BoL validation, duplicate detection, amount variance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Transaction Monitoring Agent (Agent 4) — amount anomaly, unusual corridor flagging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Level A Weighted Scoring — deterministic 2/3/4-agent weighted risk score (0–100)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Level B Compliance Hard-Stops — sanctions fail, customer risk fail, missing invoice, execution failure rules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Required-Agent Safety Floor — 4-agent dilution prevention (Sanctions + Customer Risk baseline always protected)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APPROVE / MANUAL_REVIEW / ESCALATE recommendation with recommendation_source (WEIGHTED_SCORE vs. HARD_STOP_OVERRIDE)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MLRO portfolio dashboard: total cases, auto-cleared, needs review, escalated, risk distribution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Regulatory Intelligence feed — country-filtered synthetic updates (RBI, DGFT, FATF, MAS)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Override tracking with mandatory rationale on every officer disagreement with system recommendation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Two-layer case result: plain-language business summary + full technical/audit detail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Dedicated Customer Success Manager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Priority support, 8-hour SLA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Quarterly business review with product team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0524F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ENTERPRISE — TradePe Platform</w:t>
              <w:br/>
            </w:r>
            <w:r>
              <w:rPr>
                <w:b/>
                <w:color w:val="00C2A8"/>
                <w:sz w:val="40"/>
              </w:rPr>
              <w:t>Custom — typically ₹25–80L / year</w:t>
              <w:br/>
            </w:r>
            <w:r>
              <w:rPr>
                <w:color w:val="CCEEE8"/>
                <w:sz w:val="18"/>
              </w:rPr>
              <w:t>For mid-tier banks and large NBFCs  ·  API-first  ·  India-region cloud or on-premise</w:t>
            </w:r>
          </w:p>
        </w:tc>
      </w:tr>
      <w:tr>
        <w:tc>
          <w:tcPr>
            <w:tcW w:type="dxa" w:w="8784"/>
            <w:shd w:val="clear" w:color="auto" w:fill="F7F8FA"/>
          </w:tcPr>
          <w:p/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Everything in Professional, plus: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Unlimited analysts and case volume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API-first integration: REST API for CBS (Finacle, T24, Oracle FLEXCUBE) and payment processor ingestion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Custom agent scoring weights and hard-stop rule configuration (with compliance policy review)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Custom watchlist ingestion — internal blacklists, correspondent bank lists, proprietary feeds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On-premise or India-region cloud deployment (AWS Mumbai / Azure Central India) for RBI data localization compliance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White-label option: "Powered by TradePe" or fully unbranded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SLA guarantees: 99.9% uptime, &lt; 4-second p99 recommendation latency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FEMA outward remittance reporting workflow assistance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Dedicated compliance advisor (ex-RBI / ex-SEBI domain expertise)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Executive-level account management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4-hour priority support SLA with named support engineer</w:t>
            </w:r>
          </w:p>
          <w:p>
            <w:pPr>
              <w:spacing w:before="40" w:after="60"/>
              <w:ind w:left="216"/>
            </w:pPr>
            <w:r>
              <w:rPr>
                <w:color w:val="2D3748"/>
                <w:sz w:val="20"/>
              </w:rPr>
              <w:t>✓  Annual compliance methodology review</w:t>
            </w:r>
          </w:p>
        </w:tc>
      </w:tr>
    </w:tbl>
    <w:p/>
    <w:p>
      <w:pPr>
        <w:spacing w:before="280" w:after="80"/>
      </w:pPr>
      <w:r>
        <w:rPr>
          <w:b/>
          <w:color w:val="00C2A8"/>
          <w:sz w:val="26"/>
        </w:rPr>
        <w:t>1.3  Tier Comparison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Starter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Professional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Enterprise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Agent 1 — Sanctions &amp; Watchlist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Yes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Yes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Yes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Agent 2 — Customer Risk / KYC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Yes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Yes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Agent 3 — Trade Document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Yes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Yes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Agent 4 — Transaction Monitoring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Yes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Yes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Level A Weighted Scoring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Yes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Yes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Level B Hard-Stop Rules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Yes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Yes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Required-Agent Safety Floor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Yes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Yes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Regulatory Intelligence Feed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Yes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Yes (custom sources)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MLRO Portfolio Dashboard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Yes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Yes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API Integration (CBS / payment processor)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Yes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Custom Scoring Weights &amp; Rules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Yes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Custom Watchlist Ingestion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Yes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On-premise / India-region cloud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Yes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White-label option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Yes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Audit export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CSV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CSV + API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Custom formats + API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Support SLA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48 hours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8 hours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4 hours (named engineer)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Analyst seats included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1–2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3–10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Unlimited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Price per analyst / month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₹12,000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₹14,000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Custom</w:t>
            </w:r>
          </w:p>
        </w:tc>
      </w:tr>
    </w:tbl>
    <w:p/>
    <w:p>
      <w:pPr>
        <w:spacing w:before="280" w:after="80"/>
      </w:pPr>
      <w:r>
        <w:rPr>
          <w:b/>
          <w:color w:val="00C2A8"/>
          <w:sz w:val="26"/>
        </w:rPr>
        <w:t>1.4  The Land-and-Expand Motion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2140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23"/>
              </w:rPr>
              <w:t>Land with Sanctions (ScreenDesk).  Expand to the full TradePe Compliance Copilot.</w:t>
            </w:r>
          </w:p>
        </w:tc>
      </w:tr>
    </w:tbl>
    <w:p/>
    <w:p>
      <w:pPr>
        <w:spacing w:before="40" w:after="120"/>
      </w:pPr>
      <w:r>
        <w:rPr>
          <w:color w:val="2D3748"/>
          <w:sz w:val="21"/>
        </w:rPr>
        <w:t>The expansion path follows the product architecture — every agent and every module sits on the same audit backbone. Adding the Customer Risk, Trade Document, or Transaction Monitoring agent is a pricing change, not a re-implementation.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Motion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Revenue event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Land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Compliance team needs an audit trail for sanctions screening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Starter: 1–2 analyst seats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₹12K–24K/month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Expand — agents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MLRO asks about KYC completeness tracking or trade document validation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Upgrade to Professional; all 4 agents activate on the same case backbone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₹14K × analyst count/month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Expand — seats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Team grows from 2 to 5 analysts as case volume grows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Add analyst seats at the same per-seat rate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Linear revenue growth with headcount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Expand — API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Customer wants to feed screening results into CBS or payment processor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Enterprise API pack or full Enterprise contract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Custom deal, typically ₹25L+/year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Upmarket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Mid-tier bank qualifies after seeing fintech case studies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Enterprise contract with CBS integration, on-premise deployment, custom rules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₹50–80L/year</w:t>
            </w:r>
          </w:p>
        </w:tc>
      </w:tr>
    </w:tbl>
    <w:p/>
    <w:p>
      <w:pPr>
        <w:spacing w:before="40" w:after="120"/>
      </w:pPr>
      <w:r>
        <w:rPr>
          <w:color w:val="2D3748"/>
          <w:sz w:val="21"/>
        </w:rPr>
        <w:t>Net Revenue Retention target: &gt; 120%. Every expansion event — seats, agents, or tier — is captured without a re-sale.</w:t>
      </w:r>
    </w:p>
    <w:p>
      <w:pPr>
        <w:spacing w:before="280" w:after="80"/>
      </w:pPr>
      <w:r>
        <w:rPr>
          <w:b/>
          <w:color w:val="00C2A8"/>
          <w:sz w:val="26"/>
        </w:rPr>
        <w:t>1.5  Design-Partner Pilot Structure</w:t>
      </w:r>
    </w:p>
    <w:p>
      <w:pPr>
        <w:spacing w:before="40" w:after="120"/>
      </w:pPr>
      <w:r>
        <w:rPr>
          <w:color w:val="2D3748"/>
          <w:sz w:val="21"/>
        </w:rPr>
        <w:t>The design-partner pilot replaces a traditional free trial. It is scoped, baselined, and outcome-linked — making conversion a natural consequence of demonstrated value rather than a sales negotiation.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4392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Duration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color w:val="2D3748"/>
                <w:sz w:val="19"/>
              </w:rPr>
              <w:t>60–90 days. Long enough to capture 2–3 audit events and see the rationale coverage rate stabilize.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Cost to the customer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2D3748"/>
                <w:sz w:val="19"/>
              </w:rPr>
              <w:t>Free. No contract. No credit card. Exit at any time.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Pre-pilot baseline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color w:val="2D3748"/>
                <w:sz w:val="19"/>
              </w:rPr>
              <w:t>Before go-live, jointly measure: (1) mean time-to-disposition per alert in minutes; (2) rationale coverage rate — % of cleared hits with a documented rationale on file. These become the conversion proof points.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Success metrics agreed upfront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2D3748"/>
                <w:sz w:val="19"/>
              </w:rPr>
              <w:t>Time-to-disposition down ≥ 40% vs. baseline. Rationale coverage rate at 100%. Queue clearance rate ≥ 90% within same business day.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Mid-pilot check-in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color w:val="2D3748"/>
                <w:sz w:val="19"/>
              </w:rPr>
              <w:t>Week 4: review metrics against baseline. Identify any configuration changes (threshold adjustments, watchlist additions).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Conversion meeting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2D3748"/>
                <w:sz w:val="19"/>
              </w:rPr>
              <w:t>Week 8: present metrics report. If targets are met, conversion to Starter or Professional is the natural next step. No pressure close — the numbers do it.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Target conversion rate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color w:val="2D3748"/>
                <w:sz w:val="19"/>
              </w:rPr>
              <w:t>2 of 3 design-partner pilots convert to paid within 30 days of pilot end.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Post-conversion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2D3748"/>
                <w:sz w:val="19"/>
              </w:rPr>
              <w:t>Design partners receive 3 months at the Starter price regardless of analyst count — recognition for co-development, and an incentive to refer the next pilot customer.</w:t>
            </w:r>
          </w:p>
        </w:tc>
      </w:tr>
    </w:tbl>
    <w:p/>
    <w:p>
      <w:pPr>
        <w:spacing w:before="280" w:after="80"/>
      </w:pPr>
      <w:r>
        <w:rPr>
          <w:b/>
          <w:color w:val="00C2A8"/>
          <w:sz w:val="26"/>
        </w:rPr>
        <w:t>1.6  Add-Ons &amp; Professional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Add-on</w:t>
            </w:r>
          </w:p>
        </w:tc>
        <w:tc>
          <w:tcPr>
            <w:tcW w:type="dxa" w:w="2928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type="dxa" w:w="2928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Additional jurisdiction watchlist pack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₹40,000 / month each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MAS (Singapore), CBUAE (UAE), FinCEN (US) additional watchlist coverage. Starter and Professional include OFAC, UN, EU, PEP. Additional jurisdictions are modular.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API volume pack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₹20,000 / 10,000 screenings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For customers with programmatic / batch screening needs above their seat-based allocation. Volume discounts at 50K and 100K screening tiers.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Analyst onboarding &amp; training workshop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₹75,000 / engagement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Half-day virtual session: product walkthrough, threshold configuration, evidence interpretation, audit trail best practices, and a FEMA compliance Q&amp;A. Recommended for every new customer at Professional tier and above.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Custom watchlist integration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₹1.5L one-time + ₹15,000 / month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Ingestion of customer-provided proprietary lists (internal blacklists, correspondent bank lists). Includes schema mapping, normalization, and ongoing maintenance.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Compliance methodology review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₹1L / engagement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A structured review of the customer’s scoring thresholds, hard-stop rules, and override policy with a domain advisor. Recommended annually for Enterprise customers.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Enhanced data feed pass-through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Cost + 20% margin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Refinitiv World-Check, Bureau van Dijk Orbis, or Dun &amp; Bradstreet data feeds passed through with a 20% margin. Customer-directed; TradePe handles the vendor relationship.</w:t>
            </w:r>
          </w:p>
        </w:tc>
      </w:tr>
    </w:tbl>
    <w:p/>
    <w:p>
      <w:pPr>
        <w:spacing w:before="280" w:after="80"/>
      </w:pPr>
      <w:r>
        <w:rPr>
          <w:b/>
          <w:color w:val="00C2A8"/>
          <w:sz w:val="26"/>
        </w:rPr>
        <w:t>1.7  Competitive Pricing Context</w:t>
      </w:r>
    </w:p>
    <w:p>
      <w:pPr>
        <w:spacing w:before="40" w:after="120"/>
      </w:pPr>
      <w:r>
        <w:rPr>
          <w:color w:val="2D3748"/>
          <w:sz w:val="21"/>
        </w:rPr>
        <w:t>ScreenDesk is deliberately positioned between manual tools (zero cost, maximum audit risk) and enterprise suites (₹30L+ contracts, months to deploy). The per-analyst price is a fraction of enterprise screening seats while delivering the audit-trail discipline enterprise tools promise.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Competitor / alternative</w:t>
            </w:r>
          </w:p>
        </w:tc>
        <w:tc>
          <w:tcPr>
            <w:tcW w:type="dxa" w:w="1757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Approximate cost</w:t>
            </w:r>
          </w:p>
        </w:tc>
        <w:tc>
          <w:tcPr>
            <w:tcW w:type="dxa" w:w="1757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Deployment</w:t>
            </w:r>
          </w:p>
        </w:tc>
        <w:tc>
          <w:tcPr>
            <w:tcW w:type="dxa" w:w="1757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India-native?</w:t>
            </w:r>
          </w:p>
        </w:tc>
        <w:tc>
          <w:tcPr>
            <w:tcW w:type="dxa" w:w="1757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ScreenDesk position</w:t>
            </w:r>
          </w:p>
        </w:tc>
      </w:tr>
      <w:tr>
        <w:tc>
          <w:tcPr>
            <w:tcW w:type="dxa" w:w="1757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Manual portal checks + Excel + email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~₹0 direct cost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Immediate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N/A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Zero audit trail, zero rationale documentation — the status quo ScreenDesk replaces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ComplyAdvantage (entry tier)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~₹8–15L / year (USD 10–18K)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Weeks–months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Western product, no FEMA/IEC/GST-PAN fields, no India transliteration tuning, minimum contract sizes above the beachhead ICP</w:t>
            </w:r>
          </w:p>
        </w:tc>
      </w:tr>
      <w:tr>
        <w:tc>
          <w:tcPr>
            <w:tcW w:type="dxa" w:w="1757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Refinitiv World-Check One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~₹15–40L / year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Months + integration project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Enterprise only — priced and scoped for large banks; unreachable for 1–5 analyst fintech teams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Oracle FCCM / Temenos AML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₹50L+ / year (custom)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Quarters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No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Full AML platform — overkill and unreachable for the beachhead segment</w:t>
            </w:r>
          </w:p>
        </w:tc>
      </w:tr>
      <w:tr>
        <w:tc>
          <w:tcPr>
            <w:tcW w:type="dxa" w:w="1757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ScreenDesk Starter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₹1.44L / year (1 analyst)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Day 1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Yes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The only audit-ready, evidence-first compliance workbench priced for a two-analyst fintech team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ScreenDesk Professional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₹3.36L / year (2 analysts)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Day 1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Yes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Full 4-agent Copilot at a price a 50-person fintech can approve without a procurement committee</w:t>
            </w:r>
          </w:p>
        </w:tc>
      </w:tr>
    </w:tbl>
    <w:p/>
    <w:p>
      <w:pPr>
        <w:spacing w:before="40" w:after="120"/>
      </w:pPr>
      <w:r>
        <w:rPr>
          <w:color w:val="2D3748"/>
          <w:sz w:val="21"/>
        </w:rPr>
        <w:t>Pricing anchor message for sales: "ScreenDesk Professional costs less per month than one day of an enterprise screening vendor’s implementation consulting fee."</w:t>
      </w:r>
    </w:p>
    <w:p>
      <w:r>
        <w:br w:type="page"/>
      </w:r>
    </w:p>
    <w:p>
      <w:pPr>
        <w:spacing w:before="360" w:after="120"/>
      </w:pPr>
      <w:r>
        <w:rPr>
          <w:b/>
          <w:color w:val="0F2140"/>
          <w:sz w:val="36"/>
        </w:rPr>
        <w:t>Section 2 — Metrics &amp; Frameworks</w:t>
      </w:r>
    </w:p>
    <w:p>
      <w:pPr>
        <w:pBdr>
          <w:bottom w:val="single" w:sz="6" w:space="1" w:color="00C2A8"/>
        </w:pBdr>
        <w:spacing w:before="80" w:after="80"/>
      </w:pPr>
    </w:p>
    <w:p>
      <w:pPr>
        <w:spacing w:before="40" w:after="120"/>
      </w:pPr>
      <w:r>
        <w:rPr>
          <w:color w:val="2D3748"/>
          <w:sz w:val="21"/>
        </w:rPr>
        <w:t>Metrics are organized in four layers: the North Star (one number that captures the core value proposition), 90-day launch metrics (the short-term proof of concept), product health metrics (what tells us the product is working), and business metrics (what tells us the company is growing). A fifth section covers the customer health score and MLRO-level QBR metrics — the data that flows to customers, not just internally.</w:t>
      </w:r>
    </w:p>
    <w:p>
      <w:pPr>
        <w:spacing w:before="280" w:after="80"/>
      </w:pPr>
      <w:r>
        <w:rPr>
          <w:b/>
          <w:color w:val="00C2A8"/>
          <w:sz w:val="26"/>
        </w:rPr>
        <w:t>2.1  North Star Metric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2140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23"/>
              </w:rPr>
              <w:t>Rationale Coverage Rate</w:t>
              <w:br/>
              <w:t>% of dispositioned screening hits carrying a documented, analyst-authored rationale on file</w:t>
              <w:br/>
              <w:t>Target: 100%  —  enforced structurally by the product</w:t>
            </w:r>
          </w:p>
        </w:tc>
      </w:tr>
    </w:tbl>
    <w:p/>
    <w:p>
      <w:pPr>
        <w:spacing w:before="40" w:after="120"/>
      </w:pPr>
      <w:r>
        <w:rPr>
          <w:color w:val="2D3748"/>
          <w:sz w:val="21"/>
        </w:rPr>
        <w:t>Why this is the North Star:</w:t>
      </w:r>
    </w:p>
    <w:p>
      <w:pPr>
        <w:pStyle w:val="ListBullet"/>
        <w:spacing w:before="20" w:after="60"/>
      </w:pPr>
      <w:r>
        <w:rPr>
          <w:b/>
          <w:color w:val="0F2140"/>
          <w:sz w:val="21"/>
        </w:rPr>
        <w:t>It maps to the core purchase reason:</w:t>
      </w:r>
      <w:r>
        <w:rPr>
          <w:color w:val="2D3748"/>
          <w:sz w:val="21"/>
        </w:rPr>
        <w:t xml:space="preserve"> The product cannot save a disposition without a rationale — this is server-enforced. A 100% rationale coverage rate is structurally guaranteed once the product is in use. The metric therefore measures adoption, not just usage.</w:t>
      </w:r>
    </w:p>
    <w:p>
      <w:pPr>
        <w:pStyle w:val="ListBullet"/>
        <w:spacing w:before="20" w:after="60"/>
      </w:pPr>
      <w:r>
        <w:rPr>
          <w:b/>
          <w:color w:val="0F2140"/>
          <w:sz w:val="21"/>
        </w:rPr>
        <w:t>It is the audit-defensibility metric:</w:t>
      </w:r>
      <w:r>
        <w:rPr>
          <w:color w:val="2D3748"/>
          <w:sz w:val="21"/>
        </w:rPr>
        <w:t xml:space="preserve"> The MLRO buys ScreenDesk because FIU-IND asked "on what basis was this cleared?" and the answer was in an old email thread. Rationale coverage rate is the direct answer to that question — it is the audit defensibility of the entire compliance operation in a single number.</w:t>
      </w:r>
    </w:p>
    <w:p>
      <w:pPr>
        <w:pStyle w:val="ListBullet"/>
        <w:spacing w:before="20" w:after="60"/>
      </w:pPr>
      <w:r>
        <w:rPr>
          <w:b/>
          <w:color w:val="0F2140"/>
          <w:sz w:val="21"/>
        </w:rPr>
        <w:t>It drives retention:</w:t>
      </w:r>
      <w:r>
        <w:rPr>
          <w:color w:val="2D3748"/>
          <w:sz w:val="21"/>
        </w:rPr>
        <w:t xml:space="preserve"> A customer with 100% rationale coverage is impossible to churn — their compliance record is now inside ScreenDesk. The switching cost is the audit trail itself.</w:t>
      </w:r>
    </w:p>
    <w:p>
      <w:pPr>
        <w:pStyle w:val="ListBullet"/>
        <w:spacing w:before="20" w:after="60"/>
      </w:pPr>
      <w:r>
        <w:rPr>
          <w:b/>
          <w:color w:val="0F2140"/>
          <w:sz w:val="21"/>
        </w:rPr>
        <w:t>It is the conversion proof point:</w:t>
      </w:r>
      <w:r>
        <w:rPr>
          <w:color w:val="2D3748"/>
          <w:sz w:val="21"/>
        </w:rPr>
        <w:t xml:space="preserve"> Every design partner baseline will show 40–70% coverage (the rest is in email). Demonstrating the jump to 100% within the first two weeks of ScreenDesk use is the case study.</w:t>
      </w:r>
    </w:p>
    <w:p>
      <w:pPr>
        <w:spacing w:before="280" w:after="80"/>
      </w:pPr>
      <w:r>
        <w:rPr>
          <w:b/>
          <w:color w:val="00C2A8"/>
          <w:sz w:val="26"/>
        </w:rPr>
        <w:t>2.2  90-Day Launch Metrics</w:t>
      </w:r>
    </w:p>
    <w:p>
      <w:pPr>
        <w:spacing w:before="40" w:after="120"/>
      </w:pPr>
      <w:r>
        <w:rPr>
          <w:color w:val="2D3748"/>
          <w:sz w:val="21"/>
        </w:rPr>
        <w:t>From the product marketing strategy document — these are the committed launch targets: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Measurement method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Time-to-disposition improvement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Down ≥ 50% vs. pre-ScreenDesk baseline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Mean minutes per dispositioned hit — baselined before go-live, measured at 30/60/90 days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Customer Success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Rationale coverage rate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100% of cleared hits carry a documented rationale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Audit trail query: dispositions with non-empty rationale / total dispositions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Product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Pilot-to-paid conversion rate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2 of 3 design-partner pilots convert to paid within 30 days of pilot end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CRM conversion tracking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Sales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Qualified demos in 90 days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25 qualified demos (MLRO or Head of Compliance in the room)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CRM pipeline tracking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Founders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Queue clearance rate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≥ 90% of review-queue hits actioned within the same business day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ScreenDesk audit trail: hits created vs. hits dispositioned within 24h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Customer Success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AI rationale acceptance rate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&gt; 70% of AI-drafted rationales submitted with minor edits or none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Audit trail: AI-drafted rationales vs. analyst-overwritten rationales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Product</w:t>
            </w:r>
          </w:p>
        </w:tc>
      </w:tr>
    </w:tbl>
    <w:p/>
    <w:p>
      <w:pPr>
        <w:spacing w:before="40" w:after="120"/>
      </w:pPr>
      <w:r>
        <w:rPr>
          <w:color w:val="2D3748"/>
          <w:sz w:val="21"/>
        </w:rPr>
        <w:t>These six metrics are the 90-day go/no-go signal. If 4 of 6 are on track by day 60, the Phase 1 launch motion continues. If fewer than 4 are on track, the Phase 0 design-partner scope is extended and the issue is diagnosed before broader launch.</w:t>
      </w:r>
    </w:p>
    <w:p>
      <w:pPr>
        <w:spacing w:before="280" w:after="80"/>
      </w:pPr>
      <w:r>
        <w:rPr>
          <w:b/>
          <w:color w:val="00C2A8"/>
          <w:sz w:val="26"/>
        </w:rPr>
        <w:t>2.3  Product Health Metrics</w:t>
      </w:r>
    </w:p>
    <w:p>
      <w:pPr>
        <w:spacing w:before="40" w:after="120"/>
      </w:pPr>
      <w:r>
        <w:rPr>
          <w:color w:val="2D3748"/>
          <w:sz w:val="21"/>
        </w:rPr>
        <w:t>Product health metrics tell us the product is delivering its value proposition — not just that it is being used. Each metric maps to a specific product capability or architectural decision.</w:t>
      </w:r>
    </w:p>
    <w:p>
      <w:pPr>
        <w:spacing w:before="200" w:after="40"/>
      </w:pPr>
      <w:r>
        <w:rPr>
          <w:b/>
          <w:color w:val="2D3748"/>
          <w:sz w:val="22"/>
        </w:rPr>
        <w:t>Screening quality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False positive reduction rate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% reduction in hits requiring manual review vs. pre-ScreenDesk baseline per customer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&gt; 40% reduction within 60 days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Core value prop: transliteration-aware matching cuts the noise. If this doesn't move, the matching engine needs tuning for that customer's name corpus.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True match escalation rate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% of escalated cases that the MLRO agrees warranted escalation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&gt; 90%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Measures signal quality, not just throughput. A high rate means Level B hard-stop rules are firing correctly. A low rate means false ESCALATE recommendations are eroding analyst trust.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Auto-APPROVE rate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% of cases where Level A produces APPROVE and no Level B rule fires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Target varies by customer risk appetite — typically 40–60%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Measures the share of the case queue the system handles without requiring human review. This is the throughput multiplier the MLRO bought.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Override rate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% of officer decisions that disagree with the system recommendation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&lt; 15%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High override rate = low model trust. It is the leading indicator of churn. When it spikes, investigate: is the threshold misconfigured, or is there a systemic issue the system is not catching?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Hard-stop vs. weighted-score split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% of non-APPROVE recommendations driven by a Level B rule vs. Level A score band alone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Track, do not target — this is a calibration signal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If 90% of MANUAL_REVIEW recommendations are driven by the requires_human_review_floor, the scoring weights may be too permissive. If 0% are driven by the safety floor, it may be too conservative.</w:t>
            </w:r>
          </w:p>
        </w:tc>
      </w:tr>
    </w:tbl>
    <w:p/>
    <w:p>
      <w:pPr>
        <w:spacing w:before="200" w:after="40"/>
      </w:pPr>
      <w:r>
        <w:rPr>
          <w:b/>
          <w:color w:val="2D3748"/>
          <w:sz w:val="22"/>
        </w:rPr>
        <w:t>Analyst workflow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Mean time-to-disposition (MTD)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Average minutes from hit creation to analyst disposition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&lt; 10 minutes per reviewed hit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The primary analyst productivity signal. MTD &gt; 20 min means the evidence is not clear enough, the rationale drafting is not helping, or the queue is backlogged.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Rationale coverage rate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% of dispositioned hits with a non-empty analyst rationale on file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100% (structurally enforced)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The North Star — see 2.1. Any deviation from 100% means the enforcement logic has a gap.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AI rationale acceptance rate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% of AI-drafted rationales submitted without full analyst rewrite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&gt; 70%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Measures whether the Claude-drafted rationale is good enough to use. Below 50% means the prompt needs tuning for this customer's disposition language.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Backlog clearance rate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% of review-queue hits actioned within the same business day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&gt; 90%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Payment release depends on queue clearance. A backlog that spills into the next day creates downstream payment delays — a visible operational failure for the customer.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Audit trail completeness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% of cases with a full event chain: screening → disposition → rationale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100%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Any gap in the event chain is an audit risk. This metric should always be 100%; deviations indicate a bug or a workflow shortcut that needs addressing.</w:t>
            </w:r>
          </w:p>
        </w:tc>
      </w:tr>
    </w:tbl>
    <w:p/>
    <w:p>
      <w:pPr>
        <w:spacing w:before="200" w:after="40"/>
      </w:pPr>
      <w:r>
        <w:rPr>
          <w:b/>
          <w:color w:val="2D3748"/>
          <w:sz w:val="22"/>
        </w:rPr>
        <w:t>Platform reliability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928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2928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System recommendation latency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Time from case creation to APPROVE / MANUAL_REVIEW / ESCALATE recommendation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&lt; 4 seconds p99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Agent execution success rate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% of agent runs completing with execution_status = ok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&gt; 99.5%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Reproducibility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% of cases where re-running the same inputs produces byte-identical recommendations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100% (deterministic by design — proven by automated test suite)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Watchlist freshness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Hours since last successful watchlist refresh (when live feeds are integrated)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&lt; 24 hours</w:t>
            </w:r>
          </w:p>
        </w:tc>
      </w:tr>
    </w:tbl>
    <w:p/>
    <w:p>
      <w:pPr>
        <w:spacing w:before="280" w:after="80"/>
      </w:pPr>
      <w:r>
        <w:rPr>
          <w:b/>
          <w:color w:val="00C2A8"/>
          <w:sz w:val="26"/>
        </w:rPr>
        <w:t>2.4  Business Metrics</w:t>
      </w:r>
    </w:p>
    <w:p>
      <w:pPr>
        <w:spacing w:before="200" w:after="40"/>
      </w:pPr>
      <w:r>
        <w:rPr>
          <w:b/>
          <w:color w:val="2D3748"/>
          <w:sz w:val="22"/>
        </w:rPr>
        <w:t>Revenue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Month 3 target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Month 12 target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Month 24 target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Annual Recurring Revenue (ARR)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₹15–20L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₹80–100L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₹3–5Cr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Paying institutions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2–3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12–15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40–50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Average ARR per institution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₹6–8L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₹6–8L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₹8–12L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Net Revenue Retention (NRR)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—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&gt; 120%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&gt; 130%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CAC Payback Period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—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&lt; 9 months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&lt; 6 months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Gross Margin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—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&gt; 70%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&gt; 75%</w:t>
            </w:r>
          </w:p>
        </w:tc>
      </w:tr>
    </w:tbl>
    <w:p/>
    <w:p>
      <w:pPr>
        <w:spacing w:before="200" w:after="40"/>
      </w:pPr>
      <w:r>
        <w:rPr>
          <w:b/>
          <w:color w:val="2D3748"/>
          <w:sz w:val="22"/>
        </w:rPr>
        <w:t>Growth and pipeline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928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2928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Target (Month 12)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Monthly qualified demos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Demos with MLRO or Head of Compliance in the room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15–20 / month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Demo-to-pilot conversion rate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% of qualified demos that start a design-partner pilot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&gt; 40%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Pilot-to-paid conversion rate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% of pilots that convert to paid within 30 days of pilot end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&gt; 65%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Time to first value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Days from contract signature to first live case dispositioned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&lt; 5 days (Starter), &lt; 10 days (Professional)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Expansion revenue share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% of monthly new ARR from existing customers (seat adds, tier upgrades, API packs)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&gt; 30% by Month 12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Referral rate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% of new qualified demos sourced via customer or compliance consultant referral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&gt; 25% by Month 12</w:t>
            </w:r>
          </w:p>
        </w:tc>
      </w:tr>
    </w:tbl>
    <w:p/>
    <w:p>
      <w:pPr>
        <w:spacing w:before="200" w:after="40"/>
      </w:pPr>
      <w:r>
        <w:rPr>
          <w:b/>
          <w:color w:val="2D3748"/>
          <w:sz w:val="22"/>
        </w:rPr>
        <w:t>Cohort retention and expansion</w:t>
      </w:r>
    </w:p>
    <w:p>
      <w:pPr>
        <w:spacing w:before="40" w:after="120"/>
      </w:pPr>
      <w:r>
        <w:rPr>
          <w:color w:val="2D3748"/>
          <w:sz w:val="21"/>
        </w:rPr>
        <w:t>Track monthly by institution cohort:</w:t>
      </w:r>
    </w:p>
    <w:p>
      <w:pPr>
        <w:pStyle w:val="ListBullet"/>
        <w:spacing w:before="20" w:after="60"/>
      </w:pPr>
      <w:r>
        <w:rPr>
          <w:b/>
          <w:color w:val="0F2140"/>
          <w:sz w:val="21"/>
        </w:rPr>
        <w:t>Logo retention:</w:t>
      </w:r>
      <w:r>
        <w:rPr>
          <w:color w:val="2D3748"/>
          <w:sz w:val="21"/>
        </w:rPr>
        <w:t xml:space="preserve"> Is the customer still active at 3, 6, 12 months?</w:t>
      </w:r>
    </w:p>
    <w:p>
      <w:pPr>
        <w:pStyle w:val="ListBullet"/>
        <w:spacing w:before="20" w:after="60"/>
      </w:pPr>
      <w:r>
        <w:rPr>
          <w:b/>
          <w:color w:val="0F2140"/>
          <w:sz w:val="21"/>
        </w:rPr>
        <w:t>NRR by cohort:</w:t>
      </w:r>
      <w:r>
        <w:rPr>
          <w:color w:val="2D3748"/>
          <w:sz w:val="21"/>
        </w:rPr>
        <w:t xml:space="preserve"> Is revenue from this customer growing (seat adds, tier upgrades)? NRR target &gt; 120% means the average customer is spending 20% more at their 12-month renewal than at contract start.</w:t>
      </w:r>
    </w:p>
    <w:p>
      <w:pPr>
        <w:pStyle w:val="ListBullet"/>
        <w:spacing w:before="20" w:after="60"/>
      </w:pPr>
      <w:r>
        <w:rPr>
          <w:b/>
          <w:color w:val="0F2140"/>
          <w:sz w:val="21"/>
        </w:rPr>
        <w:t>Override rate trend:</w:t>
      </w:r>
      <w:r>
        <w:rPr>
          <w:color w:val="2D3748"/>
          <w:sz w:val="21"/>
        </w:rPr>
        <w:t xml:space="preserve"> Track override rate month-over-month per customer. A rising override rate in a specific cohort is the first sign of churn risk — investigate before the renewal conversation.</w:t>
      </w:r>
    </w:p>
    <w:p>
      <w:pPr>
        <w:pStyle w:val="ListBullet"/>
        <w:spacing w:before="20" w:after="60"/>
      </w:pPr>
      <w:r>
        <w:rPr>
          <w:b/>
          <w:color w:val="0F2140"/>
          <w:sz w:val="21"/>
        </w:rPr>
        <w:t>4-agent adoption:</w:t>
      </w:r>
      <w:r>
        <w:rPr>
          <w:color w:val="2D3748"/>
          <w:sz w:val="21"/>
        </w:rPr>
        <w:t xml:space="preserve"> 4-agent adoption rate: % of Professional-tier customers with all four agents active. A customer using only Agent 1 (Sanctions) on a Professional plan is underutilizing the product and is at risk of downgrading or churning.</w:t>
      </w:r>
    </w:p>
    <w:p>
      <w:pPr>
        <w:spacing w:before="280" w:after="80"/>
      </w:pPr>
      <w:r>
        <w:rPr>
          <w:b/>
          <w:color w:val="00C2A8"/>
          <w:sz w:val="26"/>
        </w:rPr>
        <w:t>2.5  Customer Health Score</w:t>
      </w:r>
    </w:p>
    <w:p>
      <w:pPr>
        <w:spacing w:before="40" w:after="120"/>
      </w:pPr>
      <w:r>
        <w:rPr>
          <w:color w:val="2D3748"/>
          <w:sz w:val="21"/>
        </w:rPr>
        <w:t>A composite score computed monthly per institution. Scored 0–100. Below 60 triggers a CSM check-in. Below 40 triggers an exec-level account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1757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1757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Green (healthy)</w:t>
            </w:r>
          </w:p>
        </w:tc>
        <w:tc>
          <w:tcPr>
            <w:tcW w:type="dxa" w:w="1757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Amber (watch)</w:t>
            </w:r>
          </w:p>
        </w:tc>
        <w:tc>
          <w:tcPr>
            <w:tcW w:type="dxa" w:w="1757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Red (at risk)</w:t>
            </w:r>
          </w:p>
        </w:tc>
      </w:tr>
      <w:tr>
        <w:tc>
          <w:tcPr>
            <w:tcW w:type="dxa" w:w="1757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Case volume (usage signal)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25%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Volume growing or stable MoM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Volume flat for 2+ months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Volume declining &gt; 20% MoM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Override rate (trust signal)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25%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&lt; 10% of decisions override the system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10–20% override rate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&gt; 20% override rate — analyst does not trust the system</w:t>
            </w:r>
          </w:p>
        </w:tc>
      </w:tr>
      <w:tr>
        <w:tc>
          <w:tcPr>
            <w:tcW w:type="dxa" w:w="1757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4-agent adoption (depth signal)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20%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All 4 agents active on Professional tier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2–3 agents active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Only Agent 1 active on Professional plan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Queue clearance rate (workflow signal)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15%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&gt; 90% cleared same day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70–90% cleared same day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color w:val="2D3748"/>
                <w:sz w:val="19"/>
              </w:rPr>
              <w:t>&lt; 70% — payment release is being impacted</w:t>
            </w:r>
          </w:p>
        </w:tc>
      </w:tr>
      <w:tr>
        <w:tc>
          <w:tcPr>
            <w:tcW w:type="dxa" w:w="1757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Support ticket volume (friction signal)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15%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0–1 tickets / month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2–4 tickets / month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color w:val="2D3748"/>
                <w:sz w:val="19"/>
              </w:rPr>
              <w:t>&gt; 4 tickets / month or any P1 incident</w:t>
            </w:r>
          </w:p>
        </w:tc>
      </w:tr>
    </w:tbl>
    <w:p/>
    <w:p>
      <w:pPr>
        <w:spacing w:before="40" w:after="120"/>
      </w:pPr>
      <w:r>
        <w:rPr>
          <w:color w:val="2D3748"/>
          <w:sz w:val="21"/>
        </w:rPr>
        <w:t>Health score formula: each dimension scores 0–4 (Green=4, Amber=2, Red=0), weighted and normalized to 100. A customer scoring 80+ is expansion-ready. A customer scoring 40–60 needs a CSM intervention before the renewal window.</w:t>
      </w:r>
    </w:p>
    <w:p>
      <w:pPr>
        <w:spacing w:before="280" w:after="80"/>
      </w:pPr>
      <w:r>
        <w:rPr>
          <w:b/>
          <w:color w:val="00C2A8"/>
          <w:sz w:val="26"/>
        </w:rPr>
        <w:t>2.6  MLRO-Level QBR Metrics</w:t>
      </w:r>
    </w:p>
    <w:p>
      <w:pPr>
        <w:spacing w:before="40" w:after="120"/>
      </w:pPr>
      <w:r>
        <w:rPr>
          <w:color w:val="2D3748"/>
          <w:sz w:val="21"/>
        </w:rPr>
        <w:t>These are the metrics that go to the customer — specifically to the MLRO or Head of Compliance — at quarterly business reviews. They translate product activity into compliance program outcomes. Every number should be expressible in plain language without explaining the product architecture.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928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Plain-language framing for the MLRO</w:t>
            </w:r>
          </w:p>
        </w:tc>
        <w:tc>
          <w:tcPr>
            <w:tcW w:type="dxa" w:w="2928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Total screenings processed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"In Q3 your team screened X counterparties through ScreenDesk against OFAC, UN, EU, and PEP watchlists."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Audit trail / screening store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False positive reduction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"X% of alerts that would previously have required full manual review were cleared at the evidence stage — your team spent time only on the Y% that warranted it."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Match level distribution vs. baseline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Rationale coverage rate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"100% of cleared hits in Q3 carry a documented, dated, analyst-signed rationale on file. Your FIU-IND audit trail is complete."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Audit trail completeness query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Auto-APPROVE rate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"The system cleared X% of cases without requiring your team to intervene — these were clean on all active agents with no hard-stop rule triggered."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Orchestration recommendation distribution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MANUAL_REVIEW and ESCALATE split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"Of the Y% that required human attention, Z were driven by the system recommendation alone and W were driven by a compliance hard-stop rule (e.g., a confirmed sanctions match)."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recommendation_source field in case store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Override rate and rationale audit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"Your team disagreed with the system recommendation X times in Q3. Each override has a documented rationale on file. This is your override governance trail."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Decision log: is_override = true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Mean time-to-disposition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"Average case was dispositioned in X minutes — down Y% vs. your pre-ScreenDesk baseline of Z minutes."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color w:val="2D3748"/>
                <w:sz w:val="19"/>
              </w:rPr>
              <w:t>Audit trail timestamps: created_at vs. dispositioned_at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Regulatory Intelligence coverage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"X regulatory updates relevant to your active corridors (India, UAE, Singapore) were surfaced in Q3 — RBI, FATF, and MAS changes flagged at the case level."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2D3748"/>
                <w:sz w:val="19"/>
              </w:rPr>
              <w:t>Regulatory Intelligence module</w:t>
            </w:r>
          </w:p>
        </w:tc>
      </w:tr>
    </w:tbl>
    <w:p/>
    <w:p>
      <w:pPr>
        <w:spacing w:before="40" w:after="120"/>
      </w:pPr>
      <w:r>
        <w:rPr>
          <w:color w:val="2D3748"/>
          <w:sz w:val="21"/>
        </w:rPr>
        <w:t>QBR delivery: the CSM prepares this report from ScreenDesk's audit trail and orchestration logs. At Professional tier, it is delivered in a 45-minute video call. At Enterprise tier, it is a formal written report with trend charts. The report is also the renewal-conversation anchor — every metric in it is evidence that ScreenDesk is worth the renewal price.</w:t>
      </w:r>
    </w:p>
    <w:p>
      <w:pPr>
        <w:spacing w:before="280" w:after="80"/>
      </w:pPr>
      <w:r>
        <w:rPr>
          <w:b/>
          <w:color w:val="00C2A8"/>
          <w:sz w:val="26"/>
        </w:rPr>
        <w:t>2.7  Metrics Collection &amp; Reporting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Cadence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Metrics reviewed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2196"/>
            <w:shd w:val="clear" w:color="auto" w:fill="0F2140"/>
          </w:tcPr>
          <w:p>
            <w:r>
              <w:rPr>
                <w:b/>
                <w:color w:val="FFFFFF"/>
                <w:sz w:val="19"/>
              </w:rPr>
              <w:t>Action if off-track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Daily (automated)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Queue clearance rate, agent execution success rate, system latency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Engineering on-call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Incident response within 2 hours for P1 (queue blocked, latency &gt; 10s)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Weekly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Override rate per customer, AI rationale acceptance rate, new demos, pilot status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Founders + CSM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CSM check-in for any customer with override rate spike; sales pipeline review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Monthly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Customer health scores, ARR, NRR, cohort retention, 4-agent adoption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Founders + investors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Expansion outreach for health score &gt; 80; intervention for health score &lt; 60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b/>
                <w:color w:val="0F2140"/>
                <w:sz w:val="19"/>
              </w:rPr>
              <w:t>Quarterly (QBR)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Full MLRO-level QBR report per customer (see 2.6)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MLRO / Head of Compliance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color w:val="2D3748"/>
                <w:sz w:val="19"/>
              </w:rPr>
              <w:t>Renewal conversation; identify expansion opportunities; flag configuration issues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b/>
                <w:color w:val="0F2140"/>
                <w:sz w:val="19"/>
              </w:rPr>
              <w:t>Annually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Product benchmarking report: aggregate anonymized metrics across the customer base — false positive rates, MTD, auto-approve rates by corridor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Public (thought leadership)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color w:val="2D3748"/>
                <w:sz w:val="19"/>
              </w:rPr>
              <w:t>Content used in sales, category creation, and ACAMS India engagement</w:t>
            </w:r>
          </w:p>
        </w:tc>
      </w:tr>
    </w:tbl>
    <w:p/>
    <w:p>
      <w:pPr>
        <w:pBdr>
          <w:bottom w:val="single" w:sz="6" w:space="1" w:color="00C2A8"/>
        </w:pBdr>
        <w:spacing w:before="80" w:after="80"/>
      </w:pPr>
    </w:p>
    <w:p>
      <w:pPr>
        <w:jc w:val="center"/>
      </w:pPr>
      <w:r>
        <w:rPr>
          <w:color w:val="9AA5B4"/>
          <w:sz w:val="17"/>
        </w:rPr>
        <w:t>Document grounded in TradePe_Team_Documentation — all product capabilities verified against the as-built codebase (4 agents, Level A/B orchestration, Cases 1–10 demo dataset, 155 automated tests).  Pricing and metrics are GTM recommendations, not verified financial projections.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