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pPr>
    </w:p>
    <w:p>
      <w:pPr>
        <w:jc w:val="center"/>
      </w:pPr>
      <w:r>
        <w:drawing>
          <wp:inline xmlns:a="http://schemas.openxmlformats.org/drawingml/2006/main" xmlns:pic="http://schemas.openxmlformats.org/drawingml/2006/picture">
            <wp:extent cx="1234440" cy="1234440"/>
            <wp:docPr id="1" name="Picture 1"/>
            <wp:cNvGraphicFramePr>
              <a:graphicFrameLocks noChangeAspect="1"/>
            </wp:cNvGraphicFramePr>
            <a:graphic>
              <a:graphicData uri="http://schemas.openxmlformats.org/drawingml/2006/picture">
                <pic:pic>
                  <pic:nvPicPr>
                    <pic:cNvPr id="0" name="tradepe_logo.png"/>
                    <pic:cNvPicPr/>
                  </pic:nvPicPr>
                  <pic:blipFill>
                    <a:blip r:embed="rId9"/>
                    <a:stretch>
                      <a:fillRect/>
                    </a:stretch>
                  </pic:blipFill>
                  <pic:spPr>
                    <a:xfrm>
                      <a:off x="0" y="0"/>
                      <a:ext cx="1234440" cy="1234440"/>
                    </a:xfrm>
                    <a:prstGeom prst="rect"/>
                  </pic:spPr>
                </pic:pic>
              </a:graphicData>
            </a:graphic>
          </wp:inline>
        </w:drawing>
      </w:r>
    </w:p>
    <w:p>
      <w:pPr>
        <w:spacing w:before="440"/>
        <w:jc w:val="center"/>
      </w:pPr>
      <w:r>
        <w:rPr>
          <w:rFonts w:ascii="Georgia" w:hAnsi="Georgia"/>
          <w:b/>
          <w:color w:val="0B2138"/>
          <w:sz w:val="80"/>
        </w:rPr>
        <w:t>TradePe</w:t>
      </w:r>
    </w:p>
    <w:p>
      <w:pPr>
        <w:jc w:val="center"/>
      </w:pPr>
      <w:r>
        <w:rPr>
          <w:b/>
          <w:color w:val="0F766E"/>
          <w:sz w:val="30"/>
        </w:rPr>
        <w:t>AI Compliance Copilot for Cross-Border Trade</w:t>
      </w:r>
    </w:p>
    <w:p/>
    <w:p>
      <w:pPr>
        <w:spacing w:before="800"/>
        <w:jc w:val="center"/>
      </w:pPr>
      <w:r>
        <w:rPr>
          <w:b/>
          <w:sz w:val="40"/>
        </w:rPr>
        <w:t>Market Research &amp; Core Value Proposition</w:t>
      </w:r>
    </w:p>
    <w:p>
      <w:pPr>
        <w:spacing w:before="400"/>
        <w:jc w:val="center"/>
      </w:pPr>
      <w:r>
        <w:rPr>
          <w:color w:val="475569"/>
          <w:sz w:val="22"/>
        </w:rPr>
        <w:t>Capstone Project — Product Management with AI</w:t>
        <w:br/>
        <w:t>September 2026</w:t>
      </w:r>
    </w:p>
    <w:p>
      <w:pPr>
        <w:spacing w:before="4000"/>
        <w:jc w:val="center"/>
      </w:pPr>
      <w:r>
        <w:rPr>
          <w:i/>
          <w:color w:val="475569"/>
          <w:sz w:val="18"/>
        </w:rPr>
        <w:t>This document combines third-party market data (cited inline, current as of the search date) with product positioning specific to TradePe, a capstone prototype. Market sizing figures are directional estimates for planning purposes, not audited research — see Section 9 for validation still required before any figure here is treated as approved business fact.</w:t>
      </w:r>
    </w:p>
    <w:p>
      <w:r>
        <w:br w:type="page"/>
      </w:r>
    </w:p>
    <w:p>
      <w:pPr>
        <w:pStyle w:val="Heading1"/>
      </w:pPr>
      <w:r>
        <w:rPr>
          <w:b/>
          <w:color w:val="0B2138"/>
          <w:sz w:val="36"/>
        </w:rPr>
        <w:t>Contents</w:t>
      </w:r>
    </w:p>
    <w:p>
      <w:pPr>
        <w:spacing w:after="80"/>
      </w:pPr>
      <w:r>
        <w:t>1. Executive Summary</w:t>
      </w:r>
    </w:p>
    <w:p>
      <w:pPr>
        <w:spacing w:after="80"/>
      </w:pPr>
      <w:r>
        <w:t>2. Industry &amp; Regulatory Context</w:t>
      </w:r>
    </w:p>
    <w:p>
      <w:pPr>
        <w:spacing w:after="80"/>
      </w:pPr>
      <w:r>
        <w:t>3. Market Sizing (TAM / SAM / SOM)</w:t>
      </w:r>
    </w:p>
    <w:p>
      <w:pPr>
        <w:spacing w:after="80"/>
      </w:pPr>
      <w:r>
        <w:t>4. Target Customers &amp; Personas</w:t>
      </w:r>
    </w:p>
    <w:p>
      <w:pPr>
        <w:spacing w:after="80"/>
      </w:pPr>
      <w:r>
        <w:t>5. Competitive Landscape</w:t>
      </w:r>
    </w:p>
    <w:p>
      <w:pPr>
        <w:spacing w:after="80"/>
      </w:pPr>
      <w:r>
        <w:t>6. Core Value Proposition</w:t>
      </w:r>
    </w:p>
    <w:p>
      <w:pPr>
        <w:spacing w:after="80"/>
      </w:pPr>
      <w:r>
        <w:t>7. Business Value &amp; Why Now</w:t>
      </w:r>
    </w:p>
    <w:p>
      <w:pPr>
        <w:spacing w:after="80"/>
      </w:pPr>
      <w:r>
        <w:t>8. Pricing &amp; Go-to-Market</w:t>
      </w:r>
    </w:p>
    <w:p>
      <w:pPr>
        <w:spacing w:after="80"/>
      </w:pPr>
      <w:r>
        <w:t>9. Assumptions Requiring Validation</w:t>
      </w:r>
    </w:p>
    <w:p>
      <w:pPr>
        <w:spacing w:after="80"/>
      </w:pPr>
      <w:r>
        <w:t>10. Sources</w:t>
      </w:r>
    </w:p>
    <w:p>
      <w:r>
        <w:br w:type="page"/>
      </w:r>
    </w:p>
    <w:p>
      <w:pPr>
        <w:pStyle w:val="Heading1"/>
      </w:pPr>
      <w:r>
        <w:rPr>
          <w:b/>
          <w:color w:val="0B2138"/>
          <w:sz w:val="36"/>
        </w:rPr>
        <w:t>1. Executive Summary</w:t>
      </w:r>
    </w:p>
    <w:p>
      <w:pPr>
        <w:spacing w:after="160" w:line="276" w:lineRule="auto"/>
      </w:pPr>
      <w:r>
        <w:rPr>
          <w:i w:val="0"/>
          <w:sz w:val="22"/>
        </w:rPr>
        <w:t>Cross-border trade payment compliance in India today runs across five largely manual, disconnected workstreams — customer onboarding/KYC, sanctions and watchlist screening, trade-document verification, transaction monitoring, and regulatory-change awareness. Each is handled by a different tool, a different checklist, or a spreadsheet, and reconciled by a compliance officer under time pressure. TradePe consolidates all five into one AI-assisted Compliance Copilot: four specialist agents each independently assess a case, a fifth surfaces regulatory context, and a deterministic scoring-and-rules engine combines them into one explainable recommendation — APPROVE, MANUAL REVIEW, or ESCALATE — for a human compliance officer to act on.</w:t>
      </w:r>
    </w:p>
    <w:p>
      <w:pPr>
        <w:spacing w:after="160" w:line="276" w:lineRule="auto"/>
      </w:pPr>
      <w:r>
        <w:rPr>
          <w:i w:val="0"/>
          <w:sz w:val="22"/>
        </w:rPr>
        <w:t>The market context is real and growing: India's combined merchandise-and-services trade crossed roughly US$1.84 trillion in FY 2025-26 (exports $860.09B, imports $979.40B), the Indian RegTech/Compliance-SaaS market is independently estimated in the low single-digit billions of dollars and growing at 16–24% CAGR through the early 2030s, and FATF has been explicitly pushing India's regulators toward more frequent and more material AML enforcement action — a direct tailwind for compliance tooling demand. TradePe's beachhead is not the large banks already served by enterprise suites (Refinitiv World-Check One, ComplyAdvantage, NICE Actimize, LexisNexis Bridger) — it is the lean compliance teams at trade-finance NBFCs, payment aggregators, and mid-size Authorised Dealer banks who are big enough to be audited and too small for bank-grade screening budgets.</w:t>
      </w:r>
    </w:p>
    <w:p>
      <w:pPr>
        <w:spacing w:after="160" w:line="276" w:lineRule="auto"/>
      </w:pPr>
      <w:r>
        <w:rPr>
          <w:i w:val="0"/>
          <w:sz w:val="22"/>
        </w:rPr>
        <w:t>The core value proposition: TradePe recommends, the human decides — every recommendation is traceable to the exact weight or rule that produced it, every officer decision that disagrees with the system requires a written rationale, and nothing is ever auto-approved or auto-escalated. This is deliberately positioned as the trust-building alternative to opaque, enterprise-only AI compliance tools.</w:t>
      </w:r>
    </w:p>
    <w:p>
      <w:pPr>
        <w:pStyle w:val="Heading1"/>
      </w:pPr>
      <w:r>
        <w:rPr>
          <w:b/>
          <w:color w:val="0B2138"/>
          <w:sz w:val="36"/>
        </w:rPr>
        <w:t>2. Industry &amp; Regulatory Context</w:t>
      </w:r>
    </w:p>
    <w:p>
      <w:pPr>
        <w:pStyle w:val="Heading2"/>
      </w:pPr>
      <w:r>
        <w:rPr>
          <w:b/>
          <w:color w:val="0F766E"/>
          <w:sz w:val="27"/>
        </w:rPr>
        <w:t>2.1 Trade volume the compliance burden sits on top of</w:t>
      </w:r>
    </w:p>
    <w:tbl>
      <w:tblPr>
        <w:tblStyle w:val="TableGrid"/>
        <w:tblW w:type="auto" w:w="0"/>
        <w:jc w:val="center"/>
        <w:tblLook w:firstColumn="1" w:firstRow="1" w:lastColumn="0" w:lastRow="0" w:noHBand="0" w:noVBand="1" w:val="04A0"/>
      </w:tblPr>
      <w:tblGrid>
        <w:gridCol w:w="3216"/>
        <w:gridCol w:w="3216"/>
        <w:gridCol w:w="3216"/>
      </w:tblGrid>
      <w:tr>
        <w:tc>
          <w:tcPr>
            <w:tcW w:type="dxa" w:w="3744"/>
            <w:shd w:val="clear" w:color="auto" w:fill="0B2138"/>
          </w:tcPr>
          <w:p>
            <w:r/>
            <w:r>
              <w:rPr>
                <w:b/>
                <w:color w:val="FFFFFF"/>
                <w:sz w:val="20"/>
              </w:rPr>
              <w:t>Metric</w:t>
            </w:r>
          </w:p>
        </w:tc>
        <w:tc>
          <w:tcPr>
            <w:tcW w:type="dxa" w:w="2736"/>
            <w:shd w:val="clear" w:color="auto" w:fill="0B2138"/>
          </w:tcPr>
          <w:p>
            <w:r/>
            <w:r>
              <w:rPr>
                <w:b/>
                <w:color w:val="FFFFFF"/>
                <w:sz w:val="20"/>
              </w:rPr>
              <w:t>FY 2025-26 (India)</w:t>
            </w:r>
          </w:p>
        </w:tc>
        <w:tc>
          <w:tcPr>
            <w:tcW w:type="dxa" w:w="2736"/>
            <w:shd w:val="clear" w:color="auto" w:fill="0B2138"/>
          </w:tcPr>
          <w:p>
            <w:r/>
            <w:r>
              <w:rPr>
                <w:b/>
                <w:color w:val="FFFFFF"/>
                <w:sz w:val="20"/>
              </w:rPr>
              <w:t>Prior year (FY 2024-25)</w:t>
            </w:r>
          </w:p>
        </w:tc>
      </w:tr>
      <w:tr>
        <w:tc>
          <w:tcPr>
            <w:tcW w:type="dxa" w:w="3744"/>
          </w:tcPr>
          <w:p>
            <w:r/>
            <w:r>
              <w:rPr>
                <w:b w:val="0"/>
                <w:sz w:val="20"/>
              </w:rPr>
              <w:t>Combined exports (merchandise + services)</w:t>
            </w:r>
          </w:p>
        </w:tc>
        <w:tc>
          <w:tcPr>
            <w:tcW w:type="dxa" w:w="2736"/>
          </w:tcPr>
          <w:p>
            <w:r/>
            <w:r>
              <w:rPr>
                <w:b w:val="0"/>
                <w:sz w:val="20"/>
              </w:rPr>
              <w:t>US$860.09 billion</w:t>
            </w:r>
          </w:p>
        </w:tc>
        <w:tc>
          <w:tcPr>
            <w:tcW w:type="dxa" w:w="2736"/>
          </w:tcPr>
          <w:p>
            <w:r/>
            <w:r>
              <w:rPr>
                <w:b w:val="0"/>
                <w:sz w:val="20"/>
              </w:rPr>
              <w:t>US$825.26 billion</w:t>
            </w:r>
          </w:p>
        </w:tc>
      </w:tr>
      <w:tr>
        <w:tc>
          <w:tcPr>
            <w:tcW w:type="dxa" w:w="3744"/>
          </w:tcPr>
          <w:p>
            <w:r/>
            <w:r>
              <w:rPr>
                <w:b w:val="0"/>
                <w:sz w:val="20"/>
              </w:rPr>
              <w:t>Combined imports (merchandise + services)</w:t>
            </w:r>
          </w:p>
        </w:tc>
        <w:tc>
          <w:tcPr>
            <w:tcW w:type="dxa" w:w="2736"/>
          </w:tcPr>
          <w:p>
            <w:r/>
            <w:r>
              <w:rPr>
                <w:b w:val="0"/>
                <w:sz w:val="20"/>
              </w:rPr>
              <w:t>US$979.40 billion</w:t>
            </w:r>
          </w:p>
        </w:tc>
        <w:tc>
          <w:tcPr>
            <w:tcW w:type="dxa" w:w="2736"/>
          </w:tcPr>
          <w:p>
            <w:r/>
            <w:r>
              <w:rPr>
                <w:b w:val="0"/>
                <w:sz w:val="20"/>
              </w:rPr>
              <w:t>—</w:t>
            </w:r>
          </w:p>
        </w:tc>
      </w:tr>
      <w:tr>
        <w:tc>
          <w:tcPr>
            <w:tcW w:type="dxa" w:w="3744"/>
          </w:tcPr>
          <w:p>
            <w:r/>
            <w:r>
              <w:rPr>
                <w:b w:val="0"/>
                <w:sz w:val="20"/>
              </w:rPr>
              <w:t>Merchandise exports</w:t>
            </w:r>
          </w:p>
        </w:tc>
        <w:tc>
          <w:tcPr>
            <w:tcW w:type="dxa" w:w="2736"/>
          </w:tcPr>
          <w:p>
            <w:r/>
            <w:r>
              <w:rPr>
                <w:b w:val="0"/>
                <w:sz w:val="20"/>
              </w:rPr>
              <w:t>US$441.78 billion</w:t>
            </w:r>
          </w:p>
        </w:tc>
        <w:tc>
          <w:tcPr>
            <w:tcW w:type="dxa" w:w="2736"/>
          </w:tcPr>
          <w:p>
            <w:r/>
            <w:r>
              <w:rPr>
                <w:b w:val="0"/>
                <w:sz w:val="20"/>
              </w:rPr>
              <w:t>US$437.70 billion</w:t>
            </w:r>
          </w:p>
        </w:tc>
      </w:tr>
      <w:tr>
        <w:tc>
          <w:tcPr>
            <w:tcW w:type="dxa" w:w="3744"/>
          </w:tcPr>
          <w:p>
            <w:r/>
            <w:r>
              <w:rPr>
                <w:b w:val="0"/>
                <w:sz w:val="20"/>
              </w:rPr>
              <w:t>Merchandise imports</w:t>
            </w:r>
          </w:p>
        </w:tc>
        <w:tc>
          <w:tcPr>
            <w:tcW w:type="dxa" w:w="2736"/>
          </w:tcPr>
          <w:p>
            <w:r/>
            <w:r>
              <w:rPr>
                <w:b w:val="0"/>
                <w:sz w:val="20"/>
              </w:rPr>
              <w:t>US$776.03 billion</w:t>
            </w:r>
          </w:p>
        </w:tc>
        <w:tc>
          <w:tcPr>
            <w:tcW w:type="dxa" w:w="2736"/>
          </w:tcPr>
          <w:p>
            <w:r/>
            <w:r>
              <w:rPr>
                <w:b w:val="0"/>
                <w:sz w:val="20"/>
              </w:rPr>
              <w:t>US$721.20 billion</w:t>
            </w:r>
          </w:p>
        </w:tc>
      </w:tr>
    </w:tbl>
    <w:p>
      <w:pPr>
        <w:spacing w:after="120"/>
      </w:pPr>
    </w:p>
    <w:p>
      <w:pPr>
        <w:spacing w:after="280"/>
      </w:pPr>
      <w:r>
        <w:rPr>
          <w:i/>
          <w:color w:val="475569"/>
          <w:sz w:val="18"/>
        </w:rPr>
        <w:t>Source: Press Information Bureau, Government of India; Directorate General of Commercial Intelligence and Statistics (DGCIS) Quarterly Review of Merchandise Trade — see Section 10.</w:t>
      </w:r>
    </w:p>
    <w:p>
      <w:pPr>
        <w:spacing w:after="160" w:line="276" w:lineRule="auto"/>
      </w:pPr>
      <w:r>
        <w:rPr>
          <w:i w:val="0"/>
          <w:sz w:val="22"/>
        </w:rPr>
        <w:t>Every one of these transactions is a candidate for the five compliance workstreams TradePe addresses. Trade volume growing faster than compliance headcount is the structural tailwind: the burden per analyst only rises.</w:t>
      </w:r>
    </w:p>
    <w:p>
      <w:pPr>
        <w:pStyle w:val="Heading2"/>
      </w:pPr>
      <w:r>
        <w:rPr>
          <w:b/>
          <w:color w:val="0F766E"/>
          <w:sz w:val="27"/>
        </w:rPr>
        <w:t>2.2 Regulatory pressure is tightening, not loosening</w:t>
      </w:r>
    </w:p>
    <w:p>
      <w:pPr>
        <w:pStyle w:val="ListBullet"/>
        <w:spacing w:after="80"/>
      </w:pPr>
      <w:r>
        <w:rPr>
          <w:sz w:val="22"/>
        </w:rPr>
        <w:t>FATF's most recent evaluation of India explicitly criticized the proportionality of monetary AML/CFT penalties — RBI's average penalties on commercial banks (~US$87,000), cooperative banks (~US$4,350) and NBFCs (~US$8,700) were flagged as “generally not proportionate or dissuasive,” particularly for larger firms — a clear signal that enforcement intensity is expected to rise, not fall.</w:t>
      </w:r>
    </w:p>
    <w:p>
      <w:pPr>
        <w:pStyle w:val="ListBullet"/>
        <w:spacing w:after="80"/>
      </w:pPr>
      <w:r>
        <w:rPr>
          <w:sz w:val="22"/>
        </w:rPr>
        <w:t>RBI issued fresh internal ML/TF risk-assessment guidance to regulated entities in late 2024 and continues to issue advisories after each FATF Plenary (most recently October 2025), tightening the operating bar for every AD bank, NBFC, and payment intermediary handling cross-border flows.</w:t>
      </w:r>
    </w:p>
    <w:p>
      <w:pPr>
        <w:pStyle w:val="ListBullet"/>
        <w:spacing w:after="80"/>
      </w:pPr>
      <w:r>
        <w:rPr>
          <w:sz w:val="22"/>
        </w:rPr>
        <w:t>Trade-based money laundering (TBML) is explicitly named by FATF as an active laundering channel through India and the broader South/Southeast Asia corridor — the exact seam between Trade Document verification and Transaction Monitoring that TradePe's Agent 3 and Agent 4 are built around.</w:t>
      </w:r>
    </w:p>
    <w:p>
      <w:pPr>
        <w:pStyle w:val="Heading2"/>
      </w:pPr>
      <w:r>
        <w:rPr>
          <w:b/>
          <w:color w:val="0F766E"/>
          <w:sz w:val="27"/>
        </w:rPr>
        <w:t>2.3 The compliance-technology market is already scaling</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744"/>
            <w:shd w:val="clear" w:color="auto" w:fill="0B2138"/>
          </w:tcPr>
          <w:p>
            <w:r/>
            <w:r>
              <w:rPr>
                <w:b/>
                <w:color w:val="FFFFFF"/>
                <w:sz w:val="20"/>
              </w:rPr>
              <w:t>Market</w:t>
            </w:r>
          </w:p>
        </w:tc>
        <w:tc>
          <w:tcPr>
            <w:tcW w:type="dxa" w:w="1872"/>
            <w:shd w:val="clear" w:color="auto" w:fill="0B2138"/>
          </w:tcPr>
          <w:p>
            <w:r/>
            <w:r>
              <w:rPr>
                <w:b/>
                <w:color w:val="FFFFFF"/>
                <w:sz w:val="20"/>
              </w:rPr>
              <w:t>Current size</w:t>
            </w:r>
          </w:p>
        </w:tc>
        <w:tc>
          <w:tcPr>
            <w:tcW w:type="dxa" w:w="2304"/>
            <w:shd w:val="clear" w:color="auto" w:fill="0B2138"/>
          </w:tcPr>
          <w:p>
            <w:r/>
            <w:r>
              <w:rPr>
                <w:b/>
                <w:color w:val="FFFFFF"/>
                <w:sz w:val="20"/>
              </w:rPr>
              <w:t>Forecast</w:t>
            </w:r>
          </w:p>
        </w:tc>
        <w:tc>
          <w:tcPr>
            <w:tcW w:type="dxa" w:w="1296"/>
            <w:shd w:val="clear" w:color="auto" w:fill="0B2138"/>
          </w:tcPr>
          <w:p>
            <w:r/>
            <w:r>
              <w:rPr>
                <w:b/>
                <w:color w:val="FFFFFF"/>
                <w:sz w:val="20"/>
              </w:rPr>
              <w:t>CAGR</w:t>
            </w:r>
          </w:p>
        </w:tc>
      </w:tr>
      <w:tr>
        <w:tc>
          <w:tcPr>
            <w:tcW w:type="dxa" w:w="3744"/>
          </w:tcPr>
          <w:p>
            <w:r/>
            <w:r>
              <w:rPr>
                <w:b w:val="0"/>
                <w:sz w:val="20"/>
              </w:rPr>
              <w:t>Global AML software (MarketsandMarkets)</w:t>
            </w:r>
          </w:p>
        </w:tc>
        <w:tc>
          <w:tcPr>
            <w:tcW w:type="dxa" w:w="1872"/>
          </w:tcPr>
          <w:p>
            <w:r/>
            <w:r>
              <w:rPr>
                <w:b w:val="0"/>
                <w:sz w:val="20"/>
              </w:rPr>
              <w:t>US$4.13B (2025)</w:t>
            </w:r>
          </w:p>
        </w:tc>
        <w:tc>
          <w:tcPr>
            <w:tcW w:type="dxa" w:w="2304"/>
          </w:tcPr>
          <w:p>
            <w:r/>
            <w:r>
              <w:rPr>
                <w:b w:val="0"/>
                <w:sz w:val="20"/>
              </w:rPr>
              <w:t>US$9.38B by 2030</w:t>
            </w:r>
          </w:p>
        </w:tc>
        <w:tc>
          <w:tcPr>
            <w:tcW w:type="dxa" w:w="1296"/>
          </w:tcPr>
          <w:p>
            <w:r/>
            <w:r>
              <w:rPr>
                <w:b w:val="0"/>
                <w:sz w:val="20"/>
              </w:rPr>
              <w:t>17.8%</w:t>
            </w:r>
          </w:p>
        </w:tc>
      </w:tr>
      <w:tr>
        <w:tc>
          <w:tcPr>
            <w:tcW w:type="dxa" w:w="3744"/>
          </w:tcPr>
          <w:p>
            <w:r/>
            <w:r>
              <w:rPr>
                <w:b w:val="0"/>
                <w:sz w:val="20"/>
              </w:rPr>
              <w:t>Global AML software (Fortune Business Insights)</w:t>
            </w:r>
          </w:p>
        </w:tc>
        <w:tc>
          <w:tcPr>
            <w:tcW w:type="dxa" w:w="1872"/>
          </w:tcPr>
          <w:p>
            <w:r/>
            <w:r>
              <w:rPr>
                <w:b w:val="0"/>
                <w:sz w:val="20"/>
              </w:rPr>
              <w:t>US$2.91B (2026)</w:t>
            </w:r>
          </w:p>
        </w:tc>
        <w:tc>
          <w:tcPr>
            <w:tcW w:type="dxa" w:w="2304"/>
          </w:tcPr>
          <w:p>
            <w:r/>
            <w:r>
              <w:rPr>
                <w:b w:val="0"/>
                <w:sz w:val="20"/>
              </w:rPr>
              <w:t>—</w:t>
            </w:r>
          </w:p>
        </w:tc>
        <w:tc>
          <w:tcPr>
            <w:tcW w:type="dxa" w:w="1296"/>
          </w:tcPr>
          <w:p>
            <w:r/>
            <w:r>
              <w:rPr>
                <w:b w:val="0"/>
                <w:sz w:val="20"/>
              </w:rPr>
              <w:t>—</w:t>
            </w:r>
          </w:p>
        </w:tc>
      </w:tr>
      <w:tr>
        <w:tc>
          <w:tcPr>
            <w:tcW w:type="dxa" w:w="3744"/>
          </w:tcPr>
          <w:p>
            <w:r/>
            <w:r>
              <w:rPr>
                <w:b w:val="0"/>
                <w:sz w:val="20"/>
              </w:rPr>
              <w:t>India RegTech market (IMARC)</w:t>
            </w:r>
          </w:p>
        </w:tc>
        <w:tc>
          <w:tcPr>
            <w:tcW w:type="dxa" w:w="1872"/>
          </w:tcPr>
          <w:p>
            <w:r/>
            <w:r>
              <w:rPr>
                <w:b w:val="0"/>
                <w:sz w:val="20"/>
              </w:rPr>
              <w:t>US$606.3M (2025)</w:t>
            </w:r>
          </w:p>
        </w:tc>
        <w:tc>
          <w:tcPr>
            <w:tcW w:type="dxa" w:w="2304"/>
          </w:tcPr>
          <w:p>
            <w:r/>
            <w:r>
              <w:rPr>
                <w:b w:val="0"/>
                <w:sz w:val="20"/>
              </w:rPr>
              <w:t>US$2,402.3M by 2034</w:t>
            </w:r>
          </w:p>
        </w:tc>
        <w:tc>
          <w:tcPr>
            <w:tcW w:type="dxa" w:w="1296"/>
          </w:tcPr>
          <w:p>
            <w:r/>
            <w:r>
              <w:rPr>
                <w:b w:val="0"/>
                <w:sz w:val="20"/>
              </w:rPr>
              <w:t>16.03%</w:t>
            </w:r>
          </w:p>
        </w:tc>
      </w:tr>
      <w:tr>
        <w:tc>
          <w:tcPr>
            <w:tcW w:type="dxa" w:w="3744"/>
          </w:tcPr>
          <w:p>
            <w:r/>
            <w:r>
              <w:rPr>
                <w:b w:val="0"/>
                <w:sz w:val="20"/>
              </w:rPr>
              <w:t>India RegTech market (Research &amp; Markets, narrower scope)</w:t>
            </w:r>
          </w:p>
        </w:tc>
        <w:tc>
          <w:tcPr>
            <w:tcW w:type="dxa" w:w="1872"/>
          </w:tcPr>
          <w:p>
            <w:r/>
            <w:r>
              <w:rPr>
                <w:b w:val="0"/>
                <w:sz w:val="20"/>
              </w:rPr>
              <w:t>US$0.35B (2024)</w:t>
            </w:r>
          </w:p>
        </w:tc>
        <w:tc>
          <w:tcPr>
            <w:tcW w:type="dxa" w:w="2304"/>
          </w:tcPr>
          <w:p>
            <w:r/>
            <w:r>
              <w:rPr>
                <w:b w:val="0"/>
                <w:sz w:val="20"/>
              </w:rPr>
              <w:t>US$1.03B by 2029</w:t>
            </w:r>
          </w:p>
        </w:tc>
        <w:tc>
          <w:tcPr>
            <w:tcW w:type="dxa" w:w="1296"/>
          </w:tcPr>
          <w:p>
            <w:r/>
            <w:r>
              <w:rPr>
                <w:b w:val="0"/>
                <w:sz w:val="20"/>
              </w:rPr>
              <w:t>23.9%</w:t>
            </w:r>
          </w:p>
        </w:tc>
      </w:tr>
      <w:tr>
        <w:tc>
          <w:tcPr>
            <w:tcW w:type="dxa" w:w="3744"/>
          </w:tcPr>
          <w:p>
            <w:r/>
            <w:r>
              <w:rPr>
                <w:b w:val="0"/>
                <w:sz w:val="20"/>
              </w:rPr>
              <w:t>India RegTech + Compliance SaaS (Ken Research)</w:t>
            </w:r>
          </w:p>
        </w:tc>
        <w:tc>
          <w:tcPr>
            <w:tcW w:type="dxa" w:w="1872"/>
          </w:tcPr>
          <w:p>
            <w:r/>
            <w:r>
              <w:rPr>
                <w:b w:val="0"/>
                <w:sz w:val="20"/>
              </w:rPr>
              <w:t>~US$1.5B (current)</w:t>
            </w:r>
          </w:p>
        </w:tc>
        <w:tc>
          <w:tcPr>
            <w:tcW w:type="dxa" w:w="2304"/>
          </w:tcPr>
          <w:p>
            <w:r/>
            <w:r>
              <w:rPr>
                <w:b w:val="0"/>
                <w:sz w:val="20"/>
              </w:rPr>
              <w:t>—</w:t>
            </w:r>
          </w:p>
        </w:tc>
        <w:tc>
          <w:tcPr>
            <w:tcW w:type="dxa" w:w="1296"/>
          </w:tcPr>
          <w:p>
            <w:r/>
            <w:r>
              <w:rPr>
                <w:b w:val="0"/>
                <w:sz w:val="20"/>
              </w:rPr>
              <w:t>—</w:t>
            </w:r>
          </w:p>
        </w:tc>
      </w:tr>
    </w:tbl>
    <w:p>
      <w:pPr>
        <w:spacing w:after="120"/>
      </w:pPr>
    </w:p>
    <w:p>
      <w:pPr>
        <w:spacing w:after="280"/>
      </w:pPr>
      <w:r>
        <w:rPr>
          <w:i/>
          <w:color w:val="475569"/>
          <w:sz w:val="18"/>
        </w:rPr>
        <w:t>Estimates vary by research firm and market definition (a normal feature of nascent-market sizing) — treat the range, not any single number, as the signal. BFSI is independently identified as the largest RegTech segment in India, driven specifically by KYC/AML and data-protection compliance needs.</w:t>
      </w:r>
    </w:p>
    <w:p>
      <w:pPr>
        <w:pStyle w:val="Heading1"/>
      </w:pPr>
      <w:r>
        <w:rPr>
          <w:b/>
          <w:color w:val="0B2138"/>
          <w:sz w:val="36"/>
        </w:rPr>
        <w:t>3. Market Sizing (TAM / SAM / SOM)</w:t>
      </w:r>
    </w:p>
    <w:p>
      <w:pPr>
        <w:spacing w:after="160" w:line="276" w:lineRule="auto"/>
      </w:pPr>
      <w:r>
        <w:rPr>
          <w:i w:val="0"/>
          <w:sz w:val="22"/>
        </w:rPr>
        <w:t>Built bottom-up from the customer counts in Section 4, cross-checked against the top-down RegTech figures in Section 2.3. These are planning-stage estimates, not validated forecasts — see Section 9.</w:t>
      </w:r>
    </w:p>
    <w:tbl>
      <w:tblPr>
        <w:tblStyle w:val="TableGrid"/>
        <w:tblW w:type="auto" w:w="0"/>
        <w:jc w:val="center"/>
        <w:tblLook w:firstColumn="1" w:firstRow="1" w:lastColumn="0" w:lastRow="0" w:noHBand="0" w:noVBand="1" w:val="04A0"/>
      </w:tblPr>
      <w:tblGrid>
        <w:gridCol w:w="3216"/>
        <w:gridCol w:w="3216"/>
        <w:gridCol w:w="3216"/>
      </w:tblGrid>
      <w:tr>
        <w:tc>
          <w:tcPr>
            <w:tcW w:type="dxa" w:w="1008"/>
            <w:shd w:val="clear" w:color="auto" w:fill="0B2138"/>
          </w:tcPr>
          <w:p>
            <w:r/>
            <w:r>
              <w:rPr>
                <w:b/>
                <w:color w:val="FFFFFF"/>
                <w:sz w:val="20"/>
              </w:rPr>
              <w:t>Layer</w:t>
            </w:r>
          </w:p>
        </w:tc>
        <w:tc>
          <w:tcPr>
            <w:tcW w:type="dxa" w:w="4752"/>
            <w:shd w:val="clear" w:color="auto" w:fill="0B2138"/>
          </w:tcPr>
          <w:p>
            <w:r/>
            <w:r>
              <w:rPr>
                <w:b/>
                <w:color w:val="FFFFFF"/>
                <w:sz w:val="20"/>
              </w:rPr>
              <w:t>Definition</w:t>
            </w:r>
          </w:p>
        </w:tc>
        <w:tc>
          <w:tcPr>
            <w:tcW w:type="dxa" w:w="3456"/>
            <w:shd w:val="clear" w:color="auto" w:fill="0B2138"/>
          </w:tcPr>
          <w:p>
            <w:r/>
            <w:r>
              <w:rPr>
                <w:b/>
                <w:color w:val="FFFFFF"/>
                <w:sz w:val="20"/>
              </w:rPr>
              <w:t>Illustrative sizing logic</w:t>
            </w:r>
          </w:p>
        </w:tc>
      </w:tr>
      <w:tr>
        <w:tc>
          <w:tcPr>
            <w:tcW w:type="dxa" w:w="1008"/>
          </w:tcPr>
          <w:p>
            <w:r/>
            <w:r>
              <w:rPr>
                <w:b w:val="0"/>
                <w:sz w:val="20"/>
              </w:rPr>
              <w:t>TAM</w:t>
            </w:r>
          </w:p>
        </w:tc>
        <w:tc>
          <w:tcPr>
            <w:tcW w:type="dxa" w:w="4752"/>
          </w:tcPr>
          <w:p>
            <w:r/>
            <w:r>
              <w:rPr>
                <w:b w:val="0"/>
                <w:sz w:val="20"/>
              </w:rPr>
              <w:t>All India-facing cross-border trade compliance spend (KYC, sanctions screening, trade-document checks, transaction monitoring, regulatory intelligence) across banks, NBFCs, and corporates.</w:t>
            </w:r>
          </w:p>
        </w:tc>
        <w:tc>
          <w:tcPr>
            <w:tcW w:type="dxa" w:w="3456"/>
          </w:tcPr>
          <w:p>
            <w:r/>
            <w:r>
              <w:rPr>
                <w:b w:val="0"/>
                <w:sz w:val="20"/>
              </w:rPr>
              <w:t>Anchored to the India RegTech/Compliance-SaaS market, ~US$0.6B–$1.5B today, growing 16–24% CAGR.</w:t>
            </w:r>
          </w:p>
        </w:tc>
      </w:tr>
      <w:tr>
        <w:tc>
          <w:tcPr>
            <w:tcW w:type="dxa" w:w="1008"/>
          </w:tcPr>
          <w:p>
            <w:r/>
            <w:r>
              <w:rPr>
                <w:b w:val="0"/>
                <w:sz w:val="20"/>
              </w:rPr>
              <w:t>SAM</w:t>
            </w:r>
          </w:p>
        </w:tc>
        <w:tc>
          <w:tcPr>
            <w:tcW w:type="dxa" w:w="4752"/>
          </w:tcPr>
          <w:p>
            <w:r/>
            <w:r>
              <w:rPr>
                <w:b w:val="0"/>
                <w:sz w:val="20"/>
              </w:rPr>
              <w:t>Cross-border trade compliance spend addressable by a mid-market, deploy-in-a-day SaaS product — excludes the largest banks already locked into multi-year enterprise suite contracts.</w:t>
            </w:r>
          </w:p>
        </w:tc>
        <w:tc>
          <w:tcPr>
            <w:tcW w:type="dxa" w:w="3456"/>
          </w:tcPr>
          <w:p>
            <w:r/>
            <w:r>
              <w:rPr>
                <w:b w:val="0"/>
                <w:sz w:val="20"/>
              </w:rPr>
              <w:t>~100 AD Category-I banks + trade-finance NBFCs + payment aggregators + mid-size corporate compliance teams with in-house trade-finance desks; illustratively 300–600 target organizations nationally.</w:t>
            </w:r>
          </w:p>
        </w:tc>
      </w:tr>
      <w:tr>
        <w:tc>
          <w:tcPr>
            <w:tcW w:type="dxa" w:w="1008"/>
          </w:tcPr>
          <w:p>
            <w:r/>
            <w:r>
              <w:rPr>
                <w:b w:val="0"/>
                <w:sz w:val="20"/>
              </w:rPr>
              <w:t>SOM</w:t>
            </w:r>
          </w:p>
        </w:tc>
        <w:tc>
          <w:tcPr>
            <w:tcW w:type="dxa" w:w="4752"/>
          </w:tcPr>
          <w:p>
            <w:r/>
            <w:r>
              <w:rPr>
                <w:b w:val="0"/>
                <w:sz w:val="20"/>
              </w:rPr>
              <w:t>TradePe's realistic 24-month beachhead: lean compliance teams (1–5 analysts) at trade-finance fintechs, payment aggregators, and smaller AD banks/NBFCs who are audited but underserved by enterprise pricing.</w:t>
            </w:r>
          </w:p>
        </w:tc>
        <w:tc>
          <w:tcPr>
            <w:tcW w:type="dxa" w:w="3456"/>
          </w:tcPr>
          <w:p>
            <w:r/>
            <w:r>
              <w:rPr>
                <w:b w:val="0"/>
                <w:sz w:val="20"/>
              </w:rPr>
              <w:t>10–30 design-partner-to-paid accounts at ~₹12,000–₹15,000 per analyst per month (land) expanding to multi-module contracts (expand).</w:t>
            </w:r>
          </w:p>
        </w:tc>
      </w:tr>
    </w:tbl>
    <w:p>
      <w:pPr>
        <w:spacing w:after="120"/>
      </w:pPr>
    </w:p>
    <w:p>
      <w:pPr>
        <w:pStyle w:val="Heading1"/>
      </w:pPr>
      <w:r>
        <w:rPr>
          <w:b/>
          <w:color w:val="0B2138"/>
          <w:sz w:val="36"/>
        </w:rPr>
        <w:t>4. Target Customers &amp; Personas</w:t>
      </w:r>
    </w:p>
    <w:p>
      <w:pPr>
        <w:pStyle w:val="Heading2"/>
      </w:pPr>
      <w:r>
        <w:rPr>
          <w:b/>
          <w:color w:val="0F766E"/>
          <w:sz w:val="27"/>
        </w:rPr>
        <w:t>4.1 Beachhead customer segment</w:t>
      </w:r>
    </w:p>
    <w:p>
      <w:pPr>
        <w:spacing w:after="160" w:line="276" w:lineRule="auto"/>
      </w:pPr>
      <w:r>
        <w:rPr>
          <w:i w:val="0"/>
          <w:sz w:val="22"/>
        </w:rPr>
        <w:t>Compliance teams of 1–5 analysts at Indian cross-border payment fintechs, trade-finance NBFCs, and payment aggregators moving importer/exporter flows under RBI/FEMA — organizations big enough to be audited, too small to justify bank-grade screening suite budgets. There are approximately 100 RBI-licensed Authorised Dealer (Category-I) banks in India alone, before counting AD Category-II/III entities, trade-finance NBFCs, and fintech payment aggregators — a large enough addressable count to build a beachhead without needing the five largest national banks on day one.</w:t>
      </w:r>
    </w:p>
    <w:p>
      <w:pPr>
        <w:pStyle w:val="Heading2"/>
      </w:pPr>
      <w:r>
        <w:rPr>
          <w:b/>
          <w:color w:val="0F766E"/>
          <w:sz w:val="27"/>
        </w:rPr>
        <w:t>4.2 Personas</w:t>
      </w:r>
    </w:p>
    <w:tbl>
      <w:tblPr>
        <w:tblStyle w:val="TableGrid"/>
        <w:tblW w:type="auto" w:w="0"/>
        <w:jc w:val="center"/>
        <w:tblLook w:firstColumn="1" w:firstRow="1" w:lastColumn="0" w:lastRow="0" w:noHBand="0" w:noVBand="1" w:val="04A0"/>
      </w:tblPr>
      <w:tblGrid>
        <w:gridCol w:w="3216"/>
        <w:gridCol w:w="3216"/>
        <w:gridCol w:w="3216"/>
      </w:tblGrid>
      <w:tr>
        <w:tc>
          <w:tcPr>
            <w:tcW w:type="dxa" w:w="2736"/>
            <w:shd w:val="clear" w:color="auto" w:fill="0B2138"/>
          </w:tcPr>
          <w:p>
            <w:r/>
            <w:r>
              <w:rPr>
                <w:b/>
                <w:color w:val="FFFFFF"/>
                <w:sz w:val="20"/>
              </w:rPr>
              <w:t>Persona</w:t>
            </w:r>
          </w:p>
        </w:tc>
        <w:tc>
          <w:tcPr>
            <w:tcW w:type="dxa" w:w="3168"/>
            <w:shd w:val="clear" w:color="auto" w:fill="0B2138"/>
          </w:tcPr>
          <w:p>
            <w:r/>
            <w:r>
              <w:rPr>
                <w:b/>
                <w:color w:val="FFFFFF"/>
                <w:sz w:val="20"/>
              </w:rPr>
              <w:t>Role</w:t>
            </w:r>
          </w:p>
        </w:tc>
        <w:tc>
          <w:tcPr>
            <w:tcW w:type="dxa" w:w="3312"/>
            <w:shd w:val="clear" w:color="auto" w:fill="0B2138"/>
          </w:tcPr>
          <w:p>
            <w:r/>
            <w:r>
              <w:rPr>
                <w:b/>
                <w:color w:val="FFFFFF"/>
                <w:sz w:val="20"/>
              </w:rPr>
              <w:t>What they need from TradePe</w:t>
            </w:r>
          </w:p>
        </w:tc>
      </w:tr>
      <w:tr>
        <w:tc>
          <w:tcPr>
            <w:tcW w:type="dxa" w:w="2736"/>
          </w:tcPr>
          <w:p>
            <w:r/>
            <w:r>
              <w:rPr>
                <w:b w:val="0"/>
                <w:sz w:val="20"/>
              </w:rPr>
              <w:t>Priya, 27 — Screening Analyst</w:t>
            </w:r>
          </w:p>
        </w:tc>
        <w:tc>
          <w:tcPr>
            <w:tcW w:type="dxa" w:w="3168"/>
          </w:tcPr>
          <w:p>
            <w:r/>
            <w:r>
              <w:rPr>
                <w:b w:val="0"/>
                <w:sz w:val="20"/>
              </w:rPr>
              <w:t>Clears 60–90 alerts a day, mostly transliteration false positives; her audit defence currently lives in old email threads.</w:t>
            </w:r>
          </w:p>
        </w:tc>
        <w:tc>
          <w:tcPr>
            <w:tcW w:type="dxa" w:w="3312"/>
          </w:tcPr>
          <w:p>
            <w:r/>
            <w:r>
              <w:rPr>
                <w:b w:val="0"/>
                <w:sz w:val="20"/>
              </w:rPr>
              <w:t>Evidence for every match, not a black-box verdict; a rationale she can write in seconds, not minutes.</w:t>
            </w:r>
          </w:p>
        </w:tc>
      </w:tr>
      <w:tr>
        <w:tc>
          <w:tcPr>
            <w:tcW w:type="dxa" w:w="2736"/>
          </w:tcPr>
          <w:p>
            <w:r/>
            <w:r>
              <w:rPr>
                <w:b w:val="0"/>
                <w:sz w:val="20"/>
              </w:rPr>
              <w:t>Compliance Officer / Analyst</w:t>
            </w:r>
          </w:p>
        </w:tc>
        <w:tc>
          <w:tcPr>
            <w:tcW w:type="dxa" w:w="3168"/>
          </w:tcPr>
          <w:p>
            <w:r/>
            <w:r>
              <w:rPr>
                <w:b w:val="0"/>
                <w:sz w:val="20"/>
              </w:rPr>
              <w:t>Owns the case queue end to end — sanctions, KYC, trade documents, transactions.</w:t>
            </w:r>
          </w:p>
        </w:tc>
        <w:tc>
          <w:tcPr>
            <w:tcW w:type="dxa" w:w="3312"/>
          </w:tcPr>
          <w:p>
            <w:r/>
            <w:r>
              <w:rPr>
                <w:b w:val="0"/>
                <w:sz w:val="20"/>
              </w:rPr>
              <w:t>One consolidated risk score and recommendation per case, full per-agent evidence, and Approve/Hold/Escalate/Reject controls with mandatory rationale on override.</w:t>
            </w:r>
          </w:p>
        </w:tc>
      </w:tr>
      <w:tr>
        <w:tc>
          <w:tcPr>
            <w:tcW w:type="dxa" w:w="2736"/>
          </w:tcPr>
          <w:p>
            <w:r/>
            <w:r>
              <w:rPr>
                <w:b w:val="0"/>
                <w:sz w:val="20"/>
              </w:rPr>
              <w:t>MLRO / Head of Compliance (economic buyer)</w:t>
            </w:r>
          </w:p>
        </w:tc>
        <w:tc>
          <w:tcPr>
            <w:tcW w:type="dxa" w:w="3168"/>
          </w:tcPr>
          <w:p>
            <w:r/>
            <w:r>
              <w:rPr>
                <w:b w:val="0"/>
                <w:sz w:val="20"/>
              </w:rPr>
              <w:t>Answers to the board and to RBI/FIU-IND on audit readiness; buys throughput, not headcount.</w:t>
            </w:r>
          </w:p>
        </w:tc>
        <w:tc>
          <w:tcPr>
            <w:tcW w:type="dxa" w:w="3312"/>
          </w:tcPr>
          <w:p>
            <w:r/>
            <w:r>
              <w:rPr>
                <w:b w:val="0"/>
                <w:sz w:val="20"/>
              </w:rPr>
              <w:t>Portfolio-level metrics, an audit trail that survives inspection, and proof that no automated action was ever taken without a human decision.</w:t>
            </w:r>
          </w:p>
        </w:tc>
      </w:tr>
    </w:tbl>
    <w:p>
      <w:pPr>
        <w:spacing w:after="120"/>
      </w:pPr>
    </w:p>
    <w:p>
      <w:pPr>
        <w:pStyle w:val="Heading1"/>
      </w:pPr>
      <w:r>
        <w:rPr>
          <w:b/>
          <w:color w:val="0B2138"/>
          <w:sz w:val="36"/>
        </w:rPr>
        <w:t>5. Competitive Landscape</w:t>
      </w:r>
    </w:p>
    <w:tbl>
      <w:tblPr>
        <w:tblStyle w:val="TableGrid"/>
        <w:tblW w:type="auto" w:w="0"/>
        <w:jc w:val="center"/>
        <w:tblLook w:firstColumn="1" w:firstRow="1" w:lastColumn="0" w:lastRow="0" w:noHBand="0" w:noVBand="1" w:val="04A0"/>
      </w:tblPr>
      <w:tblGrid>
        <w:gridCol w:w="3216"/>
        <w:gridCol w:w="3216"/>
        <w:gridCol w:w="3216"/>
      </w:tblGrid>
      <w:tr>
        <w:tc>
          <w:tcPr>
            <w:tcW w:type="dxa" w:w="2448"/>
            <w:shd w:val="clear" w:color="auto" w:fill="0B2138"/>
          </w:tcPr>
          <w:p>
            <w:r/>
            <w:r>
              <w:rPr>
                <w:b/>
                <w:color w:val="FFFFFF"/>
                <w:sz w:val="20"/>
              </w:rPr>
              <w:t>Alternative</w:t>
            </w:r>
          </w:p>
        </w:tc>
        <w:tc>
          <w:tcPr>
            <w:tcW w:type="dxa" w:w="3168"/>
            <w:shd w:val="clear" w:color="auto" w:fill="0B2138"/>
          </w:tcPr>
          <w:p>
            <w:r/>
            <w:r>
              <w:rPr>
                <w:b/>
                <w:color w:val="FFFFFF"/>
                <w:sz w:val="20"/>
              </w:rPr>
              <w:t>What it is</w:t>
            </w:r>
          </w:p>
        </w:tc>
        <w:tc>
          <w:tcPr>
            <w:tcW w:type="dxa" w:w="3600"/>
            <w:shd w:val="clear" w:color="auto" w:fill="0B2138"/>
          </w:tcPr>
          <w:p>
            <w:r/>
            <w:r>
              <w:rPr>
                <w:b/>
                <w:color w:val="FFFFFF"/>
                <w:sz w:val="20"/>
              </w:rPr>
              <w:t>Where TradePe wins</w:t>
            </w:r>
          </w:p>
        </w:tc>
      </w:tr>
      <w:tr>
        <w:tc>
          <w:tcPr>
            <w:tcW w:type="dxa" w:w="2448"/>
          </w:tcPr>
          <w:p>
            <w:r/>
            <w:r>
              <w:rPr>
                <w:b w:val="0"/>
                <w:sz w:val="20"/>
              </w:rPr>
              <w:t>Manual portal checks + Excel</w:t>
            </w:r>
          </w:p>
        </w:tc>
        <w:tc>
          <w:tcPr>
            <w:tcW w:type="dxa" w:w="3168"/>
          </w:tcPr>
          <w:p>
            <w:r/>
            <w:r>
              <w:rPr>
                <w:b w:val="0"/>
                <w:sz w:val="20"/>
              </w:rPr>
              <w:t>The actual status quo for most lean teams today — ad hoc watchlist portal lookups, findings tracked in spreadsheets and email.</w:t>
            </w:r>
          </w:p>
        </w:tc>
        <w:tc>
          <w:tcPr>
            <w:tcW w:type="dxa" w:w="3600"/>
          </w:tcPr>
          <w:p>
            <w:r/>
            <w:r>
              <w:rPr>
                <w:b w:val="0"/>
                <w:sz w:val="20"/>
              </w:rPr>
              <w:t>Systematic, continuous, and audit-ready by construction — every action writes an audit row; nothing depends on someone remembering to log a decision.</w:t>
            </w:r>
          </w:p>
        </w:tc>
      </w:tr>
      <w:tr>
        <w:tc>
          <w:tcPr>
            <w:tcW w:type="dxa" w:w="2448"/>
          </w:tcPr>
          <w:p>
            <w:r/>
            <w:r>
              <w:rPr>
                <w:b w:val="0"/>
                <w:sz w:val="20"/>
              </w:rPr>
              <w:t>Enterprise screening suites (Refinitiv World-Check One, ComplyAdvantage, LexisNexis Bridger)</w:t>
            </w:r>
          </w:p>
        </w:tc>
        <w:tc>
          <w:tcPr>
            <w:tcW w:type="dxa" w:w="3168"/>
          </w:tcPr>
          <w:p>
            <w:r/>
            <w:r>
              <w:rPr>
                <w:b w:val="0"/>
                <w:sz w:val="20"/>
              </w:rPr>
              <w:t>Priced and scoped for banks; multi-month integration projects; sanctions/PEP screening only, not the full five-workstream case.</w:t>
            </w:r>
          </w:p>
        </w:tc>
        <w:tc>
          <w:tcPr>
            <w:tcW w:type="dxa" w:w="3600"/>
          </w:tcPr>
          <w:p>
            <w:r/>
            <w:r>
              <w:rPr>
                <w:b w:val="0"/>
                <w:sz w:val="20"/>
              </w:rPr>
              <w:t>Deploys in a day, no integration project, priced for a two-analyst team, and covers KYC + trade documents + transaction monitoring + regulatory context in one case view, not just sanctions.</w:t>
            </w:r>
          </w:p>
        </w:tc>
      </w:tr>
      <w:tr>
        <w:tc>
          <w:tcPr>
            <w:tcW w:type="dxa" w:w="2448"/>
          </w:tcPr>
          <w:p>
            <w:r/>
            <w:r>
              <w:rPr>
                <w:b w:val="0"/>
                <w:sz w:val="20"/>
              </w:rPr>
              <w:t>Enterprise AML case-management (NICE Actimize, SAS AML, Fenergo)</w:t>
            </w:r>
          </w:p>
        </w:tc>
        <w:tc>
          <w:tcPr>
            <w:tcW w:type="dxa" w:w="3168"/>
          </w:tcPr>
          <w:p>
            <w:r/>
            <w:r>
              <w:rPr>
                <w:b w:val="0"/>
                <w:sz w:val="20"/>
              </w:rPr>
              <w:t>Full-suite AML/KYC platforms built for tier-1 institutional compliance departments with dedicated implementation teams.</w:t>
            </w:r>
          </w:p>
        </w:tc>
        <w:tc>
          <w:tcPr>
            <w:tcW w:type="dxa" w:w="3600"/>
          </w:tcPr>
          <w:p>
            <w:r/>
            <w:r>
              <w:rPr>
                <w:b w:val="0"/>
                <w:sz w:val="20"/>
              </w:rPr>
              <w:t>A land-and-expand entry point — start with sanctions, expand to the full Compliance Copilot on the same audit backbone, without a multi-year platform commitment up front.</w:t>
            </w:r>
          </w:p>
        </w:tc>
      </w:tr>
      <w:tr>
        <w:tc>
          <w:tcPr>
            <w:tcW w:type="dxa" w:w="2448"/>
          </w:tcPr>
          <w:p>
            <w:r/>
            <w:r>
              <w:rPr>
                <w:b w:val="0"/>
                <w:sz w:val="20"/>
              </w:rPr>
              <w:t>In-house scripts / point tools</w:t>
            </w:r>
          </w:p>
        </w:tc>
        <w:tc>
          <w:tcPr>
            <w:tcW w:type="dxa" w:w="3168"/>
          </w:tcPr>
          <w:p>
            <w:r/>
            <w:r>
              <w:rPr>
                <w:b w:val="0"/>
                <w:sz w:val="20"/>
              </w:rPr>
              <w:t>Some fintechs build narrow internal tools for one workstream (usually sanctions) and stop there.</w:t>
            </w:r>
          </w:p>
        </w:tc>
        <w:tc>
          <w:tcPr>
            <w:tcW w:type="dxa" w:w="3600"/>
          </w:tcPr>
          <w:p>
            <w:r/>
            <w:r>
              <w:rPr>
                <w:b w:val="0"/>
                <w:sz w:val="20"/>
              </w:rPr>
              <w:t>The Common Agent Contract and two-level orchestration (Level A weighted scoring + Level B hard-stop rules) generalize to new workstreams without a rewrite — proven by adding four more agents on the same architecture.</w:t>
            </w:r>
          </w:p>
        </w:tc>
      </w:tr>
    </w:tbl>
    <w:p>
      <w:pPr>
        <w:spacing w:after="120"/>
      </w:pPr>
    </w:p>
    <w:p>
      <w:pPr>
        <w:spacing w:after="160" w:line="276" w:lineRule="auto"/>
      </w:pPr>
      <w:r>
        <w:rPr>
          <w:i w:val="0"/>
          <w:sz w:val="22"/>
        </w:rPr>
        <w:t>Positioning: between the status quo and the enterprise suites. TradePe is systematic and audit-ready where Excel is not, and fast to deploy and priced for lean teams where the enterprise suites are not.</w:t>
      </w:r>
    </w:p>
    <w:p>
      <w:pPr>
        <w:pStyle w:val="Heading1"/>
      </w:pPr>
      <w:r>
        <w:rPr>
          <w:b/>
          <w:color w:val="0B2138"/>
          <w:sz w:val="36"/>
        </w:rPr>
        <w:t>6. Core Value Proposition</w:t>
      </w:r>
    </w:p>
    <w:p>
      <w:pPr>
        <w:pStyle w:val="Heading2"/>
      </w:pPr>
      <w:r>
        <w:rPr>
          <w:b/>
          <w:color w:val="0F766E"/>
          <w:sz w:val="27"/>
        </w:rPr>
        <w:t>6.1 Value proposition statement</w:t>
      </w:r>
    </w:p>
    <w:p>
      <w:pPr>
        <w:spacing w:after="160" w:line="276" w:lineRule="auto"/>
      </w:pPr>
      <w:r>
        <w:rPr>
          <w:b/>
          <w:i w:val="0"/>
          <w:color w:val="0B2138"/>
          <w:sz w:val="25"/>
        </w:rPr>
        <w:t>For compliance teams handling cross-border trade payments who are drowning in manual, disconnected checks across sanctions, KYC, trade documents, and transactions — TradePe is an AI-assisted Compliance Copilot that combines five specialist checks into one explainable recommendation, unlike enterprise suites that are priced and scoped for banks, or spreadsheets that leave no defensible audit trail. TradePe recommends. The human compliance officer always decides.</w:t>
      </w:r>
    </w:p>
    <w:p>
      <w:pPr>
        <w:pStyle w:val="Heading2"/>
      </w:pPr>
      <w:r>
        <w:rPr>
          <w:b/>
          <w:color w:val="0F766E"/>
          <w:sz w:val="27"/>
        </w:rPr>
        <w:t>6.2 Value Proposition Canvas</w:t>
      </w:r>
    </w:p>
    <w:tbl>
      <w:tblPr>
        <w:tblStyle w:val="TableGrid"/>
        <w:tblW w:type="auto" w:w="0"/>
        <w:jc w:val="center"/>
        <w:tblLook w:firstColumn="1" w:firstRow="1" w:lastColumn="0" w:lastRow="0" w:noHBand="0" w:noVBand="1" w:val="04A0"/>
      </w:tblPr>
      <w:tblGrid>
        <w:gridCol w:w="4824"/>
        <w:gridCol w:w="4824"/>
      </w:tblGrid>
      <w:tr>
        <w:tc>
          <w:tcPr>
            <w:tcW w:type="dxa" w:w="4464"/>
            <w:shd w:val="clear" w:color="auto" w:fill="0B2138"/>
          </w:tcPr>
          <w:p>
            <w:r/>
            <w:r>
              <w:rPr>
                <w:b/>
                <w:color w:val="FFFFFF"/>
                <w:sz w:val="20"/>
              </w:rPr>
              <w:t>Customer Jobs / Pains / Gains</w:t>
            </w:r>
          </w:p>
        </w:tc>
        <w:tc>
          <w:tcPr>
            <w:tcW w:type="dxa" w:w="4464"/>
            <w:shd w:val="clear" w:color="auto" w:fill="0B2138"/>
          </w:tcPr>
          <w:p>
            <w:r/>
            <w:r>
              <w:rPr>
                <w:b/>
                <w:color w:val="FFFFFF"/>
                <w:sz w:val="20"/>
              </w:rPr>
              <w:t>How TradePe Responds</w:t>
            </w:r>
          </w:p>
        </w:tc>
      </w:tr>
      <w:tr>
        <w:tc>
          <w:tcPr>
            <w:tcW w:type="dxa" w:w="4464"/>
          </w:tcPr>
          <w:p>
            <w:r/>
            <w:r>
              <w:rPr>
                <w:b w:val="0"/>
                <w:sz w:val="20"/>
              </w:rPr>
              <w:t>Job: clear a growing case queue without growing headcount.</w:t>
            </w:r>
          </w:p>
        </w:tc>
        <w:tc>
          <w:tcPr>
            <w:tcW w:type="dxa" w:w="4464"/>
          </w:tcPr>
          <w:p>
            <w:r/>
            <w:r>
              <w:rPr>
                <w:b w:val="0"/>
                <w:sz w:val="20"/>
              </w:rPr>
              <w:t>Deterministic weighted scoring + hard-stop rules triage attention automatically — a reviewer's time goes to the cases that actually need it.</w:t>
            </w:r>
          </w:p>
        </w:tc>
      </w:tr>
      <w:tr>
        <w:tc>
          <w:tcPr>
            <w:tcW w:type="dxa" w:w="4464"/>
          </w:tcPr>
          <w:p>
            <w:r/>
            <w:r>
              <w:rPr>
                <w:b w:val="0"/>
                <w:sz w:val="20"/>
              </w:rPr>
              <w:t>Pain: false positives (especially transliteration variants) waste analyst time.</w:t>
            </w:r>
          </w:p>
        </w:tc>
        <w:tc>
          <w:tcPr>
            <w:tcW w:type="dxa" w:w="4464"/>
          </w:tcPr>
          <w:p>
            <w:r/>
            <w:r>
              <w:rPr>
                <w:b w:val="0"/>
                <w:sz w:val="20"/>
              </w:rPr>
              <w:t>Transliteration-aware fuzzy matching with visible evidence — shows *why* a name matched, not just a score.</w:t>
            </w:r>
          </w:p>
        </w:tc>
      </w:tr>
      <w:tr>
        <w:tc>
          <w:tcPr>
            <w:tcW w:type="dxa" w:w="4464"/>
          </w:tcPr>
          <w:p>
            <w:r/>
            <w:r>
              <w:rPr>
                <w:b w:val="0"/>
                <w:sz w:val="20"/>
              </w:rPr>
              <w:t>Pain: a black-box AI verdict is indefensible in front of a regulator.</w:t>
            </w:r>
          </w:p>
        </w:tc>
        <w:tc>
          <w:tcPr>
            <w:tcW w:type="dxa" w:w="4464"/>
          </w:tcPr>
          <w:p>
            <w:r/>
            <w:r>
              <w:rPr>
                <w:b w:val="0"/>
                <w:sz w:val="20"/>
              </w:rPr>
              <w:t>Every recommendation traces to the exact weight or rule that produced it; nothing is computed by an LLM; the audit trail is append-only and complete.</w:t>
            </w:r>
          </w:p>
        </w:tc>
      </w:tr>
      <w:tr>
        <w:tc>
          <w:tcPr>
            <w:tcW w:type="dxa" w:w="4464"/>
          </w:tcPr>
          <w:p>
            <w:r/>
            <w:r>
              <w:rPr>
                <w:b w:val="0"/>
                <w:sz w:val="20"/>
              </w:rPr>
              <w:t>Pain: one serious finding (a confirmed sanctions hit) can get diluted by an otherwise-good average as more checks are added.</w:t>
            </w:r>
          </w:p>
        </w:tc>
        <w:tc>
          <w:tcPr>
            <w:tcW w:type="dxa" w:w="4464"/>
          </w:tcPr>
          <w:p>
            <w:r/>
            <w:r>
              <w:rPr>
                <w:b w:val="0"/>
                <w:sz w:val="20"/>
              </w:rPr>
              <w:t>Level B hard-stop rules and the required-agent safety floor guarantee a severe finding always wins over a good blended score, no matter how many agents participate.</w:t>
            </w:r>
          </w:p>
        </w:tc>
      </w:tr>
      <w:tr>
        <w:tc>
          <w:tcPr>
            <w:tcW w:type="dxa" w:w="4464"/>
          </w:tcPr>
          <w:p>
            <w:r/>
            <w:r>
              <w:rPr>
                <w:b w:val="0"/>
                <w:sz w:val="20"/>
              </w:rPr>
              <w:t>Gain sought: prove to the board / RBI / FIU-IND that no automated action was ever taken without a human decision.</w:t>
            </w:r>
          </w:p>
        </w:tc>
        <w:tc>
          <w:tcPr>
            <w:tcW w:type="dxa" w:w="4464"/>
          </w:tcPr>
          <w:p>
            <w:r/>
            <w:r>
              <w:rPr>
                <w:b w:val="0"/>
                <w:sz w:val="20"/>
              </w:rPr>
              <w:t>Structural, not just stated — the scoring engine has zero LLM calls in its numeric path, and every officer override requires a written rationale, recorded permanently.</w:t>
            </w:r>
          </w:p>
        </w:tc>
      </w:tr>
      <w:tr>
        <w:tc>
          <w:tcPr>
            <w:tcW w:type="dxa" w:w="4464"/>
          </w:tcPr>
          <w:p>
            <w:r/>
            <w:r>
              <w:rPr>
                <w:b w:val="0"/>
                <w:sz w:val="20"/>
              </w:rPr>
              <w:t>Gain sought: add new compliance capability without re-platforming.</w:t>
            </w:r>
          </w:p>
        </w:tc>
        <w:tc>
          <w:tcPr>
            <w:tcW w:type="dxa" w:w="4464"/>
          </w:tcPr>
          <w:p>
            <w:r/>
            <w:r>
              <w:rPr>
                <w:b w:val="0"/>
                <w:sz w:val="20"/>
              </w:rPr>
              <w:t>The Common Agent Contract lets a new specialist agent (Trade Document, Transaction Monitoring, Regulatory Intelligence) plug into the same orchestration layer — proven by shipping four agents on one architecture.</w:t>
            </w:r>
          </w:p>
        </w:tc>
      </w:tr>
    </w:tbl>
    <w:p>
      <w:pPr>
        <w:spacing w:after="120"/>
      </w:pPr>
    </w:p>
    <w:p>
      <w:pPr>
        <w:pStyle w:val="Heading2"/>
      </w:pPr>
      <w:r>
        <w:rPr>
          <w:b/>
          <w:color w:val="0F766E"/>
          <w:sz w:val="27"/>
        </w:rPr>
        <w:t>6.3 Key differentiators</w:t>
      </w:r>
    </w:p>
    <w:p>
      <w:pPr>
        <w:pStyle w:val="ListBullet"/>
        <w:spacing w:after="80"/>
      </w:pPr>
      <w:r>
        <w:rPr>
          <w:sz w:val="22"/>
        </w:rPr>
        <w:t>Five specialist checks, one recommendation — not five separate tools to reconcile by hand.</w:t>
      </w:r>
    </w:p>
    <w:p>
      <w:pPr>
        <w:pStyle w:val="ListBullet"/>
        <w:spacing w:after="80"/>
      </w:pPr>
      <w:r>
        <w:rPr>
          <w:sz w:val="22"/>
        </w:rPr>
        <w:t>Explainable by construction — every score and every hard-stop is traceable to a named rule, never an LLM guess.</w:t>
      </w:r>
    </w:p>
    <w:p>
      <w:pPr>
        <w:pStyle w:val="ListBullet"/>
        <w:spacing w:after="80"/>
      </w:pPr>
      <w:r>
        <w:rPr>
          <w:sz w:val="22"/>
        </w:rPr>
        <w:t>Human-in-the-loop is structural, not a disclaimer — the scoring/rules engine contains no LLM call anywhere in its numeric path.</w:t>
      </w:r>
    </w:p>
    <w:p>
      <w:pPr>
        <w:pStyle w:val="ListBullet"/>
        <w:spacing w:after="80"/>
      </w:pPr>
      <w:r>
        <w:rPr>
          <w:sz w:val="22"/>
        </w:rPr>
        <w:t>Deploys in a day, priced for a lean team — not a multi-month integration project scoped for a bank's budget.</w:t>
      </w:r>
    </w:p>
    <w:p>
      <w:pPr>
        <w:pStyle w:val="ListBullet"/>
        <w:spacing w:after="80"/>
      </w:pPr>
      <w:r>
        <w:rPr>
          <w:sz w:val="22"/>
        </w:rPr>
        <w:t>Land-and-expand architecture — start with Sanctions, expand module by module on the same audit backbone.</w:t>
      </w:r>
    </w:p>
    <w:p>
      <w:pPr>
        <w:pStyle w:val="Heading2"/>
      </w:pPr>
      <w:r>
        <w:rPr>
          <w:b/>
          <w:color w:val="0F766E"/>
          <w:sz w:val="27"/>
        </w:rPr>
        <w:t>6.4 Key messaging pillars</w:t>
      </w:r>
    </w:p>
    <w:p>
      <w:pPr>
        <w:pStyle w:val="ListBullet"/>
        <w:spacing w:after="80"/>
      </w:pPr>
      <w:r>
        <w:rPr>
          <w:sz w:val="22"/>
        </w:rPr>
        <w:t>“Five checks, one recommendation.” — consolidation as the headline benefit, aimed at the Compliance Officer drowning in disconnected tools.</w:t>
      </w:r>
    </w:p>
    <w:p>
      <w:pPr>
        <w:pStyle w:val="ListBullet"/>
        <w:spacing w:after="80"/>
      </w:pPr>
      <w:r>
        <w:rPr>
          <w:sz w:val="22"/>
        </w:rPr>
        <w:t>“See why it matched, see why it was flagged.” — evidence-first, aimed at the analyst who needs a defensible record, not a verdict.</w:t>
      </w:r>
    </w:p>
    <w:p>
      <w:pPr>
        <w:pStyle w:val="ListBullet"/>
        <w:spacing w:after="80"/>
      </w:pPr>
      <w:r>
        <w:rPr>
          <w:sz w:val="22"/>
        </w:rPr>
        <w:t>“TradePe recommends. You decide.” — human-in-the-loop as the regulator-facing message the MLRO needs to hear.</w:t>
      </w:r>
    </w:p>
    <w:p>
      <w:pPr>
        <w:pStyle w:val="Heading1"/>
      </w:pPr>
      <w:r>
        <w:rPr>
          <w:b/>
          <w:color w:val="0B2138"/>
          <w:sz w:val="36"/>
        </w:rPr>
        <w:t>7. Business Value &amp; Why Now</w:t>
      </w:r>
    </w:p>
    <w:p>
      <w:pPr>
        <w:spacing w:after="160" w:line="276" w:lineRule="auto"/>
      </w:pPr>
      <w:r>
        <w:rPr>
          <w:i w:val="0"/>
          <w:sz w:val="22"/>
        </w:rPr>
        <w:t>Stated deliberately without invented ROI figures — no time-saving percentage or cost-reduction claim is made here, none has been measured against a real deployment. What can be said honestly:</w:t>
      </w:r>
    </w:p>
    <w:p>
      <w:pPr>
        <w:pStyle w:val="ListBullet"/>
        <w:spacing w:after="80"/>
      </w:pPr>
      <w:r>
        <w:rPr>
          <w:sz w:val="22"/>
        </w:rPr>
        <w:t>Centralizes five specialist checks that otherwise run as disconnected manual workflows into one consolidated case view.</w:t>
      </w:r>
    </w:p>
    <w:p>
      <w:pPr>
        <w:pStyle w:val="ListBullet"/>
        <w:spacing w:after="80"/>
      </w:pPr>
      <w:r>
        <w:rPr>
          <w:sz w:val="22"/>
        </w:rPr>
        <w:t>Improves explainability — every recommendation is traceable to the exact weight or rule that produced it, with full evidence preserved per agent.</w:t>
      </w:r>
    </w:p>
    <w:p>
      <w:pPr>
        <w:pStyle w:val="ListBullet"/>
        <w:spacing w:after="80"/>
      </w:pPr>
      <w:r>
        <w:rPr>
          <w:sz w:val="22"/>
        </w:rPr>
        <w:t>Prioritizes human attention — the weighted score plus hard-stop rules mean a reviewer's time is drawn to the cases that actually need it.</w:t>
      </w:r>
    </w:p>
    <w:p>
      <w:pPr>
        <w:pStyle w:val="ListBullet"/>
        <w:spacing w:after="80"/>
      </w:pPr>
      <w:r>
        <w:rPr>
          <w:sz w:val="22"/>
        </w:rPr>
        <w:t>Provides consistent decision support — the same inputs always produce the same recommendation, removing inconsistency inherent to ad hoc manual review.</w:t>
      </w:r>
    </w:p>
    <w:p>
      <w:pPr>
        <w:pStyle w:val="ListBullet"/>
        <w:spacing w:after="80"/>
      </w:pPr>
      <w:r>
        <w:rPr>
          <w:sz w:val="22"/>
        </w:rPr>
        <w:t>Retains human accountability throughout — no automated action is ever taken; every decision is a recorded human act.</w:t>
      </w:r>
    </w:p>
    <w:p>
      <w:pPr>
        <w:spacing w:after="160" w:line="276" w:lineRule="auto"/>
      </w:pPr>
      <w:r>
        <w:rPr>
          <w:i w:val="0"/>
          <w:sz w:val="22"/>
        </w:rPr>
        <w:t>“Why now” is a market-timing argument, not a product one: trade volume is growing faster than compliance headcount, FATF is explicitly pushing India's regulators toward stricter, more frequent AML enforcement, and the India RegTech market is independently forecast to grow 16–24% annually through the early 2030s. The tailwind exists regardless of any one vendor's execution.</w:t>
      </w:r>
    </w:p>
    <w:p>
      <w:pPr>
        <w:pStyle w:val="Heading1"/>
      </w:pPr>
      <w:r>
        <w:rPr>
          <w:b/>
          <w:color w:val="0B2138"/>
          <w:sz w:val="36"/>
        </w:rPr>
        <w:t>8. Pricing &amp; Go-to-Market</w:t>
      </w:r>
    </w:p>
    <w:p>
      <w:pPr>
        <w:pStyle w:val="Heading2"/>
      </w:pPr>
      <w:r>
        <w:rPr>
          <w:b/>
          <w:color w:val="0F766E"/>
          <w:sz w:val="27"/>
        </w:rPr>
        <w:t>8.1 Pricing (illustrative, land-and-expand)</w:t>
      </w:r>
    </w:p>
    <w:p>
      <w:pPr>
        <w:pStyle w:val="ListBullet"/>
        <w:spacing w:after="80"/>
      </w:pPr>
      <w:r>
        <w:rPr>
          <w:sz w:val="22"/>
        </w:rPr>
        <w:t>Design-partner pilots free for 60–90 days against agreed success metrics (time-to-disposition, rationale coverage).</w:t>
      </w:r>
    </w:p>
    <w:p>
      <w:pPr>
        <w:pStyle w:val="ListBullet"/>
        <w:spacing w:after="80"/>
      </w:pPr>
      <w:r>
        <w:rPr>
          <w:sz w:val="22"/>
        </w:rPr>
        <w:t>Per-seat SaaS at approximately ₹12,000–₹15,000 per analyst per month — a fraction of enterprise screening seat pricing.</w:t>
      </w:r>
    </w:p>
    <w:p>
      <w:pPr>
        <w:pStyle w:val="ListBullet"/>
        <w:spacing w:after="80"/>
      </w:pPr>
      <w:r>
        <w:rPr>
          <w:sz w:val="22"/>
        </w:rPr>
        <w:t>Volume-based screening packs for API/batch use beyond the seat-based tier.</w:t>
      </w:r>
    </w:p>
    <w:p>
      <w:pPr>
        <w:pStyle w:val="ListBullet"/>
        <w:spacing w:after="80"/>
      </w:pPr>
      <w:r>
        <w:rPr>
          <w:sz w:val="22"/>
        </w:rPr>
        <w:t>Expansion revenue from additional Copilot modules (Customer Risk, Trade Document, Transaction Monitoring, Regulatory Intelligence) on the same audit backbone — land with Sanctions, expand to the full Compliance Copilot.</w:t>
      </w:r>
    </w:p>
    <w:p>
      <w:pPr>
        <w:pStyle w:val="Heading2"/>
      </w:pPr>
      <w:r>
        <w:rPr>
          <w:b/>
          <w:color w:val="0F766E"/>
          <w:sz w:val="27"/>
        </w:rPr>
        <w:t>8.2 Go-to-market phasing</w:t>
      </w:r>
    </w:p>
    <w:tbl>
      <w:tblPr>
        <w:tblStyle w:val="TableGrid"/>
        <w:tblW w:type="auto" w:w="0"/>
        <w:jc w:val="center"/>
        <w:tblLook w:firstColumn="1" w:firstRow="1" w:lastColumn="0" w:lastRow="0" w:noHBand="0" w:noVBand="1" w:val="04A0"/>
      </w:tblPr>
      <w:tblGrid>
        <w:gridCol w:w="3216"/>
        <w:gridCol w:w="3216"/>
        <w:gridCol w:w="3216"/>
      </w:tblGrid>
      <w:tr>
        <w:tc>
          <w:tcPr>
            <w:tcW w:type="dxa" w:w="2736"/>
            <w:shd w:val="clear" w:color="auto" w:fill="0B2138"/>
          </w:tcPr>
          <w:p>
            <w:r/>
            <w:r>
              <w:rPr>
                <w:b/>
                <w:color w:val="FFFFFF"/>
                <w:sz w:val="20"/>
              </w:rPr>
              <w:t>Phase</w:t>
            </w:r>
          </w:p>
        </w:tc>
        <w:tc>
          <w:tcPr>
            <w:tcW w:type="dxa" w:w="2016"/>
            <w:shd w:val="clear" w:color="auto" w:fill="0B2138"/>
          </w:tcPr>
          <w:p>
            <w:r/>
            <w:r>
              <w:rPr>
                <w:b/>
                <w:color w:val="FFFFFF"/>
                <w:sz w:val="20"/>
              </w:rPr>
              <w:t>Timing</w:t>
            </w:r>
          </w:p>
        </w:tc>
        <w:tc>
          <w:tcPr>
            <w:tcW w:type="dxa" w:w="4464"/>
            <w:shd w:val="clear" w:color="auto" w:fill="0B2138"/>
          </w:tcPr>
          <w:p>
            <w:r/>
            <w:r>
              <w:rPr>
                <w:b/>
                <w:color w:val="FFFFFF"/>
                <w:sz w:val="20"/>
              </w:rPr>
              <w:t>Focus</w:t>
            </w:r>
          </w:p>
        </w:tc>
      </w:tr>
      <w:tr>
        <w:tc>
          <w:tcPr>
            <w:tcW w:type="dxa" w:w="2736"/>
          </w:tcPr>
          <w:p>
            <w:r/>
            <w:r>
              <w:rPr>
                <w:b w:val="0"/>
                <w:sz w:val="20"/>
              </w:rPr>
              <w:t>Phase 0 — Prove it</w:t>
            </w:r>
          </w:p>
        </w:tc>
        <w:tc>
          <w:tcPr>
            <w:tcW w:type="dxa" w:w="2016"/>
          </w:tcPr>
          <w:p>
            <w:r/>
            <w:r>
              <w:rPr>
                <w:b w:val="0"/>
                <w:sz w:val="20"/>
              </w:rPr>
              <w:t>Weeks 1–4</w:t>
            </w:r>
          </w:p>
        </w:tc>
        <w:tc>
          <w:tcPr>
            <w:tcW w:type="dxa" w:w="4464"/>
          </w:tcPr>
          <w:p>
            <w:r/>
            <w:r>
              <w:rPr>
                <w:b w:val="0"/>
                <w:sz w:val="20"/>
              </w:rPr>
              <w:t>3 design-partner pilots sourced via fintech compliance forums and institute network; baseline time-to-disposition and rationale coverage per team.</w:t>
            </w:r>
          </w:p>
        </w:tc>
      </w:tr>
      <w:tr>
        <w:tc>
          <w:tcPr>
            <w:tcW w:type="dxa" w:w="2736"/>
          </w:tcPr>
          <w:p>
            <w:r/>
            <w:r>
              <w:rPr>
                <w:b w:val="0"/>
                <w:sz w:val="20"/>
              </w:rPr>
              <w:t>Phase 1 — Case-study-led launch</w:t>
            </w:r>
          </w:p>
        </w:tc>
        <w:tc>
          <w:tcPr>
            <w:tcW w:type="dxa" w:w="2016"/>
          </w:tcPr>
          <w:p>
            <w:r/>
            <w:r>
              <w:rPr>
                <w:b w:val="0"/>
                <w:sz w:val="20"/>
              </w:rPr>
              <w:t>Weeks 5–12</w:t>
            </w:r>
          </w:p>
        </w:tc>
        <w:tc>
          <w:tcPr>
            <w:tcW w:type="dxa" w:w="4464"/>
          </w:tcPr>
          <w:p>
            <w:r/>
            <w:r>
              <w:rPr>
                <w:b w:val="0"/>
                <w:sz w:val="20"/>
              </w:rPr>
              <w:t>Publish pilot results; founder-led outreach on LinkedIn and compliance communities (ACAMS India, Fintech Convergence Council); a practical “sanctions screening under FEMA” checklist and an MLRO webinar as the content engine.</w:t>
            </w:r>
          </w:p>
        </w:tc>
      </w:tr>
      <w:tr>
        <w:tc>
          <w:tcPr>
            <w:tcW w:type="dxa" w:w="2736"/>
          </w:tcPr>
          <w:p>
            <w:r/>
            <w:r>
              <w:rPr>
                <w:b w:val="0"/>
                <w:sz w:val="20"/>
              </w:rPr>
              <w:t>Phase 2 — Expand</w:t>
            </w:r>
          </w:p>
        </w:tc>
        <w:tc>
          <w:tcPr>
            <w:tcW w:type="dxa" w:w="2016"/>
          </w:tcPr>
          <w:p>
            <w:r/>
            <w:r>
              <w:rPr>
                <w:b w:val="0"/>
                <w:sz w:val="20"/>
              </w:rPr>
              <w:t>Month 4+</w:t>
            </w:r>
          </w:p>
        </w:tc>
        <w:tc>
          <w:tcPr>
            <w:tcW w:type="dxa" w:w="4464"/>
          </w:tcPr>
          <w:p>
            <w:r/>
            <w:r>
              <w:rPr>
                <w:b w:val="0"/>
                <w:sz w:val="20"/>
              </w:rPr>
              <w:t>Introduce Customer Risk and Trade Document modules to existing accounts; begin AD-bank-adjacent compliance-consultant partnerships as a sales multiplier.</w:t>
            </w:r>
          </w:p>
        </w:tc>
      </w:tr>
    </w:tbl>
    <w:p>
      <w:pPr>
        <w:spacing w:after="120"/>
      </w:pPr>
    </w:p>
    <w:p>
      <w:pPr>
        <w:spacing w:after="160" w:line="276" w:lineRule="auto"/>
      </w:pPr>
      <w:r>
        <w:rPr>
          <w:i w:val="0"/>
          <w:sz w:val="22"/>
        </w:rPr>
        <w:t>Illustrative launch metrics: time-to-disposition down 50% vs. baseline; 100% of cleared hits carry a documented rationale; 2 of 3 pilots convert to paid; 25 qualified demos within 90 days of launch.</w:t>
      </w:r>
    </w:p>
    <w:p>
      <w:pPr>
        <w:pStyle w:val="Heading1"/>
      </w:pPr>
      <w:r>
        <w:rPr>
          <w:b/>
          <w:color w:val="0B2138"/>
          <w:sz w:val="36"/>
        </w:rPr>
        <w:t>9. Assumptions Requiring Validation</w:t>
      </w:r>
    </w:p>
    <w:p>
      <w:pPr>
        <w:spacing w:after="160" w:line="276" w:lineRule="auto"/>
      </w:pPr>
      <w:r>
        <w:rPr>
          <w:i w:val="0"/>
          <w:sz w:val="22"/>
        </w:rPr>
        <w:t>Consistent with this project's own documentation discipline (nothing here is presented as verified fact beyond what is actually cited):</w:t>
      </w:r>
    </w:p>
    <w:p>
      <w:pPr>
        <w:pStyle w:val="ListBullet"/>
        <w:spacing w:after="80"/>
      </w:pPr>
      <w:r>
        <w:rPr>
          <w:sz w:val="22"/>
        </w:rPr>
        <w:t>Market sizing in Section 3 is a bottom-up planning estimate cross-checked against third-party TAM figures — it has not been validated against a primary customer survey or a paid market-research report.</w:t>
      </w:r>
    </w:p>
    <w:p>
      <w:pPr>
        <w:pStyle w:val="ListBullet"/>
        <w:spacing w:after="80"/>
      </w:pPr>
      <w:r>
        <w:rPr>
          <w:sz w:val="22"/>
        </w:rPr>
        <w:t>The ~100 AD Category-I bank count is current as of the cited source (September 2024) and excludes AD Category-II/III entities and NBFCs, which are not separately quantified here.</w:t>
      </w:r>
    </w:p>
    <w:p>
      <w:pPr>
        <w:pStyle w:val="ListBullet"/>
        <w:spacing w:after="80"/>
      </w:pPr>
      <w:r>
        <w:rPr>
          <w:sz w:val="22"/>
        </w:rPr>
        <w:t>Pricing figures are carried forward from the original ScreenDesk (single-agent) product marketing strategy and have not been re-validated for the full five-agent TradePe product.</w:t>
      </w:r>
    </w:p>
    <w:p>
      <w:pPr>
        <w:pStyle w:val="ListBullet"/>
        <w:spacing w:after="80"/>
      </w:pPr>
      <w:r>
        <w:rPr>
          <w:sz w:val="22"/>
        </w:rPr>
        <w:t>Competitive positioning is based on public knowledge of named vendors' market position, not a formal win/loss analysis or direct feature comparison.</w:t>
      </w:r>
    </w:p>
    <w:p>
      <w:pPr>
        <w:pStyle w:val="ListBullet"/>
        <w:spacing w:after="80"/>
      </w:pPr>
      <w:r>
        <w:rPr>
          <w:sz w:val="22"/>
        </w:rPr>
        <w:t>No customer discovery interviews specific to this document are cited — the personas in Section 4.2 are carried forward from the original project's approved planning documentation.</w:t>
      </w:r>
    </w:p>
    <w:p>
      <w:pPr>
        <w:pStyle w:val="Heading1"/>
      </w:pPr>
      <w:r>
        <w:rPr>
          <w:b/>
          <w:color w:val="0B2138"/>
          <w:sz w:val="36"/>
        </w:rPr>
        <w:t>10. Sources</w:t>
      </w:r>
    </w:p>
    <w:p>
      <w:pPr>
        <w:pStyle w:val="ListBullet"/>
        <w:spacing w:after="60"/>
      </w:pPr>
      <w:r>
        <w:rPr>
          <w:sz w:val="19"/>
        </w:rPr>
        <w:t xml:space="preserve">PIB / Ministry of Commerce and Industry — India cumulative exports FY2025-26 — </w:t>
      </w:r>
      <w:r>
        <w:rPr>
          <w:color w:val="0F766E"/>
          <w:sz w:val="19"/>
        </w:rPr>
        <w:t>https://www.pib.gov.in/PressReleasePage.aspx?PRID=2252272&amp;lang=1&amp;reg=3</w:t>
      </w:r>
    </w:p>
    <w:p>
      <w:pPr>
        <w:pStyle w:val="ListBullet"/>
        <w:spacing w:after="60"/>
      </w:pPr>
      <w:r>
        <w:rPr>
          <w:sz w:val="19"/>
        </w:rPr>
        <w:t xml:space="preserve">India-Briefing — India's Export Growth FY 2025-26: Key Statistics and Trade Data — </w:t>
      </w:r>
      <w:r>
        <w:rPr>
          <w:color w:val="0F766E"/>
          <w:sz w:val="19"/>
        </w:rPr>
        <w:t>https://www.india-briefing.com/news/india-export-import-trade-data-fy-2025-26-44190.html/</w:t>
      </w:r>
    </w:p>
    <w:p>
      <w:pPr>
        <w:pStyle w:val="ListBullet"/>
        <w:spacing w:after="60"/>
      </w:pPr>
      <w:r>
        <w:rPr>
          <w:sz w:val="19"/>
        </w:rPr>
        <w:t xml:space="preserve">360TF — India Total Exports FY 2025-26 Reach $860 Billion — </w:t>
      </w:r>
      <w:r>
        <w:rPr>
          <w:color w:val="0F766E"/>
          <w:sz w:val="19"/>
        </w:rPr>
        <w:t>https://www.360tf.trade/india-total-exports-fy-2025-26-860-billion/</w:t>
      </w:r>
    </w:p>
    <w:p>
      <w:pPr>
        <w:pStyle w:val="ListBullet"/>
        <w:spacing w:after="60"/>
      </w:pPr>
      <w:r>
        <w:rPr>
          <w:sz w:val="19"/>
        </w:rPr>
        <w:t xml:space="preserve">DGCIS — Quarterly Review of Merchandise Foreign Trade, Q2 FY2025-26 — </w:t>
      </w:r>
      <w:r>
        <w:rPr>
          <w:color w:val="0F766E"/>
          <w:sz w:val="19"/>
        </w:rPr>
        <w:t>https://dgciskol.gov.in/writereaddata/Downloads/20251204165537QRMFT%20Q2%20of%20FY%2025-26.pdf</w:t>
      </w:r>
    </w:p>
    <w:p>
      <w:pPr>
        <w:pStyle w:val="ListBullet"/>
        <w:spacing w:after="60"/>
      </w:pPr>
      <w:r>
        <w:rPr>
          <w:sz w:val="19"/>
        </w:rPr>
        <w:t xml:space="preserve">MarketsandMarkets — Anti-Money Laundering Solutions Market Report 2025-2030 — </w:t>
      </w:r>
      <w:r>
        <w:rPr>
          <w:color w:val="0F766E"/>
          <w:sz w:val="19"/>
        </w:rPr>
        <w:t>https://www.marketsandmarkets.com/Market-Reports/anti-money-laundering-solutions-market-95490454.html</w:t>
      </w:r>
    </w:p>
    <w:p>
      <w:pPr>
        <w:pStyle w:val="ListBullet"/>
        <w:spacing w:after="60"/>
      </w:pPr>
      <w:r>
        <w:rPr>
          <w:sz w:val="19"/>
        </w:rPr>
        <w:t xml:space="preserve">Fortune Business Insights — Anti-Money Laundering Software Market Size &amp; Share — </w:t>
      </w:r>
      <w:r>
        <w:rPr>
          <w:color w:val="0F766E"/>
          <w:sz w:val="19"/>
        </w:rPr>
        <w:t>https://www.fortunebusinessinsights.com/anti-money-laundering-software-market-107106</w:t>
      </w:r>
    </w:p>
    <w:p>
      <w:pPr>
        <w:pStyle w:val="ListBullet"/>
        <w:spacing w:after="60"/>
      </w:pPr>
      <w:r>
        <w:rPr>
          <w:sz w:val="19"/>
        </w:rPr>
        <w:t xml:space="preserve">IMARC Group — India RegTech Market Size Report, 2034 — </w:t>
      </w:r>
      <w:r>
        <w:rPr>
          <w:color w:val="0F766E"/>
          <w:sz w:val="19"/>
        </w:rPr>
        <w:t>https://www.imarcgroup.com/india-regtech-market</w:t>
      </w:r>
    </w:p>
    <w:p>
      <w:pPr>
        <w:pStyle w:val="ListBullet"/>
        <w:spacing w:after="60"/>
      </w:pPr>
      <w:r>
        <w:rPr>
          <w:sz w:val="19"/>
        </w:rPr>
        <w:t xml:space="preserve">Research and Markets — India RegTech Market Size, Competitors &amp; Forecast to 2029 — </w:t>
      </w:r>
      <w:r>
        <w:rPr>
          <w:color w:val="0F766E"/>
          <w:sz w:val="19"/>
        </w:rPr>
        <w:t>https://www.researchandmarkets.com/report/india-regtech-market</w:t>
      </w:r>
    </w:p>
    <w:p>
      <w:pPr>
        <w:pStyle w:val="ListBullet"/>
        <w:spacing w:after="60"/>
      </w:pPr>
      <w:r>
        <w:rPr>
          <w:sz w:val="19"/>
        </w:rPr>
        <w:t xml:space="preserve">Ken Research — India RegTech and Compliance SaaS Market — </w:t>
      </w:r>
      <w:r>
        <w:rPr>
          <w:color w:val="0F766E"/>
          <w:sz w:val="19"/>
        </w:rPr>
        <w:t>https://www.kenresearch.com/india-regtech-and-compliance-saas-market</w:t>
      </w:r>
    </w:p>
    <w:p>
      <w:pPr>
        <w:pStyle w:val="ListBullet"/>
        <w:spacing w:after="60"/>
      </w:pPr>
      <w:r>
        <w:rPr>
          <w:sz w:val="19"/>
        </w:rPr>
        <w:t xml:space="preserve">LexisNexis Risk Solutions — FATF Insights: AML/CFT Compliance in India — </w:t>
      </w:r>
      <w:r>
        <w:rPr>
          <w:color w:val="0F766E"/>
          <w:sz w:val="19"/>
        </w:rPr>
        <w:t>https://risk.lexisnexis.com/insights-resources/article/fatf-new-findings-aml-cft-compliance-india</w:t>
      </w:r>
    </w:p>
    <w:p>
      <w:pPr>
        <w:pStyle w:val="ListBullet"/>
        <w:spacing w:after="60"/>
      </w:pPr>
      <w:r>
        <w:rPr>
          <w:sz w:val="19"/>
        </w:rPr>
        <w:t xml:space="preserve">PolicyEdge — RBI Reinforces FATF Rules: Strengthen Due-Diligence — </w:t>
      </w:r>
      <w:r>
        <w:rPr>
          <w:color w:val="0F766E"/>
          <w:sz w:val="19"/>
        </w:rPr>
        <w:t>https://www.policyedge.in/p/rbi-reinforces-fatf-financial-action</w:t>
      </w:r>
    </w:p>
    <w:p>
      <w:pPr>
        <w:pStyle w:val="ListBullet"/>
        <w:spacing w:after="60"/>
      </w:pPr>
      <w:r>
        <w:rPr>
          <w:sz w:val="19"/>
        </w:rPr>
        <w:t xml:space="preserve">FATF — Anti-money laundering and counter-terrorist financing measures: India, Mutual Evaluation Report — </w:t>
      </w:r>
      <w:r>
        <w:rPr>
          <w:color w:val="0F766E"/>
          <w:sz w:val="19"/>
        </w:rPr>
        <w:t>https://www.fatf-gafi.org/content/dam/fatf-gafi/mer/India-MER-2024.pdf.coredownload.inline.pdf</w:t>
      </w:r>
    </w:p>
    <w:p>
      <w:pPr>
        <w:pStyle w:val="ListBullet"/>
        <w:spacing w:after="60"/>
      </w:pPr>
      <w:r>
        <w:rPr>
          <w:sz w:val="19"/>
        </w:rPr>
        <w:t xml:space="preserve">Razorpay — AD Category 1 Banks: Comprehensive Guide for India's Foreign Exchange — </w:t>
      </w:r>
      <w:r>
        <w:rPr>
          <w:color w:val="0F766E"/>
          <w:sz w:val="19"/>
        </w:rPr>
        <w:t>https://razorpay.com/blog/ad-category-1-banks-india-guide/</w:t>
      </w:r>
    </w:p>
    <w:p>
      <w:pPr>
        <w:pStyle w:val="ListBullet"/>
        <w:spacing w:after="60"/>
      </w:pPr>
      <w:r>
        <w:rPr>
          <w:sz w:val="19"/>
        </w:rPr>
        <w:t xml:space="preserve">Planet Exim — Exim Directory: Importer Exporter Code Holders (illustrative directory count only, not an official DGFT figure) — </w:t>
      </w:r>
      <w:r>
        <w:rPr>
          <w:color w:val="0F766E"/>
          <w:sz w:val="19"/>
        </w:rPr>
        <w:t>https://www.planetexim.net/export-import/directory.html</w:t>
      </w:r>
    </w:p>
    <w:p>
      <w:pPr>
        <w:pStyle w:val="ListBullet"/>
        <w:spacing w:after="60"/>
      </w:pPr>
      <w:r>
        <w:rPr>
          <w:sz w:val="19"/>
        </w:rPr>
        <w:t xml:space="preserve">TradePe Team Documentation — 01_PROJECT_CONTEXT.md, product_marketing_strategy.md, TRADEPE_FINAL_AS_BUILT_MASTER.md §29 — </w:t>
      </w:r>
      <w:r>
        <w:rPr>
          <w:color w:val="0F766E"/>
          <w:sz w:val="19"/>
        </w:rPr>
        <w:t>internal capstone documentation package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