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3A0D74" w:rsidRDefault="009E4142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 w:rsidR="00B44FBE">
        <w:instrText xml:space="preserve"> </w:instrText>
      </w:r>
      <w:r w:rsidR="00B44FBE">
        <w:rPr>
          <w:rFonts w:hint="eastAsia"/>
        </w:rPr>
        <w:instrText>TOC \o "1-3" \h \z \u</w:instrText>
      </w:r>
      <w:r w:rsidR="00B44FBE">
        <w:instrText xml:space="preserve"> </w:instrText>
      </w:r>
      <w:r>
        <w:fldChar w:fldCharType="separate"/>
      </w:r>
      <w:hyperlink w:anchor="_Toc469869026" w:history="1">
        <w:r w:rsidR="003A0D74" w:rsidRPr="003E4C6F">
          <w:rPr>
            <w:rStyle w:val="a7"/>
            <w:rFonts w:hint="eastAsia"/>
          </w:rPr>
          <w:t>第一章 引言</w:t>
        </w:r>
        <w:r w:rsidR="003A0D74">
          <w:rPr>
            <w:webHidden/>
          </w:rPr>
          <w:tab/>
        </w:r>
        <w:r w:rsidR="003A0D74">
          <w:rPr>
            <w:webHidden/>
          </w:rPr>
          <w:fldChar w:fldCharType="begin"/>
        </w:r>
        <w:r w:rsidR="003A0D74">
          <w:rPr>
            <w:webHidden/>
          </w:rPr>
          <w:instrText xml:space="preserve"> PAGEREF _Toc469869026 \h </w:instrText>
        </w:r>
        <w:r w:rsidR="003A0D74">
          <w:rPr>
            <w:webHidden/>
          </w:rPr>
        </w:r>
        <w:r w:rsidR="003A0D74">
          <w:rPr>
            <w:webHidden/>
          </w:rPr>
          <w:fldChar w:fldCharType="separate"/>
        </w:r>
        <w:r w:rsidR="003A0D74">
          <w:rPr>
            <w:webHidden/>
          </w:rPr>
          <w:t>1</w:t>
        </w:r>
        <w:r w:rsidR="003A0D74">
          <w:rPr>
            <w:webHidden/>
          </w:rPr>
          <w:fldChar w:fldCharType="end"/>
        </w:r>
      </w:hyperlink>
    </w:p>
    <w:p w:rsidR="003A0D74" w:rsidRDefault="00A6614B">
      <w:pPr>
        <w:pStyle w:val="20"/>
        <w:tabs>
          <w:tab w:val="left" w:pos="840"/>
          <w:tab w:val="right" w:leader="dot" w:pos="8210"/>
        </w:tabs>
        <w:rPr>
          <w:noProof/>
          <w:kern w:val="2"/>
          <w:sz w:val="21"/>
        </w:rPr>
      </w:pPr>
      <w:hyperlink w:anchor="_Toc469869027" w:history="1">
        <w:r w:rsidR="003A0D74" w:rsidRPr="003E4C6F">
          <w:rPr>
            <w:rStyle w:val="a7"/>
            <w:rFonts w:ascii="黑体" w:eastAsia="黑体" w:hAnsi="黑体"/>
            <w:noProof/>
          </w:rPr>
          <w:t>1.1</w:t>
        </w:r>
        <w:r w:rsidR="003A0D74">
          <w:rPr>
            <w:noProof/>
            <w:kern w:val="2"/>
            <w:sz w:val="21"/>
          </w:rPr>
          <w:tab/>
        </w:r>
        <w:r w:rsidR="003A0D74" w:rsidRPr="003E4C6F">
          <w:rPr>
            <w:rStyle w:val="a7"/>
            <w:rFonts w:ascii="黑体" w:eastAsia="黑体" w:hAnsi="黑体" w:hint="eastAsia"/>
            <w:noProof/>
          </w:rPr>
          <w:t>选题背景</w:t>
        </w:r>
        <w:r w:rsidR="003A0D74">
          <w:rPr>
            <w:noProof/>
            <w:webHidden/>
          </w:rPr>
          <w:tab/>
        </w:r>
        <w:r w:rsidR="003A0D74">
          <w:rPr>
            <w:noProof/>
            <w:webHidden/>
          </w:rPr>
          <w:fldChar w:fldCharType="begin"/>
        </w:r>
        <w:r w:rsidR="003A0D74">
          <w:rPr>
            <w:noProof/>
            <w:webHidden/>
          </w:rPr>
          <w:instrText xml:space="preserve"> PAGEREF _Toc469869027 \h </w:instrText>
        </w:r>
        <w:r w:rsidR="003A0D74">
          <w:rPr>
            <w:noProof/>
            <w:webHidden/>
          </w:rPr>
        </w:r>
        <w:r w:rsidR="003A0D74">
          <w:rPr>
            <w:noProof/>
            <w:webHidden/>
          </w:rPr>
          <w:fldChar w:fldCharType="separate"/>
        </w:r>
        <w:r w:rsidR="003A0D74">
          <w:rPr>
            <w:noProof/>
            <w:webHidden/>
          </w:rPr>
          <w:t>1</w:t>
        </w:r>
        <w:r w:rsidR="003A0D74">
          <w:rPr>
            <w:noProof/>
            <w:webHidden/>
          </w:rPr>
          <w:fldChar w:fldCharType="end"/>
        </w:r>
      </w:hyperlink>
    </w:p>
    <w:p w:rsidR="003A0D74" w:rsidRDefault="00A6614B">
      <w:pPr>
        <w:pStyle w:val="20"/>
        <w:tabs>
          <w:tab w:val="left" w:pos="840"/>
          <w:tab w:val="right" w:leader="dot" w:pos="8210"/>
        </w:tabs>
        <w:rPr>
          <w:noProof/>
          <w:kern w:val="2"/>
          <w:sz w:val="21"/>
        </w:rPr>
      </w:pPr>
      <w:hyperlink w:anchor="_Toc469869028" w:history="1">
        <w:r w:rsidR="003A0D74" w:rsidRPr="003E4C6F">
          <w:rPr>
            <w:rStyle w:val="a7"/>
            <w:rFonts w:ascii="黑体" w:eastAsia="黑体" w:hAnsi="黑体"/>
            <w:noProof/>
          </w:rPr>
          <w:t>1.2</w:t>
        </w:r>
        <w:r w:rsidR="003A0D74">
          <w:rPr>
            <w:noProof/>
            <w:kern w:val="2"/>
            <w:sz w:val="21"/>
          </w:rPr>
          <w:tab/>
        </w:r>
        <w:r w:rsidR="003A0D74" w:rsidRPr="003E4C6F">
          <w:rPr>
            <w:rStyle w:val="a7"/>
            <w:rFonts w:ascii="黑体" w:eastAsia="黑体" w:hAnsi="黑体" w:hint="eastAsia"/>
            <w:noProof/>
          </w:rPr>
          <w:t>国内外研究现状</w:t>
        </w:r>
        <w:r w:rsidR="003A0D74">
          <w:rPr>
            <w:noProof/>
            <w:webHidden/>
          </w:rPr>
          <w:tab/>
        </w:r>
        <w:r w:rsidR="003A0D74">
          <w:rPr>
            <w:noProof/>
            <w:webHidden/>
          </w:rPr>
          <w:fldChar w:fldCharType="begin"/>
        </w:r>
        <w:r w:rsidR="003A0D74">
          <w:rPr>
            <w:noProof/>
            <w:webHidden/>
          </w:rPr>
          <w:instrText xml:space="preserve"> PAGEREF _Toc469869028 \h </w:instrText>
        </w:r>
        <w:r w:rsidR="003A0D74">
          <w:rPr>
            <w:noProof/>
            <w:webHidden/>
          </w:rPr>
        </w:r>
        <w:r w:rsidR="003A0D74">
          <w:rPr>
            <w:noProof/>
            <w:webHidden/>
          </w:rPr>
          <w:fldChar w:fldCharType="separate"/>
        </w:r>
        <w:r w:rsidR="003A0D74">
          <w:rPr>
            <w:noProof/>
            <w:webHidden/>
          </w:rPr>
          <w:t>3</w:t>
        </w:r>
        <w:r w:rsidR="003A0D74">
          <w:rPr>
            <w:noProof/>
            <w:webHidden/>
          </w:rPr>
          <w:fldChar w:fldCharType="end"/>
        </w:r>
      </w:hyperlink>
    </w:p>
    <w:p w:rsidR="003A0D74" w:rsidRDefault="00A6614B">
      <w:pPr>
        <w:pStyle w:val="20"/>
        <w:tabs>
          <w:tab w:val="left" w:pos="840"/>
          <w:tab w:val="right" w:leader="dot" w:pos="8210"/>
        </w:tabs>
        <w:rPr>
          <w:noProof/>
          <w:kern w:val="2"/>
          <w:sz w:val="21"/>
        </w:rPr>
      </w:pPr>
      <w:hyperlink w:anchor="_Toc469869029" w:history="1">
        <w:r w:rsidR="003A0D74" w:rsidRPr="003E4C6F">
          <w:rPr>
            <w:rStyle w:val="a7"/>
            <w:rFonts w:ascii="黑体" w:eastAsia="黑体" w:hAnsi="黑体"/>
            <w:noProof/>
          </w:rPr>
          <w:t>1.3</w:t>
        </w:r>
        <w:r w:rsidR="003A0D74">
          <w:rPr>
            <w:noProof/>
            <w:kern w:val="2"/>
            <w:sz w:val="21"/>
          </w:rPr>
          <w:tab/>
        </w:r>
        <w:r w:rsidR="003A0D74" w:rsidRPr="003E4C6F">
          <w:rPr>
            <w:rStyle w:val="a7"/>
            <w:rFonts w:ascii="黑体" w:eastAsia="黑体" w:hAnsi="黑体" w:hint="eastAsia"/>
            <w:noProof/>
          </w:rPr>
          <w:t>研究的目的和意义</w:t>
        </w:r>
        <w:r w:rsidR="003A0D74">
          <w:rPr>
            <w:noProof/>
            <w:webHidden/>
          </w:rPr>
          <w:tab/>
        </w:r>
        <w:r w:rsidR="003A0D74">
          <w:rPr>
            <w:noProof/>
            <w:webHidden/>
          </w:rPr>
          <w:fldChar w:fldCharType="begin"/>
        </w:r>
        <w:r w:rsidR="003A0D74">
          <w:rPr>
            <w:noProof/>
            <w:webHidden/>
          </w:rPr>
          <w:instrText xml:space="preserve"> PAGEREF _Toc469869029 \h </w:instrText>
        </w:r>
        <w:r w:rsidR="003A0D74">
          <w:rPr>
            <w:noProof/>
            <w:webHidden/>
          </w:rPr>
        </w:r>
        <w:r w:rsidR="003A0D74">
          <w:rPr>
            <w:noProof/>
            <w:webHidden/>
          </w:rPr>
          <w:fldChar w:fldCharType="separate"/>
        </w:r>
        <w:r w:rsidR="003A0D74">
          <w:rPr>
            <w:noProof/>
            <w:webHidden/>
          </w:rPr>
          <w:t>4</w:t>
        </w:r>
        <w:r w:rsidR="003A0D74">
          <w:rPr>
            <w:noProof/>
            <w:webHidden/>
          </w:rPr>
          <w:fldChar w:fldCharType="end"/>
        </w:r>
      </w:hyperlink>
    </w:p>
    <w:p w:rsidR="003A0D74" w:rsidRDefault="00A6614B">
      <w:pPr>
        <w:pStyle w:val="30"/>
        <w:tabs>
          <w:tab w:val="left" w:pos="1260"/>
          <w:tab w:val="right" w:leader="dot" w:pos="8210"/>
        </w:tabs>
        <w:rPr>
          <w:noProof/>
          <w:kern w:val="2"/>
          <w:sz w:val="21"/>
        </w:rPr>
      </w:pPr>
      <w:hyperlink w:anchor="_Toc469869030" w:history="1">
        <w:r w:rsidR="003A0D74" w:rsidRPr="003E4C6F">
          <w:rPr>
            <w:rStyle w:val="a7"/>
            <w:rFonts w:ascii="黑体" w:eastAsia="黑体" w:hAnsi="黑体"/>
            <w:noProof/>
          </w:rPr>
          <w:t>1.1.1</w:t>
        </w:r>
        <w:r w:rsidR="003A0D74">
          <w:rPr>
            <w:noProof/>
            <w:kern w:val="2"/>
            <w:sz w:val="21"/>
          </w:rPr>
          <w:tab/>
        </w:r>
        <w:r w:rsidR="003A0D74" w:rsidRPr="003E4C6F">
          <w:rPr>
            <w:rStyle w:val="a7"/>
            <w:rFonts w:ascii="黑体" w:eastAsia="黑体" w:hAnsi="黑体" w:hint="eastAsia"/>
            <w:noProof/>
          </w:rPr>
          <w:t>二级标题</w:t>
        </w:r>
        <w:r w:rsidR="003A0D74">
          <w:rPr>
            <w:noProof/>
            <w:webHidden/>
          </w:rPr>
          <w:tab/>
        </w:r>
        <w:r w:rsidR="003A0D74">
          <w:rPr>
            <w:noProof/>
            <w:webHidden/>
          </w:rPr>
          <w:fldChar w:fldCharType="begin"/>
        </w:r>
        <w:r w:rsidR="003A0D74">
          <w:rPr>
            <w:noProof/>
            <w:webHidden/>
          </w:rPr>
          <w:instrText xml:space="preserve"> PAGEREF _Toc469869030 \h </w:instrText>
        </w:r>
        <w:r w:rsidR="003A0D74">
          <w:rPr>
            <w:noProof/>
            <w:webHidden/>
          </w:rPr>
        </w:r>
        <w:r w:rsidR="003A0D74">
          <w:rPr>
            <w:noProof/>
            <w:webHidden/>
          </w:rPr>
          <w:fldChar w:fldCharType="separate"/>
        </w:r>
        <w:r w:rsidR="003A0D74">
          <w:rPr>
            <w:noProof/>
            <w:webHidden/>
          </w:rPr>
          <w:t>4</w:t>
        </w:r>
        <w:r w:rsidR="003A0D74">
          <w:rPr>
            <w:noProof/>
            <w:webHidden/>
          </w:rPr>
          <w:fldChar w:fldCharType="end"/>
        </w:r>
      </w:hyperlink>
    </w:p>
    <w:p w:rsidR="00FC5024" w:rsidRDefault="009E4142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9"/>
          <w:headerReference w:type="default" r:id="rId10"/>
          <w:footerReference w:type="default" r:id="rId11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Pr="007C3F91" w:rsidRDefault="00FC5024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bookmarkStart w:id="0" w:name="_Toc469869026"/>
      <w:r w:rsidRPr="00FC5024">
        <w:rPr>
          <w:rFonts w:ascii="黑体" w:eastAsia="黑体" w:hAnsi="黑体" w:hint="eastAsia"/>
          <w:sz w:val="36"/>
          <w:szCs w:val="36"/>
        </w:rPr>
        <w:lastRenderedPageBreak/>
        <w:t>引言</w:t>
      </w:r>
      <w:bookmarkEnd w:id="0"/>
    </w:p>
    <w:p w:rsidR="00045F8F" w:rsidRPr="00FC5024" w:rsidRDefault="00886127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" w:name="_Toc469869027"/>
      <w:r>
        <w:rPr>
          <w:rFonts w:ascii="黑体" w:eastAsia="黑体" w:hAnsi="黑体" w:hint="eastAsia"/>
          <w:sz w:val="30"/>
          <w:szCs w:val="30"/>
        </w:rPr>
        <w:t>选题</w:t>
      </w:r>
      <w:r w:rsidR="007C3F91">
        <w:rPr>
          <w:rFonts w:ascii="黑体" w:eastAsia="黑体" w:hAnsi="黑体" w:hint="eastAsia"/>
          <w:sz w:val="30"/>
          <w:szCs w:val="30"/>
        </w:rPr>
        <w:t>背景</w:t>
      </w:r>
      <w:bookmarkEnd w:id="1"/>
    </w:p>
    <w:p w:rsidR="007E76CC" w:rsidRDefault="00DC0BB2" w:rsidP="00DC0BB2">
      <w:pPr>
        <w:spacing w:line="400" w:lineRule="exact"/>
        <w:ind w:firstLineChars="177" w:firstLine="425"/>
        <w:rPr>
          <w:sz w:val="24"/>
          <w:szCs w:val="24"/>
        </w:rPr>
      </w:pPr>
      <w:r w:rsidRPr="00DC0BB2">
        <w:rPr>
          <w:rFonts w:hint="eastAsia"/>
          <w:sz w:val="24"/>
          <w:szCs w:val="24"/>
        </w:rPr>
        <w:t>高频交易</w:t>
      </w:r>
      <w:r w:rsidR="006362EE">
        <w:rPr>
          <w:rFonts w:hint="eastAsia"/>
          <w:sz w:val="24"/>
          <w:szCs w:val="24"/>
        </w:rPr>
        <w:t>（</w:t>
      </w:r>
      <w:r w:rsidR="006362EE" w:rsidRPr="006362EE">
        <w:rPr>
          <w:sz w:val="24"/>
          <w:szCs w:val="24"/>
        </w:rPr>
        <w:t>High frequency trading</w:t>
      </w:r>
      <w:r w:rsidR="006362EE">
        <w:rPr>
          <w:rFonts w:hint="eastAsia"/>
          <w:sz w:val="24"/>
          <w:szCs w:val="24"/>
        </w:rPr>
        <w:t>）</w:t>
      </w:r>
      <w:r w:rsidRPr="00DC0BB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金融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与计算机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相互</w:t>
      </w:r>
      <w:r w:rsidR="006362EE">
        <w:rPr>
          <w:rFonts w:hint="eastAsia"/>
          <w:sz w:val="24"/>
          <w:szCs w:val="24"/>
        </w:rPr>
        <w:t>结合</w:t>
      </w:r>
      <w:r w:rsidR="00964D64">
        <w:rPr>
          <w:rFonts w:hint="eastAsia"/>
          <w:sz w:val="24"/>
          <w:szCs w:val="24"/>
        </w:rPr>
        <w:t>而</w:t>
      </w:r>
      <w:r w:rsidR="00E46BB3">
        <w:rPr>
          <w:rFonts w:hint="eastAsia"/>
          <w:sz w:val="24"/>
          <w:szCs w:val="24"/>
        </w:rPr>
        <w:t>形成</w:t>
      </w:r>
      <w:r>
        <w:rPr>
          <w:rFonts w:hint="eastAsia"/>
          <w:sz w:val="24"/>
          <w:szCs w:val="24"/>
        </w:rPr>
        <w:t>的一</w:t>
      </w:r>
      <w:r w:rsidR="00D95682">
        <w:rPr>
          <w:rFonts w:hint="eastAsia"/>
          <w:sz w:val="24"/>
          <w:szCs w:val="24"/>
        </w:rPr>
        <w:t>种</w:t>
      </w:r>
      <w:r w:rsidR="00141D86">
        <w:rPr>
          <w:rFonts w:hint="eastAsia"/>
          <w:sz w:val="24"/>
          <w:szCs w:val="24"/>
        </w:rPr>
        <w:t>交易形式</w:t>
      </w:r>
      <w:r w:rsidR="006362EE">
        <w:rPr>
          <w:rFonts w:hint="eastAsia"/>
          <w:sz w:val="24"/>
          <w:szCs w:val="24"/>
        </w:rPr>
        <w:t>。高频交易的主要特征如下：</w:t>
      </w:r>
      <w:r w:rsidR="006B0134" w:rsidRPr="006B0134">
        <w:rPr>
          <w:rFonts w:hint="eastAsia"/>
          <w:sz w:val="24"/>
          <w:szCs w:val="24"/>
        </w:rPr>
        <w:t>使用超高速的复杂计算机系统下单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使用</w:t>
      </w:r>
      <w:r w:rsidR="00663CCD">
        <w:rPr>
          <w:rFonts w:hint="eastAsia"/>
          <w:sz w:val="24"/>
          <w:szCs w:val="24"/>
        </w:rPr>
        <w:t xml:space="preserve"> co</w:t>
      </w:r>
      <w:r w:rsidR="006B0134" w:rsidRPr="006B0134">
        <w:rPr>
          <w:rFonts w:hint="eastAsia"/>
          <w:sz w:val="24"/>
          <w:szCs w:val="24"/>
        </w:rPr>
        <w:t xml:space="preserve">location </w:t>
      </w:r>
      <w:r w:rsidR="006B0134" w:rsidRPr="006B0134">
        <w:rPr>
          <w:rFonts w:hint="eastAsia"/>
          <w:sz w:val="24"/>
          <w:szCs w:val="24"/>
        </w:rPr>
        <w:t>和直连交易所的数据通道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平均每次持仓时间极短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大量发送和取消委托订单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收盘时基本保持平仓</w:t>
      </w:r>
      <w:r w:rsidR="006B0134">
        <w:rPr>
          <w:rFonts w:hint="eastAsia"/>
          <w:sz w:val="24"/>
          <w:szCs w:val="24"/>
        </w:rPr>
        <w:t>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高频交易带来了什么？对于投资者而</w:t>
      </w:r>
      <w:r w:rsidR="00DD5F79">
        <w:rPr>
          <w:rFonts w:hint="eastAsia"/>
          <w:sz w:val="24"/>
          <w:szCs w:val="24"/>
        </w:rPr>
        <w:t>言，高频交易意味着超强的盈利能力，规避隔夜风险，降低隔夜成本。</w:t>
      </w:r>
      <w:r>
        <w:rPr>
          <w:rFonts w:hint="eastAsia"/>
          <w:sz w:val="24"/>
          <w:szCs w:val="24"/>
        </w:rPr>
        <w:t>对于市场而言，高频交易带来了巨大的流动性</w:t>
      </w:r>
      <w:r w:rsidR="00DD5F79">
        <w:rPr>
          <w:rFonts w:hint="eastAsia"/>
          <w:sz w:val="24"/>
          <w:szCs w:val="24"/>
        </w:rPr>
        <w:t>，同时通过套利机制</w:t>
      </w:r>
      <w:r>
        <w:rPr>
          <w:rFonts w:hint="eastAsia"/>
          <w:sz w:val="24"/>
          <w:szCs w:val="24"/>
        </w:rPr>
        <w:t>帮助市场恢复扭曲价格。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高频交易与量化交易、程序化交易</w:t>
      </w:r>
      <w:r w:rsidR="00D56C67">
        <w:rPr>
          <w:rFonts w:hint="eastAsia"/>
          <w:sz w:val="24"/>
          <w:szCs w:val="24"/>
        </w:rPr>
        <w:t>之</w:t>
      </w:r>
      <w:r w:rsidR="000905CE">
        <w:rPr>
          <w:rFonts w:hint="eastAsia"/>
          <w:sz w:val="24"/>
          <w:szCs w:val="24"/>
        </w:rPr>
        <w:t>间</w:t>
      </w:r>
      <w:r w:rsidR="00D56C67">
        <w:rPr>
          <w:rFonts w:hint="eastAsia"/>
          <w:sz w:val="24"/>
          <w:szCs w:val="24"/>
        </w:rPr>
        <w:t>存在着一些</w:t>
      </w:r>
      <w:r>
        <w:rPr>
          <w:rFonts w:hint="eastAsia"/>
          <w:sz w:val="24"/>
          <w:szCs w:val="24"/>
        </w:rPr>
        <w:t>概念混淆，</w:t>
      </w:r>
      <w:r w:rsidR="00384606">
        <w:rPr>
          <w:rFonts w:hint="eastAsia"/>
          <w:sz w:val="24"/>
          <w:szCs w:val="24"/>
        </w:rPr>
        <w:t>它们</w:t>
      </w:r>
      <w:r>
        <w:rPr>
          <w:rFonts w:hint="eastAsia"/>
          <w:sz w:val="24"/>
          <w:szCs w:val="24"/>
        </w:rPr>
        <w:t>既有联系又有区别</w:t>
      </w:r>
      <w:r w:rsidR="003C7C30">
        <w:rPr>
          <w:rFonts w:hint="eastAsia"/>
          <w:sz w:val="24"/>
          <w:szCs w:val="24"/>
        </w:rPr>
        <w:t>，需要进行适当的区分</w:t>
      </w:r>
      <w:r>
        <w:rPr>
          <w:rFonts w:hint="eastAsia"/>
          <w:sz w:val="24"/>
          <w:szCs w:val="24"/>
        </w:rPr>
        <w:t>。量化交易是指用量化的数学模型来代替人为主观判断，利用数学模型从市场的诸多信号中筛选出“有效信号”，减少了投资者个人情绪对交易决策的影响，避免投资者在极端市场的情况下做出非理性的投资决策。程序化交易是指</w:t>
      </w:r>
      <w:r w:rsidR="003C7C30">
        <w:rPr>
          <w:rFonts w:hint="eastAsia"/>
          <w:sz w:val="24"/>
          <w:szCs w:val="24"/>
        </w:rPr>
        <w:t>设计人员将交易策略的逻辑与参数写入计算机程序，由计算机程序自动生成</w:t>
      </w:r>
      <w:r w:rsidR="002D0F16">
        <w:rPr>
          <w:rFonts w:hint="eastAsia"/>
          <w:sz w:val="24"/>
          <w:szCs w:val="24"/>
        </w:rPr>
        <w:t>、</w:t>
      </w:r>
      <w:r w:rsidR="003C7C30">
        <w:rPr>
          <w:rFonts w:hint="eastAsia"/>
          <w:sz w:val="24"/>
          <w:szCs w:val="24"/>
        </w:rPr>
        <w:t>执行交易指令的交易行为</w:t>
      </w:r>
      <w:r w:rsidR="00EE3E45">
        <w:rPr>
          <w:rFonts w:hint="eastAsia"/>
          <w:sz w:val="24"/>
          <w:szCs w:val="24"/>
        </w:rPr>
        <w:t>，通过程序化可以有效的减少人工成本以及避免误操作</w:t>
      </w:r>
      <w:r w:rsidR="003C7C30">
        <w:rPr>
          <w:rFonts w:hint="eastAsia"/>
          <w:sz w:val="24"/>
          <w:szCs w:val="24"/>
        </w:rPr>
        <w:t>。从持仓时间来看，高频交易</w:t>
      </w:r>
      <w:r w:rsidR="00D0649F">
        <w:rPr>
          <w:rFonts w:hint="eastAsia"/>
          <w:sz w:val="24"/>
          <w:szCs w:val="24"/>
        </w:rPr>
        <w:t>持仓</w:t>
      </w:r>
      <w:r w:rsidR="003C7C30">
        <w:rPr>
          <w:rFonts w:hint="eastAsia"/>
          <w:sz w:val="24"/>
          <w:szCs w:val="24"/>
        </w:rPr>
        <w:t>时间多在一天以内，量化交易的持仓时间可长达数周，程序化交易的持仓时间可以更长。从交易策略来看，高频交易多依赖计算机的强劲性能在市场中寻找机会，量化交易多依赖统计套利从历史数据中发现大概率事件，程序化交易的策略多来源于投资人的直接</w:t>
      </w:r>
      <w:r w:rsidR="00E51C3D">
        <w:rPr>
          <w:rFonts w:hint="eastAsia"/>
          <w:sz w:val="24"/>
          <w:szCs w:val="24"/>
        </w:rPr>
        <w:t>授意</w:t>
      </w:r>
      <w:r w:rsidR="003C7C30">
        <w:rPr>
          <w:rFonts w:hint="eastAsia"/>
          <w:sz w:val="24"/>
          <w:szCs w:val="24"/>
        </w:rPr>
        <w:t>。</w:t>
      </w:r>
    </w:p>
    <w:p w:rsidR="00EB7E0D" w:rsidRDefault="00EB7E0D" w:rsidP="00DC0BB2">
      <w:pPr>
        <w:spacing w:line="400" w:lineRule="exact"/>
        <w:ind w:firstLineChars="177" w:firstLine="425"/>
        <w:rPr>
          <w:sz w:val="24"/>
          <w:szCs w:val="24"/>
        </w:rPr>
      </w:pPr>
      <w:r w:rsidRPr="008A25E6">
        <w:rPr>
          <w:rFonts w:hint="eastAsia"/>
          <w:sz w:val="24"/>
          <w:szCs w:val="24"/>
        </w:rPr>
        <w:t>高频交易研究中最重要的问题是其是否提升了市场运行效率、提高了市场质量，从而使得全社会福利有所改善。根据目前学术界基于真实数据的实证研究，高频交易总体而言提高了市场流动性、降低了交易成本、使得市场中的价格更加有效。</w:t>
      </w: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 w:rsidRPr="00CA7F59">
        <w:rPr>
          <w:rFonts w:hint="eastAsia"/>
          <w:sz w:val="24"/>
          <w:szCs w:val="24"/>
        </w:rPr>
        <w:t>1.1:</w:t>
      </w:r>
      <w:r w:rsidRPr="00CA7F59">
        <w:rPr>
          <w:rFonts w:hint="eastAsia"/>
          <w:sz w:val="24"/>
          <w:szCs w:val="24"/>
        </w:rPr>
        <w:t>美国</w:t>
      </w:r>
      <w:r w:rsidRPr="00CA7F59">
        <w:rPr>
          <w:rFonts w:hint="eastAsia"/>
          <w:sz w:val="24"/>
          <w:szCs w:val="24"/>
        </w:rPr>
        <w:t xml:space="preserve"> </w:t>
      </w:r>
      <w:r w:rsidRPr="00CA7F59">
        <w:rPr>
          <w:rFonts w:hint="eastAsia"/>
          <w:sz w:val="24"/>
          <w:szCs w:val="24"/>
        </w:rPr>
        <w:t>、</w:t>
      </w:r>
      <w:r w:rsidRPr="00CA7F59">
        <w:rPr>
          <w:rFonts w:hint="eastAsia"/>
          <w:sz w:val="24"/>
          <w:szCs w:val="24"/>
        </w:rPr>
        <w:t xml:space="preserve"> </w:t>
      </w:r>
      <w:r w:rsidRPr="00CA7F59">
        <w:rPr>
          <w:rFonts w:hint="eastAsia"/>
          <w:sz w:val="24"/>
          <w:szCs w:val="24"/>
        </w:rPr>
        <w:t>欧洲和亚洲的证券市场高频交易比例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F9A08" wp14:editId="43B50411">
            <wp:simplePos x="0" y="0"/>
            <wp:positionH relativeFrom="column">
              <wp:posOffset>537845</wp:posOffset>
            </wp:positionH>
            <wp:positionV relativeFrom="paragraph">
              <wp:posOffset>236220</wp:posOffset>
            </wp:positionV>
            <wp:extent cx="3597910" cy="31546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C30" w:rsidRPr="008A25E6" w:rsidRDefault="00F42000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A25E6" w:rsidRPr="008A25E6">
        <w:rPr>
          <w:sz w:val="24"/>
          <w:szCs w:val="24"/>
        </w:rPr>
        <w:t>TABB Group</w:t>
      </w:r>
      <w:r w:rsidR="008A25E6">
        <w:rPr>
          <w:rFonts w:hint="eastAsia"/>
          <w:sz w:val="24"/>
          <w:szCs w:val="24"/>
        </w:rPr>
        <w:t>的研究显示，截止</w:t>
      </w:r>
      <w:r w:rsidR="008A25E6">
        <w:rPr>
          <w:rFonts w:hint="eastAsia"/>
          <w:sz w:val="24"/>
          <w:szCs w:val="24"/>
        </w:rPr>
        <w:t>2015</w:t>
      </w:r>
      <w:r w:rsidR="008A25E6">
        <w:rPr>
          <w:rFonts w:hint="eastAsia"/>
          <w:sz w:val="24"/>
          <w:szCs w:val="24"/>
        </w:rPr>
        <w:t>年，美国和欧洲证券市场的高频交易比例占比已接近</w:t>
      </w:r>
      <w:r w:rsidR="008A25E6">
        <w:rPr>
          <w:rFonts w:hint="eastAsia"/>
          <w:sz w:val="24"/>
          <w:szCs w:val="24"/>
        </w:rPr>
        <w:t>70%</w:t>
      </w:r>
      <w:r w:rsidR="008A25E6">
        <w:rPr>
          <w:rFonts w:hint="eastAsia"/>
          <w:sz w:val="24"/>
          <w:szCs w:val="24"/>
        </w:rPr>
        <w:t>，而亚洲证券市场的高频交易比例尚未达到</w:t>
      </w:r>
      <w:r w:rsidR="008A25E6">
        <w:rPr>
          <w:rFonts w:hint="eastAsia"/>
          <w:sz w:val="24"/>
          <w:szCs w:val="24"/>
        </w:rPr>
        <w:t>30%</w:t>
      </w:r>
      <w:r w:rsidR="008A25E6">
        <w:rPr>
          <w:rFonts w:hint="eastAsia"/>
          <w:sz w:val="24"/>
          <w:szCs w:val="24"/>
        </w:rPr>
        <w:t>。我国高频交易的研究刚刚起步，</w:t>
      </w:r>
      <w:r w:rsidR="008A25E6" w:rsidRPr="008A25E6">
        <w:rPr>
          <w:rFonts w:hint="eastAsia"/>
          <w:sz w:val="24"/>
          <w:szCs w:val="24"/>
        </w:rPr>
        <w:t>学术界将高频交易作为市场微观结构领域最前沿的研究方向</w:t>
      </w:r>
      <w:r w:rsidR="008A25E6">
        <w:rPr>
          <w:rFonts w:hint="eastAsia"/>
          <w:sz w:val="24"/>
          <w:szCs w:val="24"/>
        </w:rPr>
        <w:t>，而一些机构投资者也开展了高频交易的尝试。</w:t>
      </w:r>
    </w:p>
    <w:p w:rsidR="003C7C30" w:rsidRPr="009F38DD" w:rsidRDefault="003C7C30" w:rsidP="008A25E6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98372A" w:rsidRDefault="0098372A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2" w:name="_Toc469869028"/>
      <w:r>
        <w:rPr>
          <w:rFonts w:ascii="黑体" w:eastAsia="黑体" w:hAnsi="黑体" w:hint="eastAsia"/>
          <w:sz w:val="30"/>
          <w:szCs w:val="30"/>
        </w:rPr>
        <w:lastRenderedPageBreak/>
        <w:t>国内外研究现状</w:t>
      </w:r>
      <w:bookmarkEnd w:id="2"/>
    </w:p>
    <w:p w:rsidR="007C3F91" w:rsidRDefault="00CA7F59" w:rsidP="00343E7F">
      <w:pPr>
        <w:spacing w:line="400" w:lineRule="exact"/>
        <w:ind w:firstLineChars="177" w:firstLine="425"/>
        <w:rPr>
          <w:sz w:val="24"/>
          <w:szCs w:val="24"/>
        </w:rPr>
      </w:pPr>
      <w:r w:rsidRPr="00CA7F59">
        <w:rPr>
          <w:sz w:val="24"/>
          <w:szCs w:val="24"/>
        </w:rPr>
        <w:t>最近</w:t>
      </w:r>
      <w:r>
        <w:rPr>
          <w:sz w:val="24"/>
          <w:szCs w:val="24"/>
        </w:rPr>
        <w:t>十年国内外学者对高频交易进行了多方面的大量研究，为高频交易提供了大量的理论支持，大大的促进了高频交易在交易市场上的发展</w:t>
      </w:r>
      <w:r w:rsidR="00004C8A">
        <w:rPr>
          <w:rFonts w:hint="eastAsia"/>
          <w:sz w:val="24"/>
          <w:szCs w:val="24"/>
        </w:rPr>
        <w:t>。</w:t>
      </w:r>
      <w:proofErr w:type="spellStart"/>
      <w:r w:rsidR="00343E7F" w:rsidRPr="00343E7F">
        <w:rPr>
          <w:rFonts w:hint="eastAsia"/>
          <w:sz w:val="24"/>
          <w:szCs w:val="24"/>
        </w:rPr>
        <w:t>Cvitanic</w:t>
      </w:r>
      <w:proofErr w:type="spellEnd"/>
      <w:r w:rsidR="00343E7F" w:rsidRPr="00343E7F">
        <w:rPr>
          <w:rFonts w:hint="eastAsia"/>
          <w:sz w:val="24"/>
          <w:szCs w:val="24"/>
        </w:rPr>
        <w:t>和</w:t>
      </w:r>
      <w:proofErr w:type="spellStart"/>
      <w:r w:rsidR="00343E7F" w:rsidRPr="00343E7F">
        <w:rPr>
          <w:rFonts w:hint="eastAsia"/>
          <w:sz w:val="24"/>
          <w:szCs w:val="24"/>
        </w:rPr>
        <w:t>Kirilenko</w:t>
      </w:r>
      <w:proofErr w:type="spellEnd"/>
      <w:r w:rsidR="00343E7F">
        <w:rPr>
          <w:rFonts w:hint="eastAsia"/>
          <w:sz w:val="24"/>
          <w:szCs w:val="24"/>
        </w:rPr>
        <w:t>在</w:t>
      </w:r>
      <w:r w:rsidR="00343E7F">
        <w:rPr>
          <w:rFonts w:hint="eastAsia"/>
          <w:sz w:val="24"/>
          <w:szCs w:val="24"/>
        </w:rPr>
        <w:t>2010</w:t>
      </w:r>
      <w:r w:rsidR="00343E7F">
        <w:rPr>
          <w:rFonts w:hint="eastAsia"/>
          <w:sz w:val="24"/>
          <w:szCs w:val="24"/>
        </w:rPr>
        <w:t>年的《</w:t>
      </w:r>
      <w:r w:rsidR="00343E7F" w:rsidRPr="00343E7F">
        <w:rPr>
          <w:sz w:val="24"/>
          <w:szCs w:val="24"/>
        </w:rPr>
        <w:t>H</w:t>
      </w:r>
      <w:r w:rsidR="00343E7F">
        <w:rPr>
          <w:sz w:val="24"/>
          <w:szCs w:val="24"/>
        </w:rPr>
        <w:t>igh Frequency Traders and Asset</w:t>
      </w:r>
      <w:r w:rsidR="00343E7F">
        <w:rPr>
          <w:rFonts w:hint="eastAsia"/>
          <w:sz w:val="24"/>
          <w:szCs w:val="24"/>
        </w:rPr>
        <w:t xml:space="preserve"> </w:t>
      </w:r>
      <w:r w:rsidR="00343E7F" w:rsidRPr="00343E7F">
        <w:rPr>
          <w:sz w:val="24"/>
          <w:szCs w:val="24"/>
        </w:rPr>
        <w:t>Prices</w:t>
      </w:r>
      <w:r w:rsidR="00343E7F">
        <w:rPr>
          <w:rFonts w:hint="eastAsia"/>
          <w:sz w:val="24"/>
          <w:szCs w:val="24"/>
        </w:rPr>
        <w:t>》中首次给出了高频理论分析的模型</w:t>
      </w:r>
      <w:r w:rsidR="002B6D6D">
        <w:rPr>
          <w:rFonts w:hint="eastAsia"/>
          <w:sz w:val="24"/>
          <w:szCs w:val="24"/>
        </w:rPr>
        <w:t>[1]</w:t>
      </w:r>
      <w:r w:rsidR="00A601F6">
        <w:rPr>
          <w:rFonts w:hint="eastAsia"/>
          <w:sz w:val="24"/>
          <w:szCs w:val="24"/>
        </w:rPr>
        <w:t>。</w:t>
      </w:r>
      <w:proofErr w:type="spellStart"/>
      <w:r w:rsidR="00343E7F" w:rsidRPr="00343E7F">
        <w:rPr>
          <w:sz w:val="24"/>
          <w:szCs w:val="24"/>
        </w:rPr>
        <w:t>Chaboud</w:t>
      </w:r>
      <w:proofErr w:type="spellEnd"/>
      <w:r w:rsidR="00343E7F" w:rsidRPr="00343E7F">
        <w:rPr>
          <w:sz w:val="24"/>
          <w:szCs w:val="24"/>
        </w:rPr>
        <w:t xml:space="preserve"> A P, </w:t>
      </w:r>
      <w:proofErr w:type="spellStart"/>
      <w:r w:rsidR="00343E7F" w:rsidRPr="00343E7F">
        <w:rPr>
          <w:sz w:val="24"/>
          <w:szCs w:val="24"/>
        </w:rPr>
        <w:t>Chiquoine</w:t>
      </w:r>
      <w:proofErr w:type="spellEnd"/>
      <w:r w:rsidR="00343E7F" w:rsidRPr="00343E7F">
        <w:rPr>
          <w:sz w:val="24"/>
          <w:szCs w:val="24"/>
        </w:rPr>
        <w:t xml:space="preserve"> B, </w:t>
      </w:r>
      <w:proofErr w:type="spellStart"/>
      <w:r w:rsidR="00343E7F" w:rsidRPr="00343E7F">
        <w:rPr>
          <w:sz w:val="24"/>
          <w:szCs w:val="24"/>
        </w:rPr>
        <w:t>Hjalmarsson</w:t>
      </w:r>
      <w:proofErr w:type="spellEnd"/>
      <w:r w:rsidR="00343E7F" w:rsidRPr="00343E7F">
        <w:rPr>
          <w:sz w:val="24"/>
          <w:szCs w:val="24"/>
        </w:rPr>
        <w:t xml:space="preserve"> E</w:t>
      </w:r>
      <w:r w:rsidR="00343E7F">
        <w:rPr>
          <w:sz w:val="24"/>
          <w:szCs w:val="24"/>
        </w:rPr>
        <w:t>在</w:t>
      </w:r>
      <w:r w:rsidR="00343E7F">
        <w:rPr>
          <w:rFonts w:hint="eastAsia"/>
          <w:sz w:val="24"/>
          <w:szCs w:val="24"/>
        </w:rPr>
        <w:t>《</w:t>
      </w:r>
      <w:r w:rsidR="00343E7F" w:rsidRPr="00343E7F">
        <w:rPr>
          <w:sz w:val="24"/>
          <w:szCs w:val="24"/>
        </w:rPr>
        <w:t>Machines: Algorithmic Trading in the Foreign Exchange Market</w:t>
      </w:r>
      <w:r w:rsidR="00343E7F">
        <w:rPr>
          <w:rFonts w:hint="eastAsia"/>
          <w:sz w:val="24"/>
          <w:szCs w:val="24"/>
        </w:rPr>
        <w:t>》中</w:t>
      </w:r>
      <w:r w:rsidR="002B6D6D">
        <w:rPr>
          <w:rFonts w:hint="eastAsia"/>
          <w:sz w:val="24"/>
          <w:szCs w:val="24"/>
        </w:rPr>
        <w:t>认为高频交易和算法交易、程序化交易有很大的相似性，所以提出了一种观点“高频交易是算法交易的一种特殊形式”</w:t>
      </w:r>
      <w:r w:rsidR="001D5D68">
        <w:rPr>
          <w:rFonts w:hint="eastAsia"/>
          <w:sz w:val="24"/>
          <w:szCs w:val="24"/>
        </w:rPr>
        <w:t>[2]</w:t>
      </w:r>
      <w:r w:rsidR="00A601F6">
        <w:rPr>
          <w:rFonts w:hint="eastAsia"/>
          <w:sz w:val="24"/>
          <w:szCs w:val="24"/>
        </w:rPr>
        <w:t>。</w:t>
      </w:r>
      <w:r w:rsidR="00327C5A" w:rsidRPr="00327C5A">
        <w:rPr>
          <w:sz w:val="24"/>
          <w:szCs w:val="24"/>
        </w:rPr>
        <w:t>Macintosh</w:t>
      </w:r>
      <w:r w:rsidR="00327C5A">
        <w:rPr>
          <w:rFonts w:hint="eastAsia"/>
          <w:sz w:val="24"/>
          <w:szCs w:val="24"/>
        </w:rPr>
        <w:t>在</w:t>
      </w:r>
      <w:r w:rsidR="00327C5A">
        <w:rPr>
          <w:rFonts w:hint="eastAsia"/>
          <w:sz w:val="24"/>
          <w:szCs w:val="24"/>
        </w:rPr>
        <w:t>2013</w:t>
      </w:r>
      <w:r w:rsidR="00327C5A">
        <w:rPr>
          <w:rFonts w:hint="eastAsia"/>
          <w:sz w:val="24"/>
          <w:szCs w:val="24"/>
        </w:rPr>
        <w:t>年的《</w:t>
      </w:r>
      <w:r w:rsidR="00327C5A">
        <w:rPr>
          <w:rFonts w:hint="eastAsia"/>
          <w:sz w:val="24"/>
          <w:szCs w:val="24"/>
        </w:rPr>
        <w:t>H</w:t>
      </w:r>
      <w:r w:rsidR="00327C5A" w:rsidRPr="00327C5A">
        <w:rPr>
          <w:sz w:val="24"/>
          <w:szCs w:val="24"/>
        </w:rPr>
        <w:t>igh</w:t>
      </w:r>
      <w:r w:rsidR="00327C5A">
        <w:rPr>
          <w:rFonts w:hint="eastAsia"/>
          <w:sz w:val="24"/>
          <w:szCs w:val="24"/>
        </w:rPr>
        <w:t xml:space="preserve"> F</w:t>
      </w:r>
      <w:r w:rsidR="00327C5A" w:rsidRPr="00327C5A">
        <w:rPr>
          <w:sz w:val="24"/>
          <w:szCs w:val="24"/>
        </w:rPr>
        <w:t>requency</w:t>
      </w:r>
      <w:r w:rsidR="00327C5A">
        <w:rPr>
          <w:rFonts w:hint="eastAsia"/>
          <w:sz w:val="24"/>
          <w:szCs w:val="24"/>
        </w:rPr>
        <w:t xml:space="preserve"> T</w:t>
      </w:r>
      <w:r w:rsidR="00327C5A" w:rsidRPr="00327C5A">
        <w:rPr>
          <w:sz w:val="24"/>
          <w:szCs w:val="24"/>
        </w:rPr>
        <w:t>raders</w:t>
      </w:r>
      <w:r w:rsidR="00327C5A">
        <w:rPr>
          <w:sz w:val="24"/>
          <w:szCs w:val="24"/>
        </w:rPr>
        <w:t>：</w:t>
      </w:r>
      <w:r w:rsidR="00327C5A" w:rsidRPr="00327C5A">
        <w:rPr>
          <w:sz w:val="24"/>
          <w:szCs w:val="24"/>
        </w:rPr>
        <w:t>angels</w:t>
      </w:r>
      <w:r w:rsidR="00327C5A">
        <w:rPr>
          <w:rFonts w:hint="eastAsia"/>
          <w:sz w:val="24"/>
          <w:szCs w:val="24"/>
        </w:rPr>
        <w:t xml:space="preserve"> </w:t>
      </w:r>
      <w:r w:rsidR="00327C5A" w:rsidRPr="00327C5A">
        <w:rPr>
          <w:sz w:val="24"/>
          <w:szCs w:val="24"/>
        </w:rPr>
        <w:t>or</w:t>
      </w:r>
      <w:r w:rsidR="00327C5A">
        <w:rPr>
          <w:rFonts w:hint="eastAsia"/>
          <w:sz w:val="24"/>
          <w:szCs w:val="24"/>
        </w:rPr>
        <w:t xml:space="preserve"> </w:t>
      </w:r>
      <w:r w:rsidR="00327C5A" w:rsidRPr="00327C5A">
        <w:rPr>
          <w:sz w:val="24"/>
          <w:szCs w:val="24"/>
        </w:rPr>
        <w:t>devils</w:t>
      </w:r>
      <w:r w:rsidR="00327C5A">
        <w:rPr>
          <w:rFonts w:hint="eastAsia"/>
          <w:sz w:val="24"/>
          <w:szCs w:val="24"/>
        </w:rPr>
        <w:t>》中介绍了高频交易的操作方式与特点，以及其与传统交易市场行为的差别</w:t>
      </w:r>
      <w:r w:rsidR="003F3357">
        <w:rPr>
          <w:rFonts w:hint="eastAsia"/>
          <w:sz w:val="24"/>
          <w:szCs w:val="24"/>
        </w:rPr>
        <w:t>，</w:t>
      </w:r>
      <w:r w:rsidR="003F3357" w:rsidRPr="00327C5A">
        <w:rPr>
          <w:sz w:val="24"/>
          <w:szCs w:val="24"/>
        </w:rPr>
        <w:t>Macintosh</w:t>
      </w:r>
      <w:r w:rsidR="003F3357">
        <w:rPr>
          <w:rFonts w:hint="eastAsia"/>
          <w:sz w:val="24"/>
          <w:szCs w:val="24"/>
        </w:rPr>
        <w:t>在其文章中，介绍了算法交易</w:t>
      </w:r>
      <w:r w:rsidR="003F3357">
        <w:rPr>
          <w:rFonts w:hint="eastAsia"/>
          <w:sz w:val="24"/>
          <w:szCs w:val="24"/>
        </w:rPr>
        <w:t xml:space="preserve">(Algorithmic </w:t>
      </w:r>
      <w:proofErr w:type="spellStart"/>
      <w:r w:rsidR="003F3357">
        <w:rPr>
          <w:rFonts w:hint="eastAsia"/>
          <w:sz w:val="24"/>
          <w:szCs w:val="24"/>
        </w:rPr>
        <w:t>Trading,AT</w:t>
      </w:r>
      <w:proofErr w:type="spellEnd"/>
      <w:r w:rsidR="003F3357">
        <w:rPr>
          <w:rFonts w:hint="eastAsia"/>
          <w:sz w:val="24"/>
          <w:szCs w:val="24"/>
        </w:rPr>
        <w:t>)</w:t>
      </w:r>
      <w:r w:rsidR="003F3357">
        <w:rPr>
          <w:rFonts w:hint="eastAsia"/>
          <w:sz w:val="24"/>
          <w:szCs w:val="24"/>
        </w:rPr>
        <w:t>与高频交易</w:t>
      </w:r>
      <w:r w:rsidR="003F3357">
        <w:rPr>
          <w:rFonts w:hint="eastAsia"/>
          <w:sz w:val="24"/>
          <w:szCs w:val="24"/>
        </w:rPr>
        <w:t xml:space="preserve">(High Frequency </w:t>
      </w:r>
      <w:proofErr w:type="spellStart"/>
      <w:r w:rsidR="003F3357">
        <w:rPr>
          <w:rFonts w:hint="eastAsia"/>
          <w:sz w:val="24"/>
          <w:szCs w:val="24"/>
        </w:rPr>
        <w:t>Trading,HFT</w:t>
      </w:r>
      <w:proofErr w:type="spellEnd"/>
      <w:r w:rsidR="003F3357">
        <w:rPr>
          <w:rFonts w:hint="eastAsia"/>
          <w:sz w:val="24"/>
          <w:szCs w:val="24"/>
        </w:rPr>
        <w:t>)</w:t>
      </w:r>
      <w:r w:rsidR="003F3357">
        <w:rPr>
          <w:rFonts w:hint="eastAsia"/>
          <w:sz w:val="24"/>
          <w:szCs w:val="24"/>
        </w:rPr>
        <w:t>之间的共性和区别，如下表所示：</w:t>
      </w:r>
    </w:p>
    <w:p w:rsidR="003F3357" w:rsidRDefault="00C13C4F" w:rsidP="00343E7F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高频交易与算法交易的共性和区别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3F3357" w:rsidTr="003F3357">
        <w:tc>
          <w:tcPr>
            <w:tcW w:w="2812" w:type="dxa"/>
          </w:tcPr>
          <w:p w:rsidR="003F3357" w:rsidRPr="003F3357" w:rsidRDefault="003F3357" w:rsidP="00343E7F">
            <w:pPr>
              <w:spacing w:line="400" w:lineRule="exact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/>
                <w:sz w:val="18"/>
                <w:szCs w:val="24"/>
              </w:rPr>
              <w:t>AT和HFT的共性</w:t>
            </w:r>
          </w:p>
        </w:tc>
        <w:tc>
          <w:tcPr>
            <w:tcW w:w="2812" w:type="dxa"/>
          </w:tcPr>
          <w:p w:rsidR="003F3357" w:rsidRPr="003F3357" w:rsidRDefault="003F3357" w:rsidP="00343E7F">
            <w:pPr>
              <w:spacing w:line="400" w:lineRule="exact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/>
                <w:sz w:val="18"/>
                <w:szCs w:val="24"/>
              </w:rPr>
              <w:t>AT的独有特征</w:t>
            </w:r>
          </w:p>
        </w:tc>
        <w:tc>
          <w:tcPr>
            <w:tcW w:w="2812" w:type="dxa"/>
          </w:tcPr>
          <w:p w:rsidR="003F3357" w:rsidRPr="003F3357" w:rsidRDefault="003F3357" w:rsidP="00343E7F">
            <w:pPr>
              <w:spacing w:line="400" w:lineRule="exact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/>
                <w:sz w:val="18"/>
                <w:szCs w:val="24"/>
              </w:rPr>
              <w:t>HFT的独有特征</w:t>
            </w:r>
          </w:p>
        </w:tc>
      </w:tr>
      <w:tr w:rsidR="003F3357" w:rsidTr="003F3357">
        <w:tc>
          <w:tcPr>
            <w:tcW w:w="2812" w:type="dxa"/>
          </w:tcPr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事先设计好的交易策略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专业交易员操作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实时监控市场数据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自动提交指令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自动管理指令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无人工干预直接市场接入</w:t>
            </w:r>
          </w:p>
        </w:tc>
        <w:tc>
          <w:tcPr>
            <w:tcW w:w="2812" w:type="dxa"/>
          </w:tcPr>
          <w:p w:rsidR="003F3357" w:rsidRP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代理交易</w:t>
            </w:r>
          </w:p>
          <w:p w:rsid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市场影响最小化</w:t>
            </w:r>
          </w:p>
          <w:p w:rsid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目标为获取特别基数指数</w:t>
            </w:r>
          </w:p>
          <w:p w:rsid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持有时间为日/周/月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通过时间和跨市场执行指令</w:t>
            </w:r>
          </w:p>
        </w:tc>
        <w:tc>
          <w:tcPr>
            <w:tcW w:w="2812" w:type="dxa"/>
          </w:tcPr>
          <w:p w:rsidR="003F3357" w:rsidRP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BB5B51">
              <w:rPr>
                <w:rFonts w:asciiTheme="minorEastAsia" w:hAnsiTheme="minorEastAsia" w:hint="eastAsia"/>
                <w:sz w:val="18"/>
                <w:szCs w:val="24"/>
              </w:rPr>
              <w:t>海量指令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迅速指令撤销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内部专用平台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买卖交易获利（中间人）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交易日结束平仓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持有时间极短，秒/分/小时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每单获利较低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低延迟要求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利用主机托管/近程服务以及个人数据种子</w:t>
            </w:r>
          </w:p>
          <w:p w:rsidR="00BB5B51" w:rsidRP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关注高流动金融工具</w:t>
            </w:r>
          </w:p>
        </w:tc>
      </w:tr>
    </w:tbl>
    <w:p w:rsidR="003F3357" w:rsidRDefault="00FC292D" w:rsidP="00343E7F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资料来源：</w:t>
      </w:r>
      <w:proofErr w:type="spellStart"/>
      <w:r>
        <w:rPr>
          <w:rFonts w:hint="eastAsia"/>
          <w:sz w:val="24"/>
          <w:szCs w:val="24"/>
        </w:rPr>
        <w:t>Gomber</w:t>
      </w:r>
      <w:proofErr w:type="spellEnd"/>
      <w:r>
        <w:rPr>
          <w:rFonts w:hint="eastAsia"/>
          <w:sz w:val="24"/>
          <w:szCs w:val="24"/>
        </w:rPr>
        <w:t xml:space="preserve"> et al.</w:t>
      </w:r>
      <w:proofErr w:type="gramStart"/>
      <w:r>
        <w:rPr>
          <w:rFonts w:hint="eastAsia"/>
          <w:sz w:val="24"/>
          <w:szCs w:val="24"/>
        </w:rPr>
        <w:t>,2010</w:t>
      </w:r>
      <w:proofErr w:type="gramEnd"/>
      <w:r>
        <w:rPr>
          <w:rFonts w:hint="eastAsia"/>
          <w:sz w:val="24"/>
          <w:szCs w:val="24"/>
        </w:rPr>
        <w:t>。</w:t>
      </w:r>
    </w:p>
    <w:p w:rsidR="00FC292D" w:rsidRDefault="00FC292D" w:rsidP="00343E7F">
      <w:pPr>
        <w:spacing w:line="400" w:lineRule="exact"/>
        <w:ind w:firstLineChars="177" w:firstLine="425"/>
        <w:rPr>
          <w:sz w:val="24"/>
          <w:szCs w:val="24"/>
        </w:rPr>
      </w:pPr>
    </w:p>
    <w:p w:rsidR="00FC292D" w:rsidRPr="00CA7F59" w:rsidRDefault="00FC292D" w:rsidP="00343E7F">
      <w:pPr>
        <w:spacing w:line="400" w:lineRule="exact"/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国内对高频交易的研究起步较晚，</w:t>
      </w:r>
      <w:r w:rsidR="00BA2B64">
        <w:rPr>
          <w:rFonts w:hint="eastAsia"/>
          <w:sz w:val="24"/>
          <w:szCs w:val="24"/>
        </w:rPr>
        <w:t>广大研究工作者的研究成果都推动了高频交易在国内的发展</w:t>
      </w:r>
      <w:r>
        <w:rPr>
          <w:sz w:val="24"/>
          <w:szCs w:val="24"/>
        </w:rPr>
        <w:t>。</w:t>
      </w:r>
      <w:proofErr w:type="gramStart"/>
      <w:r w:rsidR="00BA2B64">
        <w:rPr>
          <w:sz w:val="24"/>
          <w:szCs w:val="24"/>
        </w:rPr>
        <w:t>来升强</w:t>
      </w:r>
      <w:proofErr w:type="gramEnd"/>
      <w:r w:rsidR="00BA2B64">
        <w:rPr>
          <w:sz w:val="24"/>
          <w:szCs w:val="24"/>
        </w:rPr>
        <w:t>、朱建平在</w:t>
      </w:r>
      <w:r w:rsidR="00BA2B64">
        <w:rPr>
          <w:rFonts w:hint="eastAsia"/>
          <w:sz w:val="24"/>
          <w:szCs w:val="24"/>
        </w:rPr>
        <w:t>2009</w:t>
      </w:r>
      <w:r w:rsidR="00BA2B64">
        <w:rPr>
          <w:rFonts w:hint="eastAsia"/>
          <w:sz w:val="24"/>
          <w:szCs w:val="24"/>
        </w:rPr>
        <w:t>年的《高频数据交易策略与波动性分析》中，对高频交易的存在基础，有效市场假说的缺陷，行为金融理论的</w:t>
      </w:r>
      <w:r w:rsidR="00BA2B64">
        <w:rPr>
          <w:rFonts w:hint="eastAsia"/>
          <w:sz w:val="24"/>
          <w:szCs w:val="24"/>
        </w:rPr>
        <w:lastRenderedPageBreak/>
        <w:t>兴起等微观交易策略进行了深入的探讨</w:t>
      </w:r>
      <w:r w:rsidR="00505B30">
        <w:rPr>
          <w:rFonts w:hint="eastAsia"/>
          <w:sz w:val="24"/>
          <w:szCs w:val="24"/>
        </w:rPr>
        <w:t>[4]</w:t>
      </w:r>
      <w:r w:rsidR="00BD515D">
        <w:rPr>
          <w:rFonts w:hint="eastAsia"/>
          <w:sz w:val="24"/>
          <w:szCs w:val="24"/>
        </w:rPr>
        <w:t>。</w:t>
      </w:r>
      <w:r w:rsidR="008A1C81" w:rsidRPr="008A1C81">
        <w:rPr>
          <w:rFonts w:hint="eastAsia"/>
          <w:sz w:val="24"/>
          <w:szCs w:val="24"/>
        </w:rPr>
        <w:t>王苏生、江国朝、余臻、许桐桐</w:t>
      </w:r>
      <w:r w:rsidR="008A1C81">
        <w:rPr>
          <w:rFonts w:hint="eastAsia"/>
          <w:sz w:val="24"/>
          <w:szCs w:val="24"/>
        </w:rPr>
        <w:t>在</w:t>
      </w:r>
      <w:r w:rsidR="008A1C81">
        <w:rPr>
          <w:rFonts w:hint="eastAsia"/>
          <w:sz w:val="24"/>
          <w:szCs w:val="24"/>
        </w:rPr>
        <w:t>2016</w:t>
      </w:r>
      <w:r w:rsidR="008A1C81">
        <w:rPr>
          <w:rFonts w:hint="eastAsia"/>
          <w:sz w:val="24"/>
          <w:szCs w:val="24"/>
        </w:rPr>
        <w:t>年的《高频交易刍论</w:t>
      </w:r>
      <w:r w:rsidR="008A1C81">
        <w:rPr>
          <w:rFonts w:hint="eastAsia"/>
          <w:sz w:val="24"/>
          <w:szCs w:val="24"/>
        </w:rPr>
        <w:t>-</w:t>
      </w:r>
      <w:r w:rsidR="008A1C81" w:rsidRPr="008A1C81">
        <w:rPr>
          <w:rFonts w:hint="eastAsia"/>
          <w:sz w:val="24"/>
          <w:szCs w:val="24"/>
        </w:rPr>
        <w:t>基于中国证券市场的实证研究</w:t>
      </w:r>
      <w:r w:rsidR="008A1C81">
        <w:rPr>
          <w:rFonts w:hint="eastAsia"/>
          <w:sz w:val="24"/>
          <w:szCs w:val="24"/>
        </w:rPr>
        <w:t>》中，进一步对高频交易的概念、投资策略、市场影响等方面进行了详细的分析，基本上涵盖了权威机构对高频交易的评价</w:t>
      </w:r>
      <w:r w:rsidR="005F3915">
        <w:rPr>
          <w:rFonts w:hint="eastAsia"/>
          <w:sz w:val="24"/>
          <w:szCs w:val="24"/>
        </w:rPr>
        <w:t>[5]</w:t>
      </w:r>
      <w:r w:rsidR="008A1C81">
        <w:rPr>
          <w:rFonts w:hint="eastAsia"/>
          <w:sz w:val="24"/>
          <w:szCs w:val="24"/>
        </w:rPr>
        <w:t>。</w:t>
      </w:r>
      <w:r w:rsidR="005F3915">
        <w:rPr>
          <w:rFonts w:hint="eastAsia"/>
          <w:sz w:val="24"/>
          <w:szCs w:val="24"/>
        </w:rPr>
        <w:t>胡天福在</w:t>
      </w:r>
      <w:r w:rsidR="005F3915">
        <w:rPr>
          <w:rFonts w:hint="eastAsia"/>
          <w:sz w:val="24"/>
          <w:szCs w:val="24"/>
        </w:rPr>
        <w:t>2012</w:t>
      </w:r>
      <w:r w:rsidR="005F3915">
        <w:rPr>
          <w:rFonts w:hint="eastAsia"/>
          <w:sz w:val="24"/>
          <w:szCs w:val="24"/>
        </w:rPr>
        <w:t>年的《</w:t>
      </w:r>
      <w:r w:rsidR="005F3915" w:rsidRPr="005F3915">
        <w:rPr>
          <w:rFonts w:hint="eastAsia"/>
          <w:sz w:val="24"/>
          <w:szCs w:val="24"/>
        </w:rPr>
        <w:t>高频交易在中国证券市场的应用研究</w:t>
      </w:r>
      <w:r w:rsidR="005F3915">
        <w:rPr>
          <w:rFonts w:hint="eastAsia"/>
          <w:sz w:val="24"/>
          <w:szCs w:val="24"/>
        </w:rPr>
        <w:t>》中介绍了高频交易名词的由来，定义，以及同程序化交易与算法交易的区别，同时介绍了常用的算法交易策略如参与率算法、时间加权平均算法等</w:t>
      </w:r>
      <w:r w:rsidR="005F3915">
        <w:rPr>
          <w:rFonts w:hint="eastAsia"/>
          <w:sz w:val="24"/>
          <w:szCs w:val="24"/>
        </w:rPr>
        <w:t>[6]</w:t>
      </w:r>
      <w:r w:rsidR="005F3915">
        <w:rPr>
          <w:rFonts w:hint="eastAsia"/>
          <w:sz w:val="24"/>
          <w:szCs w:val="24"/>
        </w:rPr>
        <w:t>。</w:t>
      </w:r>
      <w:r w:rsidR="006F1DE3" w:rsidRPr="00E03C36">
        <w:rPr>
          <w:rFonts w:hint="eastAsia"/>
          <w:sz w:val="24"/>
          <w:szCs w:val="24"/>
        </w:rPr>
        <w:t>潘晔</w:t>
      </w:r>
      <w:r w:rsidR="006F1DE3">
        <w:rPr>
          <w:rFonts w:hint="eastAsia"/>
          <w:sz w:val="24"/>
          <w:szCs w:val="24"/>
        </w:rPr>
        <w:t>在</w:t>
      </w:r>
      <w:r w:rsidR="006F1DE3">
        <w:rPr>
          <w:rFonts w:hint="eastAsia"/>
          <w:sz w:val="24"/>
          <w:szCs w:val="24"/>
        </w:rPr>
        <w:t>2014</w:t>
      </w:r>
      <w:r w:rsidR="006F1DE3">
        <w:rPr>
          <w:rFonts w:hint="eastAsia"/>
          <w:sz w:val="24"/>
          <w:szCs w:val="24"/>
        </w:rPr>
        <w:t>年的《</w:t>
      </w:r>
      <w:r w:rsidR="006F1DE3" w:rsidRPr="006F1DE3">
        <w:rPr>
          <w:rFonts w:hint="eastAsia"/>
          <w:sz w:val="24"/>
          <w:szCs w:val="24"/>
        </w:rPr>
        <w:t>基于高频交易模式下期货投资组合策略研究</w:t>
      </w:r>
      <w:r w:rsidR="006F1DE3">
        <w:rPr>
          <w:rFonts w:hint="eastAsia"/>
          <w:sz w:val="24"/>
          <w:szCs w:val="24"/>
        </w:rPr>
        <w:t>》中</w:t>
      </w:r>
      <w:r w:rsidR="006F1DE3" w:rsidRPr="006F1DE3">
        <w:rPr>
          <w:rFonts w:hint="eastAsia"/>
          <w:sz w:val="24"/>
          <w:szCs w:val="24"/>
        </w:rPr>
        <w:t>基于美国贝尔实验室工程师</w:t>
      </w:r>
      <w:r w:rsidR="006F1DE3" w:rsidRPr="006F1DE3">
        <w:rPr>
          <w:rFonts w:hint="eastAsia"/>
          <w:sz w:val="24"/>
          <w:szCs w:val="24"/>
        </w:rPr>
        <w:t>Kelly</w:t>
      </w:r>
      <w:r w:rsidR="006F1DE3" w:rsidRPr="006F1DE3">
        <w:rPr>
          <w:rFonts w:hint="eastAsia"/>
          <w:sz w:val="24"/>
          <w:szCs w:val="24"/>
        </w:rPr>
        <w:t>提出的“资金增长最快的投资比例”理论进行投资组合构建策略研究</w:t>
      </w:r>
      <w:r w:rsidR="006F1DE3">
        <w:rPr>
          <w:rFonts w:hint="eastAsia"/>
          <w:sz w:val="24"/>
          <w:szCs w:val="24"/>
        </w:rPr>
        <w:t>，</w:t>
      </w:r>
      <w:r w:rsidR="006F1DE3" w:rsidRPr="006F1DE3">
        <w:rPr>
          <w:rFonts w:hint="eastAsia"/>
          <w:sz w:val="24"/>
          <w:szCs w:val="24"/>
        </w:rPr>
        <w:t>验证了两个高频交易模型组合策略的可行性</w:t>
      </w:r>
      <w:r w:rsidR="000222D0">
        <w:rPr>
          <w:rFonts w:hint="eastAsia"/>
          <w:sz w:val="24"/>
          <w:szCs w:val="24"/>
        </w:rPr>
        <w:t>[7]</w:t>
      </w:r>
      <w:r w:rsidR="006F1DE3">
        <w:rPr>
          <w:rFonts w:hint="eastAsia"/>
          <w:sz w:val="24"/>
          <w:szCs w:val="24"/>
        </w:rPr>
        <w:t>。</w:t>
      </w:r>
      <w:r w:rsidR="001A7D41" w:rsidRPr="00E03C36">
        <w:rPr>
          <w:rFonts w:hint="eastAsia"/>
          <w:sz w:val="24"/>
          <w:szCs w:val="24"/>
        </w:rPr>
        <w:t>李超</w:t>
      </w:r>
      <w:r w:rsidR="001A7D41">
        <w:rPr>
          <w:rFonts w:hint="eastAsia"/>
          <w:sz w:val="24"/>
          <w:szCs w:val="24"/>
        </w:rPr>
        <w:t>在</w:t>
      </w:r>
      <w:r w:rsidR="001A7D41">
        <w:rPr>
          <w:rFonts w:hint="eastAsia"/>
          <w:sz w:val="24"/>
          <w:szCs w:val="24"/>
        </w:rPr>
        <w:t>2013</w:t>
      </w:r>
      <w:r w:rsidR="001A7D41">
        <w:rPr>
          <w:rFonts w:hint="eastAsia"/>
          <w:sz w:val="24"/>
          <w:szCs w:val="24"/>
        </w:rPr>
        <w:t>年的《</w:t>
      </w:r>
      <w:r w:rsidR="001A7D41" w:rsidRPr="00E03C36">
        <w:rPr>
          <w:rFonts w:hint="eastAsia"/>
          <w:sz w:val="24"/>
          <w:szCs w:val="24"/>
        </w:rPr>
        <w:t>我国股指期货与股票组合的高频套利策略研究</w:t>
      </w:r>
      <w:r w:rsidR="001A7D41">
        <w:rPr>
          <w:rFonts w:hint="eastAsia"/>
          <w:sz w:val="24"/>
          <w:szCs w:val="24"/>
        </w:rPr>
        <w:t>》中</w:t>
      </w:r>
      <w:r w:rsidR="001A7D41" w:rsidRPr="001A7D41">
        <w:rPr>
          <w:rFonts w:hint="eastAsia"/>
          <w:sz w:val="24"/>
          <w:szCs w:val="24"/>
        </w:rPr>
        <w:t>使用相关性分析</w:t>
      </w:r>
      <w:r w:rsidR="001A7D41">
        <w:rPr>
          <w:rFonts w:hint="eastAsia"/>
          <w:sz w:val="24"/>
          <w:szCs w:val="24"/>
        </w:rPr>
        <w:t>以及</w:t>
      </w:r>
      <w:r w:rsidR="001A7D41" w:rsidRPr="001A7D41">
        <w:rPr>
          <w:rFonts w:hint="eastAsia"/>
          <w:sz w:val="24"/>
          <w:szCs w:val="24"/>
        </w:rPr>
        <w:t>聚类分析为股指期货</w:t>
      </w:r>
      <w:r w:rsidR="001A7D41">
        <w:rPr>
          <w:rFonts w:hint="eastAsia"/>
          <w:sz w:val="24"/>
          <w:szCs w:val="24"/>
        </w:rPr>
        <w:t>与股票</w:t>
      </w:r>
      <w:r w:rsidR="001A7D41" w:rsidRPr="001A7D41">
        <w:rPr>
          <w:rFonts w:hint="eastAsia"/>
          <w:sz w:val="24"/>
          <w:szCs w:val="24"/>
        </w:rPr>
        <w:t>寻找最优</w:t>
      </w:r>
      <w:r w:rsidR="001A7D41">
        <w:rPr>
          <w:rFonts w:hint="eastAsia"/>
          <w:sz w:val="24"/>
          <w:szCs w:val="24"/>
        </w:rPr>
        <w:t>投</w:t>
      </w:r>
      <w:r w:rsidR="001A7D41" w:rsidRPr="001A7D41">
        <w:rPr>
          <w:rFonts w:hint="eastAsia"/>
          <w:sz w:val="24"/>
          <w:szCs w:val="24"/>
        </w:rPr>
        <w:t>资组合</w:t>
      </w:r>
      <w:r w:rsidR="001A7D41" w:rsidRPr="001A7D41">
        <w:rPr>
          <w:rFonts w:hint="eastAsia"/>
          <w:sz w:val="24"/>
          <w:szCs w:val="24"/>
        </w:rPr>
        <w:t>,</w:t>
      </w:r>
      <w:r w:rsidR="001A7D41" w:rsidRPr="001A7D41">
        <w:rPr>
          <w:rFonts w:hint="eastAsia"/>
          <w:sz w:val="24"/>
          <w:szCs w:val="24"/>
        </w:rPr>
        <w:t>然后采用稳定分布拟合得到的收益率差额</w:t>
      </w:r>
      <w:r w:rsidR="001A7D41" w:rsidRPr="001A7D41">
        <w:rPr>
          <w:rFonts w:hint="eastAsia"/>
          <w:sz w:val="24"/>
          <w:szCs w:val="24"/>
        </w:rPr>
        <w:t>,</w:t>
      </w:r>
      <w:r w:rsidR="001A7D41" w:rsidRPr="001A7D41">
        <w:rPr>
          <w:rFonts w:hint="eastAsia"/>
          <w:sz w:val="24"/>
          <w:szCs w:val="24"/>
        </w:rPr>
        <w:t>并据此计算出最佳建仓平仓点</w:t>
      </w:r>
      <w:r w:rsidR="001A7D41" w:rsidRPr="001A7D41">
        <w:rPr>
          <w:rFonts w:hint="eastAsia"/>
          <w:sz w:val="24"/>
          <w:szCs w:val="24"/>
        </w:rPr>
        <w:t>,</w:t>
      </w:r>
      <w:r w:rsidR="001A7D41" w:rsidRPr="001A7D41">
        <w:rPr>
          <w:rFonts w:hint="eastAsia"/>
          <w:sz w:val="24"/>
          <w:szCs w:val="24"/>
        </w:rPr>
        <w:t>并进而对建仓平仓的冲击成本进行了细致的估计</w:t>
      </w:r>
      <w:r w:rsidR="001A7D41" w:rsidRPr="001A7D41">
        <w:rPr>
          <w:rFonts w:hint="eastAsia"/>
          <w:sz w:val="24"/>
          <w:szCs w:val="24"/>
        </w:rPr>
        <w:t>,</w:t>
      </w:r>
      <w:r w:rsidR="000B0A9E">
        <w:rPr>
          <w:rFonts w:hint="eastAsia"/>
          <w:sz w:val="24"/>
          <w:szCs w:val="24"/>
        </w:rPr>
        <w:t>最终证明在国内市场上存在</w:t>
      </w:r>
      <w:r w:rsidR="003A0D74">
        <w:rPr>
          <w:rFonts w:hint="eastAsia"/>
          <w:sz w:val="24"/>
          <w:szCs w:val="24"/>
        </w:rPr>
        <w:t>着</w:t>
      </w:r>
      <w:r w:rsidR="000B0A9E">
        <w:rPr>
          <w:rFonts w:hint="eastAsia"/>
          <w:sz w:val="24"/>
          <w:szCs w:val="24"/>
        </w:rPr>
        <w:t>一定的高频交易机会</w:t>
      </w:r>
      <w:r w:rsidR="00D43277">
        <w:rPr>
          <w:rFonts w:hint="eastAsia"/>
          <w:sz w:val="24"/>
          <w:szCs w:val="24"/>
        </w:rPr>
        <w:t>[8]</w:t>
      </w:r>
      <w:r w:rsidR="001A7D41" w:rsidRPr="001A7D41">
        <w:rPr>
          <w:rFonts w:hint="eastAsia"/>
          <w:sz w:val="24"/>
          <w:szCs w:val="24"/>
        </w:rPr>
        <w:t>。</w:t>
      </w:r>
    </w:p>
    <w:p w:rsidR="005B0D81" w:rsidRPr="008A1C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3" w:name="_Toc469869029"/>
      <w:r>
        <w:rPr>
          <w:rFonts w:ascii="黑体" w:eastAsia="黑体" w:hAnsi="黑体" w:hint="eastAsia"/>
          <w:sz w:val="30"/>
          <w:szCs w:val="30"/>
        </w:rPr>
        <w:t>研究的目的和意义</w:t>
      </w:r>
      <w:bookmarkEnd w:id="3"/>
    </w:p>
    <w:p w:rsidR="007C3F91" w:rsidRDefault="00705344" w:rsidP="00705344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sz w:val="24"/>
          <w:szCs w:val="24"/>
        </w:rPr>
        <w:t>随着高频交易在日常交易中所占份额的日益增长，对高频交易的影响因素的研究也</w:t>
      </w:r>
      <w:r>
        <w:rPr>
          <w:rFonts w:hint="eastAsia"/>
          <w:sz w:val="24"/>
          <w:szCs w:val="24"/>
        </w:rPr>
        <w:t>逐渐受到了人们的重视。交易员们期望能在复杂的影响因子中能区分出有利或者有害的部分，用以在市场中做出较为正确，甚至是哪怕</w:t>
      </w:r>
      <w:r>
        <w:rPr>
          <w:rFonts w:hint="eastAsia"/>
          <w:sz w:val="24"/>
          <w:szCs w:val="24"/>
        </w:rPr>
        <w:t>51%</w:t>
      </w:r>
      <w:r>
        <w:rPr>
          <w:rFonts w:hint="eastAsia"/>
          <w:sz w:val="24"/>
          <w:szCs w:val="24"/>
        </w:rPr>
        <w:t>正确的选择。因此对高频交易的影响因素的分析正是为此提出的研究课题，期望可以在这个研究中找到一些可准确测量的因素，评价这些因素对高频交易的影响方向和影响大小，进而更好的发挥高频交易“有益于”市场的作用，让高频交易</w:t>
      </w:r>
      <w:r>
        <w:rPr>
          <w:rFonts w:hint="eastAsia"/>
          <w:sz w:val="24"/>
          <w:szCs w:val="24"/>
        </w:rPr>
        <w:lastRenderedPageBreak/>
        <w:t>更多的</w:t>
      </w:r>
      <w:r w:rsidR="000F7C10">
        <w:rPr>
          <w:rFonts w:hint="eastAsia"/>
          <w:sz w:val="24"/>
          <w:szCs w:val="24"/>
        </w:rPr>
        <w:t>为</w:t>
      </w:r>
      <w:r w:rsidR="00F1656F">
        <w:rPr>
          <w:rFonts w:hint="eastAsia"/>
          <w:sz w:val="24"/>
          <w:szCs w:val="24"/>
        </w:rPr>
        <w:t>市场</w:t>
      </w:r>
      <w:bookmarkStart w:id="4" w:name="_GoBack"/>
      <w:bookmarkEnd w:id="4"/>
      <w:r>
        <w:rPr>
          <w:rFonts w:hint="eastAsia"/>
          <w:sz w:val="24"/>
          <w:szCs w:val="24"/>
        </w:rPr>
        <w:t>创造一些价值。</w:t>
      </w:r>
    </w:p>
    <w:p w:rsidR="00705344" w:rsidRPr="00705344" w:rsidRDefault="00705344" w:rsidP="00705344">
      <w:pPr>
        <w:spacing w:line="400" w:lineRule="exact"/>
        <w:ind w:firstLineChars="177" w:firstLine="425"/>
        <w:rPr>
          <w:sz w:val="24"/>
          <w:szCs w:val="24"/>
        </w:rPr>
      </w:pP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/>
          <w:sz w:val="24"/>
          <w:szCs w:val="24"/>
        </w:rPr>
      </w:pPr>
      <w:bookmarkStart w:id="5" w:name="_Toc469869030"/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5"/>
    </w:p>
    <w:p w:rsidR="007E76CC" w:rsidRPr="00657440" w:rsidRDefault="007E76CC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7C3F91" w:rsidRPr="001C7323" w:rsidRDefault="007C3F91" w:rsidP="007C3F91">
      <w:pPr>
        <w:spacing w:line="400" w:lineRule="exact"/>
        <w:rPr>
          <w:sz w:val="24"/>
          <w:szCs w:val="24"/>
        </w:rPr>
      </w:pP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</w:t>
      </w:r>
    </w:p>
    <w:p w:rsidR="00F76E86" w:rsidRPr="007C3F91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3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14B" w:rsidRDefault="00A6614B" w:rsidP="00045F8F">
      <w:r>
        <w:separator/>
      </w:r>
    </w:p>
  </w:endnote>
  <w:endnote w:type="continuationSeparator" w:id="0">
    <w:p w:rsidR="00A6614B" w:rsidRDefault="00A6614B" w:rsidP="000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858564"/>
      <w:docPartObj>
        <w:docPartGallery w:val="Page Numbers (Bottom of Page)"/>
        <w:docPartUnique/>
      </w:docPartObj>
    </w:sdtPr>
    <w:sdtEndPr/>
    <w:sdtContent>
      <w:p w:rsidR="00606661" w:rsidRDefault="00A6614B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61" w:rsidRDefault="00C52A8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656F" w:rsidRPr="00F1656F">
      <w:rPr>
        <w:noProof/>
        <w:lang w:val="zh-CN"/>
      </w:rPr>
      <w:t>5</w:t>
    </w:r>
    <w:r>
      <w:rPr>
        <w:noProof/>
        <w:lang w:val="zh-CN"/>
      </w:rPr>
      <w:fldChar w:fldCharType="end"/>
    </w:r>
  </w:p>
  <w:p w:rsidR="00606661" w:rsidRDefault="00606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14B" w:rsidRDefault="00A6614B" w:rsidP="00045F8F">
      <w:r>
        <w:separator/>
      </w:r>
    </w:p>
  </w:footnote>
  <w:footnote w:type="continuationSeparator" w:id="0">
    <w:p w:rsidR="00A6614B" w:rsidRDefault="00A6614B" w:rsidP="000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523F0"/>
    <w:multiLevelType w:val="hybridMultilevel"/>
    <w:tmpl w:val="C25CCC68"/>
    <w:lvl w:ilvl="0" w:tplc="29C282F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C775BD"/>
    <w:multiLevelType w:val="hybridMultilevel"/>
    <w:tmpl w:val="7F705A94"/>
    <w:lvl w:ilvl="0" w:tplc="0C50B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56544B"/>
    <w:multiLevelType w:val="hybridMultilevel"/>
    <w:tmpl w:val="44F4B52E"/>
    <w:lvl w:ilvl="0" w:tplc="06820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F8F"/>
    <w:rsid w:val="00004C8A"/>
    <w:rsid w:val="000222D0"/>
    <w:rsid w:val="000458F0"/>
    <w:rsid w:val="00045F8F"/>
    <w:rsid w:val="000905CE"/>
    <w:rsid w:val="000B0A9E"/>
    <w:rsid w:val="000E33F9"/>
    <w:rsid w:val="000F7C10"/>
    <w:rsid w:val="00141D86"/>
    <w:rsid w:val="00175E17"/>
    <w:rsid w:val="001A7D41"/>
    <w:rsid w:val="001C7323"/>
    <w:rsid w:val="001D5D68"/>
    <w:rsid w:val="002B6D6D"/>
    <w:rsid w:val="002C0679"/>
    <w:rsid w:val="002D0F16"/>
    <w:rsid w:val="002D1197"/>
    <w:rsid w:val="00327C5A"/>
    <w:rsid w:val="00343E7F"/>
    <w:rsid w:val="0035432E"/>
    <w:rsid w:val="00384606"/>
    <w:rsid w:val="003A0D74"/>
    <w:rsid w:val="003B6583"/>
    <w:rsid w:val="003C7C30"/>
    <w:rsid w:val="003F3357"/>
    <w:rsid w:val="00481DA7"/>
    <w:rsid w:val="004B0151"/>
    <w:rsid w:val="00505B30"/>
    <w:rsid w:val="00523BEA"/>
    <w:rsid w:val="005635BE"/>
    <w:rsid w:val="00572209"/>
    <w:rsid w:val="0059130D"/>
    <w:rsid w:val="005B0D81"/>
    <w:rsid w:val="005F3915"/>
    <w:rsid w:val="00606661"/>
    <w:rsid w:val="006315F7"/>
    <w:rsid w:val="006362EE"/>
    <w:rsid w:val="00657440"/>
    <w:rsid w:val="00663CCD"/>
    <w:rsid w:val="006B0134"/>
    <w:rsid w:val="006B174B"/>
    <w:rsid w:val="006F1DE3"/>
    <w:rsid w:val="006F493A"/>
    <w:rsid w:val="00701646"/>
    <w:rsid w:val="00705344"/>
    <w:rsid w:val="00727DCF"/>
    <w:rsid w:val="007C3F91"/>
    <w:rsid w:val="007D212F"/>
    <w:rsid w:val="007E76CC"/>
    <w:rsid w:val="0088299F"/>
    <w:rsid w:val="00886127"/>
    <w:rsid w:val="008A1C81"/>
    <w:rsid w:val="008A25E6"/>
    <w:rsid w:val="00964D64"/>
    <w:rsid w:val="0098372A"/>
    <w:rsid w:val="009E4142"/>
    <w:rsid w:val="009F38DD"/>
    <w:rsid w:val="00A0297D"/>
    <w:rsid w:val="00A601F6"/>
    <w:rsid w:val="00A6614B"/>
    <w:rsid w:val="00AB0056"/>
    <w:rsid w:val="00B225CE"/>
    <w:rsid w:val="00B44FBE"/>
    <w:rsid w:val="00B47094"/>
    <w:rsid w:val="00B73E74"/>
    <w:rsid w:val="00B938C6"/>
    <w:rsid w:val="00BA2B64"/>
    <w:rsid w:val="00BB5B51"/>
    <w:rsid w:val="00BD515D"/>
    <w:rsid w:val="00BD7FF4"/>
    <w:rsid w:val="00C13C4F"/>
    <w:rsid w:val="00C52A81"/>
    <w:rsid w:val="00C6664B"/>
    <w:rsid w:val="00C7301F"/>
    <w:rsid w:val="00CA7F59"/>
    <w:rsid w:val="00D0649F"/>
    <w:rsid w:val="00D43277"/>
    <w:rsid w:val="00D56C67"/>
    <w:rsid w:val="00D95682"/>
    <w:rsid w:val="00DC0BB2"/>
    <w:rsid w:val="00DD5F79"/>
    <w:rsid w:val="00E46BB3"/>
    <w:rsid w:val="00E51C3D"/>
    <w:rsid w:val="00E736C1"/>
    <w:rsid w:val="00EB7E0D"/>
    <w:rsid w:val="00ED0854"/>
    <w:rsid w:val="00ED240C"/>
    <w:rsid w:val="00EE3E45"/>
    <w:rsid w:val="00F1656F"/>
    <w:rsid w:val="00F42000"/>
    <w:rsid w:val="00F76E86"/>
    <w:rsid w:val="00FC292D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C0679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2C0679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2C0679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C0679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C0679"/>
    <w:rPr>
      <w:b/>
      <w:bCs/>
    </w:rPr>
  </w:style>
  <w:style w:type="table" w:styleId="ab">
    <w:name w:val="Table Grid"/>
    <w:basedOn w:val="a1"/>
    <w:uiPriority w:val="59"/>
    <w:rsid w:val="003F3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3F33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668BB-0316-47CC-9690-8A904D6A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454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kanmars</cp:lastModifiedBy>
  <cp:revision>91</cp:revision>
  <dcterms:created xsi:type="dcterms:W3CDTF">2016-12-11T13:42:00Z</dcterms:created>
  <dcterms:modified xsi:type="dcterms:W3CDTF">2017-01-02T10:58:00Z</dcterms:modified>
</cp:coreProperties>
</file>