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FBE" w:rsidRPr="00B44FBE" w:rsidRDefault="00B44FBE" w:rsidP="00B44FBE">
      <w:pPr>
        <w:jc w:val="center"/>
        <w:rPr>
          <w:rFonts w:ascii="黑体" w:eastAsia="黑体" w:hAnsi="黑体"/>
          <w:sz w:val="32"/>
          <w:szCs w:val="32"/>
        </w:rPr>
      </w:pPr>
      <w:r w:rsidRPr="00B44FBE">
        <w:rPr>
          <w:rFonts w:ascii="黑体" w:eastAsia="黑体" w:hAnsi="黑体" w:hint="eastAsia"/>
          <w:sz w:val="32"/>
          <w:szCs w:val="32"/>
        </w:rPr>
        <w:t>目录</w:t>
      </w:r>
    </w:p>
    <w:p w:rsidR="00B44FBE" w:rsidRDefault="00B44FBE">
      <w:pPr>
        <w:pStyle w:val="10"/>
        <w:rPr>
          <w:rFonts w:asciiTheme="minorHAnsi" w:eastAsiaTheme="minorEastAsia" w:hAnsiTheme="minorHAnsi"/>
          <w:kern w:val="2"/>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469261762" w:history="1">
        <w:r w:rsidRPr="008E2BEA">
          <w:rPr>
            <w:rStyle w:val="a7"/>
            <w:rFonts w:hint="eastAsia"/>
          </w:rPr>
          <w:t>第一章 引言</w:t>
        </w:r>
        <w:r>
          <w:rPr>
            <w:webHidden/>
          </w:rPr>
          <w:tab/>
        </w:r>
        <w:r>
          <w:rPr>
            <w:webHidden/>
          </w:rPr>
          <w:fldChar w:fldCharType="begin"/>
        </w:r>
        <w:r>
          <w:rPr>
            <w:webHidden/>
          </w:rPr>
          <w:instrText xml:space="preserve"> PAGEREF _Toc469261762 \h </w:instrText>
        </w:r>
        <w:r>
          <w:rPr>
            <w:webHidden/>
          </w:rPr>
        </w:r>
        <w:r>
          <w:rPr>
            <w:webHidden/>
          </w:rPr>
          <w:fldChar w:fldCharType="separate"/>
        </w:r>
        <w:r>
          <w:rPr>
            <w:webHidden/>
          </w:rPr>
          <w:t>1</w:t>
        </w:r>
        <w:r>
          <w:rPr>
            <w:webHidden/>
          </w:rPr>
          <w:fldChar w:fldCharType="end"/>
        </w:r>
      </w:hyperlink>
    </w:p>
    <w:p w:rsidR="00B44FBE" w:rsidRPr="00ED240C" w:rsidRDefault="00B47541" w:rsidP="00B44FBE">
      <w:pPr>
        <w:pStyle w:val="20"/>
        <w:tabs>
          <w:tab w:val="left" w:pos="840"/>
          <w:tab w:val="right" w:leader="dot" w:pos="8210"/>
        </w:tabs>
        <w:ind w:left="0"/>
        <w:rPr>
          <w:rFonts w:asciiTheme="majorEastAsia" w:eastAsiaTheme="majorEastAsia" w:hAnsiTheme="majorEastAsia"/>
          <w:noProof/>
          <w:kern w:val="2"/>
          <w:sz w:val="24"/>
          <w:szCs w:val="24"/>
        </w:rPr>
      </w:pPr>
      <w:hyperlink w:anchor="_Toc469261763" w:history="1">
        <w:r w:rsidR="00B44FBE" w:rsidRPr="00ED240C">
          <w:rPr>
            <w:rStyle w:val="a7"/>
            <w:rFonts w:asciiTheme="majorEastAsia" w:eastAsiaTheme="majorEastAsia" w:hAnsiTheme="majorEastAsia"/>
            <w:noProof/>
            <w:sz w:val="24"/>
            <w:szCs w:val="24"/>
          </w:rPr>
          <w:t>1.1</w:t>
        </w:r>
        <w:r w:rsidR="00B44FBE" w:rsidRPr="00ED240C">
          <w:rPr>
            <w:rFonts w:asciiTheme="majorEastAsia" w:eastAsiaTheme="majorEastAsia" w:hAnsiTheme="majorEastAsia"/>
            <w:noProof/>
            <w:kern w:val="2"/>
            <w:sz w:val="24"/>
            <w:szCs w:val="24"/>
          </w:rPr>
          <w:tab/>
        </w:r>
        <w:r w:rsidR="00B44FBE" w:rsidRPr="00ED240C">
          <w:rPr>
            <w:rStyle w:val="a7"/>
            <w:rFonts w:asciiTheme="majorEastAsia" w:eastAsiaTheme="majorEastAsia" w:hAnsiTheme="majorEastAsia" w:hint="eastAsia"/>
            <w:noProof/>
            <w:sz w:val="24"/>
            <w:szCs w:val="24"/>
          </w:rPr>
          <w:t>一级标题</w:t>
        </w:r>
        <w:r w:rsidR="00B44FBE" w:rsidRPr="00ED240C">
          <w:rPr>
            <w:rFonts w:asciiTheme="majorEastAsia" w:eastAsiaTheme="majorEastAsia" w:hAnsiTheme="majorEastAsia"/>
            <w:noProof/>
            <w:webHidden/>
            <w:sz w:val="24"/>
            <w:szCs w:val="24"/>
          </w:rPr>
          <w:tab/>
        </w:r>
        <w:r w:rsidR="00B44FBE" w:rsidRPr="00ED240C">
          <w:rPr>
            <w:rFonts w:asciiTheme="majorEastAsia" w:eastAsiaTheme="majorEastAsia" w:hAnsiTheme="majorEastAsia"/>
            <w:noProof/>
            <w:webHidden/>
            <w:sz w:val="24"/>
            <w:szCs w:val="24"/>
          </w:rPr>
          <w:fldChar w:fldCharType="begin"/>
        </w:r>
        <w:r w:rsidR="00B44FBE" w:rsidRPr="00ED240C">
          <w:rPr>
            <w:rFonts w:asciiTheme="majorEastAsia" w:eastAsiaTheme="majorEastAsia" w:hAnsiTheme="majorEastAsia"/>
            <w:noProof/>
            <w:webHidden/>
            <w:sz w:val="24"/>
            <w:szCs w:val="24"/>
          </w:rPr>
          <w:instrText xml:space="preserve"> PAGEREF _Toc469261763 \h </w:instrText>
        </w:r>
        <w:r w:rsidR="00B44FBE" w:rsidRPr="00ED240C">
          <w:rPr>
            <w:rFonts w:asciiTheme="majorEastAsia" w:eastAsiaTheme="majorEastAsia" w:hAnsiTheme="majorEastAsia"/>
            <w:noProof/>
            <w:webHidden/>
            <w:sz w:val="24"/>
            <w:szCs w:val="24"/>
          </w:rPr>
        </w:r>
        <w:r w:rsidR="00B44FBE" w:rsidRPr="00ED240C">
          <w:rPr>
            <w:rFonts w:asciiTheme="majorEastAsia" w:eastAsiaTheme="majorEastAsia" w:hAnsiTheme="majorEastAsia"/>
            <w:noProof/>
            <w:webHidden/>
            <w:sz w:val="24"/>
            <w:szCs w:val="24"/>
          </w:rPr>
          <w:fldChar w:fldCharType="separate"/>
        </w:r>
        <w:r w:rsidR="00B44FBE" w:rsidRPr="00ED240C">
          <w:rPr>
            <w:rFonts w:asciiTheme="majorEastAsia" w:eastAsiaTheme="majorEastAsia" w:hAnsiTheme="majorEastAsia"/>
            <w:noProof/>
            <w:webHidden/>
            <w:sz w:val="24"/>
            <w:szCs w:val="24"/>
          </w:rPr>
          <w:t>1</w:t>
        </w:r>
        <w:r w:rsidR="00B44FBE" w:rsidRPr="00ED240C">
          <w:rPr>
            <w:rFonts w:asciiTheme="majorEastAsia" w:eastAsiaTheme="majorEastAsia" w:hAnsiTheme="majorEastAsia"/>
            <w:noProof/>
            <w:webHidden/>
            <w:sz w:val="24"/>
            <w:szCs w:val="24"/>
          </w:rPr>
          <w:fldChar w:fldCharType="end"/>
        </w:r>
      </w:hyperlink>
    </w:p>
    <w:p w:rsidR="00B44FBE" w:rsidRPr="00ED240C" w:rsidRDefault="00B47541" w:rsidP="00B44FBE">
      <w:pPr>
        <w:pStyle w:val="30"/>
        <w:tabs>
          <w:tab w:val="left" w:pos="851"/>
          <w:tab w:val="right" w:leader="dot" w:pos="8210"/>
        </w:tabs>
        <w:ind w:left="0"/>
        <w:rPr>
          <w:rFonts w:asciiTheme="majorEastAsia" w:eastAsiaTheme="majorEastAsia" w:hAnsiTheme="majorEastAsia"/>
          <w:noProof/>
          <w:kern w:val="2"/>
          <w:sz w:val="24"/>
          <w:szCs w:val="24"/>
        </w:rPr>
      </w:pPr>
      <w:hyperlink w:anchor="_Toc469261764" w:history="1">
        <w:r w:rsidR="00B44FBE" w:rsidRPr="00ED240C">
          <w:rPr>
            <w:rStyle w:val="a7"/>
            <w:rFonts w:asciiTheme="majorEastAsia" w:eastAsiaTheme="majorEastAsia" w:hAnsiTheme="majorEastAsia"/>
            <w:noProof/>
            <w:sz w:val="24"/>
            <w:szCs w:val="24"/>
          </w:rPr>
          <w:t>1.1.1</w:t>
        </w:r>
        <w:r w:rsidR="00B44FBE" w:rsidRPr="00ED240C">
          <w:rPr>
            <w:rFonts w:asciiTheme="majorEastAsia" w:eastAsiaTheme="majorEastAsia" w:hAnsiTheme="majorEastAsia"/>
            <w:noProof/>
            <w:kern w:val="2"/>
            <w:sz w:val="24"/>
            <w:szCs w:val="24"/>
          </w:rPr>
          <w:tab/>
        </w:r>
        <w:r w:rsidR="00B44FBE" w:rsidRPr="00ED240C">
          <w:rPr>
            <w:rStyle w:val="a7"/>
            <w:rFonts w:asciiTheme="majorEastAsia" w:eastAsiaTheme="majorEastAsia" w:hAnsiTheme="majorEastAsia" w:hint="eastAsia"/>
            <w:noProof/>
            <w:sz w:val="24"/>
            <w:szCs w:val="24"/>
          </w:rPr>
          <w:t>二级标题</w:t>
        </w:r>
        <w:r w:rsidR="00B44FBE" w:rsidRPr="00ED240C">
          <w:rPr>
            <w:rFonts w:asciiTheme="majorEastAsia" w:eastAsiaTheme="majorEastAsia" w:hAnsiTheme="majorEastAsia"/>
            <w:noProof/>
            <w:webHidden/>
            <w:sz w:val="24"/>
            <w:szCs w:val="24"/>
          </w:rPr>
          <w:tab/>
        </w:r>
        <w:r w:rsidR="00B44FBE" w:rsidRPr="00ED240C">
          <w:rPr>
            <w:rFonts w:asciiTheme="majorEastAsia" w:eastAsiaTheme="majorEastAsia" w:hAnsiTheme="majorEastAsia"/>
            <w:noProof/>
            <w:webHidden/>
            <w:sz w:val="24"/>
            <w:szCs w:val="24"/>
          </w:rPr>
          <w:fldChar w:fldCharType="begin"/>
        </w:r>
        <w:r w:rsidR="00B44FBE" w:rsidRPr="00ED240C">
          <w:rPr>
            <w:rFonts w:asciiTheme="majorEastAsia" w:eastAsiaTheme="majorEastAsia" w:hAnsiTheme="majorEastAsia"/>
            <w:noProof/>
            <w:webHidden/>
            <w:sz w:val="24"/>
            <w:szCs w:val="24"/>
          </w:rPr>
          <w:instrText xml:space="preserve"> PAGEREF _Toc469261764 \h </w:instrText>
        </w:r>
        <w:r w:rsidR="00B44FBE" w:rsidRPr="00ED240C">
          <w:rPr>
            <w:rFonts w:asciiTheme="majorEastAsia" w:eastAsiaTheme="majorEastAsia" w:hAnsiTheme="majorEastAsia"/>
            <w:noProof/>
            <w:webHidden/>
            <w:sz w:val="24"/>
            <w:szCs w:val="24"/>
          </w:rPr>
        </w:r>
        <w:r w:rsidR="00B44FBE" w:rsidRPr="00ED240C">
          <w:rPr>
            <w:rFonts w:asciiTheme="majorEastAsia" w:eastAsiaTheme="majorEastAsia" w:hAnsiTheme="majorEastAsia"/>
            <w:noProof/>
            <w:webHidden/>
            <w:sz w:val="24"/>
            <w:szCs w:val="24"/>
          </w:rPr>
          <w:fldChar w:fldCharType="separate"/>
        </w:r>
        <w:r w:rsidR="00B44FBE" w:rsidRPr="00ED240C">
          <w:rPr>
            <w:rFonts w:asciiTheme="majorEastAsia" w:eastAsiaTheme="majorEastAsia" w:hAnsiTheme="majorEastAsia"/>
            <w:noProof/>
            <w:webHidden/>
            <w:sz w:val="24"/>
            <w:szCs w:val="24"/>
          </w:rPr>
          <w:t>1</w:t>
        </w:r>
        <w:r w:rsidR="00B44FBE" w:rsidRPr="00ED240C">
          <w:rPr>
            <w:rFonts w:asciiTheme="majorEastAsia" w:eastAsiaTheme="majorEastAsia" w:hAnsiTheme="majorEastAsia"/>
            <w:noProof/>
            <w:webHidden/>
            <w:sz w:val="24"/>
            <w:szCs w:val="24"/>
          </w:rPr>
          <w:fldChar w:fldCharType="end"/>
        </w:r>
      </w:hyperlink>
    </w:p>
    <w:p w:rsidR="00FC5024" w:rsidRDefault="00B44FBE" w:rsidP="00FC5024">
      <w:r>
        <w:fldChar w:fldCharType="end"/>
      </w:r>
    </w:p>
    <w:p w:rsidR="0059130D" w:rsidRDefault="0059130D">
      <w:pPr>
        <w:widowControl/>
        <w:jc w:val="left"/>
        <w:sectPr w:rsidR="0059130D" w:rsidSect="00FC5024">
          <w:headerReference w:type="even" r:id="rId9"/>
          <w:headerReference w:type="default" r:id="rId10"/>
          <w:footerReference w:type="default" r:id="rId11"/>
          <w:pgSz w:w="11906" w:h="16838"/>
          <w:pgMar w:top="2552" w:right="1701" w:bottom="2268" w:left="1985" w:header="851" w:footer="992" w:gutter="0"/>
          <w:cols w:space="425"/>
          <w:docGrid w:type="lines" w:linePitch="312"/>
        </w:sectPr>
      </w:pPr>
    </w:p>
    <w:p w:rsidR="00FC5024" w:rsidRDefault="001C5625" w:rsidP="00F76E86">
      <w:pPr>
        <w:pStyle w:val="1"/>
        <w:spacing w:line="400" w:lineRule="exact"/>
        <w:ind w:left="0"/>
        <w:jc w:val="center"/>
        <w:rPr>
          <w:rFonts w:ascii="黑体" w:eastAsia="黑体" w:hAnsi="黑体"/>
          <w:sz w:val="36"/>
          <w:szCs w:val="36"/>
        </w:rPr>
      </w:pPr>
      <w:r>
        <w:rPr>
          <w:rFonts w:ascii="黑体" w:eastAsia="黑体" w:hAnsi="黑体" w:hint="eastAsia"/>
          <w:sz w:val="36"/>
          <w:szCs w:val="36"/>
        </w:rPr>
        <w:lastRenderedPageBreak/>
        <w:t>常见的高频交易策略</w:t>
      </w:r>
    </w:p>
    <w:p w:rsidR="00045F8F" w:rsidRPr="00FC5024" w:rsidRDefault="0009114B" w:rsidP="00F76E86">
      <w:pPr>
        <w:pStyle w:val="2"/>
        <w:numPr>
          <w:ilvl w:val="1"/>
          <w:numId w:val="3"/>
        </w:numPr>
        <w:spacing w:line="400" w:lineRule="exact"/>
        <w:ind w:left="0" w:firstLine="0"/>
        <w:jc w:val="center"/>
        <w:rPr>
          <w:rFonts w:ascii="黑体" w:eastAsia="黑体" w:hAnsi="黑体"/>
          <w:sz w:val="30"/>
          <w:szCs w:val="30"/>
        </w:rPr>
      </w:pPr>
      <w:r>
        <w:rPr>
          <w:rFonts w:ascii="黑体" w:eastAsia="黑体" w:hAnsi="黑体" w:hint="eastAsia"/>
          <w:sz w:val="30"/>
          <w:szCs w:val="30"/>
        </w:rPr>
        <w:t>交易策略是高频交易的核心</w:t>
      </w:r>
    </w:p>
    <w:p w:rsidR="007E76CC" w:rsidRDefault="0009114B" w:rsidP="0009114B">
      <w:pPr>
        <w:spacing w:line="400" w:lineRule="exact"/>
        <w:ind w:firstLineChars="177" w:firstLine="425"/>
        <w:rPr>
          <w:rFonts w:hint="eastAsia"/>
          <w:sz w:val="24"/>
          <w:szCs w:val="24"/>
        </w:rPr>
      </w:pPr>
      <w:r>
        <w:rPr>
          <w:rFonts w:hint="eastAsia"/>
          <w:sz w:val="24"/>
          <w:szCs w:val="24"/>
        </w:rPr>
        <w:t>一个正确的策略会带来不错的收益，加以高频则会成倍的增加收益；如果是一个错误的策略运行在高频交易上，带来的只有成倍的亏损。</w:t>
      </w:r>
    </w:p>
    <w:p w:rsidR="008B463B" w:rsidRDefault="001D2D63" w:rsidP="0009114B">
      <w:pPr>
        <w:spacing w:line="400" w:lineRule="exact"/>
        <w:ind w:firstLineChars="177" w:firstLine="425"/>
        <w:rPr>
          <w:rFonts w:hint="eastAsia"/>
          <w:sz w:val="24"/>
          <w:szCs w:val="24"/>
        </w:rPr>
      </w:pPr>
      <w:r>
        <w:rPr>
          <w:rFonts w:hint="eastAsia"/>
          <w:sz w:val="24"/>
          <w:szCs w:val="24"/>
        </w:rPr>
        <w:t>高频交易的策略高度依赖于所处</w:t>
      </w:r>
      <w:r w:rsidR="008B463B">
        <w:rPr>
          <w:rFonts w:hint="eastAsia"/>
          <w:sz w:val="24"/>
          <w:szCs w:val="24"/>
        </w:rPr>
        <w:t>交易所</w:t>
      </w:r>
      <w:r>
        <w:rPr>
          <w:rFonts w:hint="eastAsia"/>
          <w:sz w:val="24"/>
          <w:szCs w:val="24"/>
        </w:rPr>
        <w:t>的交易细则和交易所的</w:t>
      </w:r>
      <w:r>
        <w:rPr>
          <w:rFonts w:hint="eastAsia"/>
          <w:sz w:val="24"/>
          <w:szCs w:val="24"/>
        </w:rPr>
        <w:t>IT</w:t>
      </w:r>
      <w:r>
        <w:rPr>
          <w:rFonts w:hint="eastAsia"/>
          <w:sz w:val="24"/>
          <w:szCs w:val="24"/>
        </w:rPr>
        <w:t>架构</w:t>
      </w:r>
      <w:r w:rsidR="008B463B">
        <w:rPr>
          <w:rFonts w:hint="eastAsia"/>
          <w:sz w:val="24"/>
          <w:szCs w:val="24"/>
        </w:rPr>
        <w:t>，针对实际情况而设计的策略才能合理的带来收益。</w:t>
      </w:r>
    </w:p>
    <w:p w:rsidR="001D2D63" w:rsidRDefault="00DE6691" w:rsidP="0009114B">
      <w:pPr>
        <w:spacing w:line="400" w:lineRule="exact"/>
        <w:ind w:firstLineChars="177" w:firstLine="425"/>
        <w:rPr>
          <w:rFonts w:hint="eastAsia"/>
          <w:sz w:val="24"/>
          <w:szCs w:val="24"/>
        </w:rPr>
      </w:pPr>
      <w:r>
        <w:rPr>
          <w:rFonts w:hint="eastAsia"/>
          <w:sz w:val="24"/>
          <w:szCs w:val="24"/>
        </w:rPr>
        <w:t>某些市场流行使用</w:t>
      </w:r>
      <w:r w:rsidR="001D2D63">
        <w:rPr>
          <w:rFonts w:hint="eastAsia"/>
          <w:sz w:val="24"/>
          <w:szCs w:val="24"/>
        </w:rPr>
        <w:t>冰山算法：在市场上如果一个人有大量的买单，那么他的交易对手方得知这个信息后一定会选择相反的方向与他作对，导致价格大幅上升。为了解决这个问题，有的交易所提供了一种针对性的工具，即“冰山订单”。这种订单可以很大，但是只有</w:t>
      </w:r>
      <w:proofErr w:type="gramStart"/>
      <w:r w:rsidR="001D2D63">
        <w:rPr>
          <w:rFonts w:hint="eastAsia"/>
          <w:sz w:val="24"/>
          <w:szCs w:val="24"/>
        </w:rPr>
        <w:t>一</w:t>
      </w:r>
      <w:proofErr w:type="gramEnd"/>
      <w:r w:rsidR="001D2D63">
        <w:rPr>
          <w:rFonts w:hint="eastAsia"/>
          <w:sz w:val="24"/>
          <w:szCs w:val="24"/>
        </w:rPr>
        <w:t>小部分是公开出来的，其他的都隐藏在“冰山”之下，除了交易所和下单者之外没有人知道有多少交易量。这样就导致了信息不对称，因此有的用户为了“探测”是否有“冰山”订单，则不断下小订单探测并立即取消，在探测到冰山订单后，说明市场上将有大量的买单出现，价格可能高升，则探测者可以</w:t>
      </w:r>
      <w:proofErr w:type="gramStart"/>
      <w:r w:rsidR="001D2D63">
        <w:rPr>
          <w:rFonts w:hint="eastAsia"/>
          <w:sz w:val="24"/>
          <w:szCs w:val="24"/>
        </w:rPr>
        <w:t>采用截单的</w:t>
      </w:r>
      <w:proofErr w:type="gramEnd"/>
      <w:r w:rsidR="001D2D63">
        <w:rPr>
          <w:rFonts w:hint="eastAsia"/>
          <w:sz w:val="24"/>
          <w:szCs w:val="24"/>
        </w:rPr>
        <w:t>方式获取一定的收益。</w:t>
      </w:r>
    </w:p>
    <w:p w:rsidR="003F03BB" w:rsidRDefault="00D73CA4" w:rsidP="0009114B">
      <w:pPr>
        <w:spacing w:line="400" w:lineRule="exact"/>
        <w:ind w:firstLineChars="177" w:firstLine="425"/>
        <w:rPr>
          <w:rFonts w:hint="eastAsia"/>
          <w:sz w:val="24"/>
          <w:szCs w:val="24"/>
        </w:rPr>
      </w:pPr>
      <w:r>
        <w:rPr>
          <w:rFonts w:hint="eastAsia"/>
          <w:sz w:val="24"/>
          <w:szCs w:val="24"/>
        </w:rPr>
        <w:t>此外</w:t>
      </w:r>
      <w:r w:rsidR="003F03BB">
        <w:rPr>
          <w:rFonts w:hint="eastAsia"/>
          <w:sz w:val="24"/>
          <w:szCs w:val="24"/>
        </w:rPr>
        <w:t>高频交易的策略与市场交易细则有关</w:t>
      </w:r>
      <w:r w:rsidR="003F4B37">
        <w:rPr>
          <w:rFonts w:hint="eastAsia"/>
          <w:sz w:val="24"/>
          <w:szCs w:val="24"/>
        </w:rPr>
        <w:t>。</w:t>
      </w:r>
      <w:r w:rsidR="003F03BB">
        <w:rPr>
          <w:rFonts w:hint="eastAsia"/>
          <w:sz w:val="24"/>
          <w:szCs w:val="24"/>
        </w:rPr>
        <w:t>我国的股指期货市场</w:t>
      </w:r>
      <w:r w:rsidR="008528DE">
        <w:rPr>
          <w:rFonts w:hint="eastAsia"/>
          <w:sz w:val="24"/>
          <w:szCs w:val="24"/>
        </w:rPr>
        <w:t>于</w:t>
      </w:r>
      <w:r w:rsidR="003F03BB">
        <w:rPr>
          <w:rFonts w:hint="eastAsia"/>
          <w:sz w:val="24"/>
          <w:szCs w:val="24"/>
        </w:rPr>
        <w:t>2010</w:t>
      </w:r>
      <w:r w:rsidR="003F03BB">
        <w:rPr>
          <w:rFonts w:hint="eastAsia"/>
          <w:sz w:val="24"/>
          <w:szCs w:val="24"/>
        </w:rPr>
        <w:t>年正式上市，此间经历了较多的股灾事件，因此在</w:t>
      </w:r>
      <w:r w:rsidR="003F03BB">
        <w:rPr>
          <w:rFonts w:hint="eastAsia"/>
          <w:sz w:val="24"/>
          <w:szCs w:val="24"/>
        </w:rPr>
        <w:t>2015</w:t>
      </w:r>
      <w:r w:rsidR="003F03BB">
        <w:rPr>
          <w:rFonts w:hint="eastAsia"/>
          <w:sz w:val="24"/>
          <w:szCs w:val="24"/>
        </w:rPr>
        <w:t>年</w:t>
      </w:r>
      <w:r w:rsidR="003F03BB">
        <w:rPr>
          <w:rFonts w:hint="eastAsia"/>
          <w:sz w:val="24"/>
          <w:szCs w:val="24"/>
        </w:rPr>
        <w:t>9</w:t>
      </w:r>
      <w:r w:rsidR="003F03BB">
        <w:rPr>
          <w:rFonts w:hint="eastAsia"/>
          <w:sz w:val="24"/>
          <w:szCs w:val="24"/>
        </w:rPr>
        <w:t>月</w:t>
      </w:r>
      <w:r w:rsidR="003F03BB">
        <w:rPr>
          <w:rFonts w:hint="eastAsia"/>
          <w:sz w:val="24"/>
          <w:szCs w:val="24"/>
        </w:rPr>
        <w:t>2</w:t>
      </w:r>
      <w:r w:rsidR="003F03BB">
        <w:rPr>
          <w:rFonts w:hint="eastAsia"/>
          <w:sz w:val="24"/>
          <w:szCs w:val="24"/>
        </w:rPr>
        <w:t>日，中国金融期货交易所（中金所）发布了关于股指期货的新政策：</w:t>
      </w:r>
    </w:p>
    <w:p w:rsidR="003F03BB" w:rsidRPr="003F03BB" w:rsidRDefault="003F03BB" w:rsidP="003F03BB">
      <w:pPr>
        <w:pStyle w:val="a8"/>
        <w:numPr>
          <w:ilvl w:val="0"/>
          <w:numId w:val="13"/>
        </w:numPr>
        <w:spacing w:line="400" w:lineRule="exact"/>
        <w:ind w:left="0" w:firstLineChars="0" w:firstLine="425"/>
        <w:rPr>
          <w:rFonts w:hint="eastAsia"/>
          <w:sz w:val="24"/>
          <w:szCs w:val="24"/>
        </w:rPr>
      </w:pPr>
      <w:r w:rsidRPr="003F03BB">
        <w:rPr>
          <w:rFonts w:hint="eastAsia"/>
          <w:sz w:val="24"/>
          <w:szCs w:val="24"/>
        </w:rPr>
        <w:t>调整股指期货日内开仓限制标准。中金所决定，自</w:t>
      </w:r>
      <w:r w:rsidRPr="003F03BB">
        <w:rPr>
          <w:rFonts w:hint="eastAsia"/>
          <w:sz w:val="24"/>
          <w:szCs w:val="24"/>
        </w:rPr>
        <w:t>2015</w:t>
      </w:r>
      <w:r w:rsidRPr="003F03BB">
        <w:rPr>
          <w:rFonts w:hint="eastAsia"/>
          <w:sz w:val="24"/>
          <w:szCs w:val="24"/>
        </w:rPr>
        <w:t>年</w:t>
      </w:r>
      <w:r w:rsidRPr="003F03BB">
        <w:rPr>
          <w:rFonts w:hint="eastAsia"/>
          <w:sz w:val="24"/>
          <w:szCs w:val="24"/>
        </w:rPr>
        <w:t>9</w:t>
      </w:r>
      <w:r w:rsidRPr="003F03BB">
        <w:rPr>
          <w:rFonts w:hint="eastAsia"/>
          <w:sz w:val="24"/>
          <w:szCs w:val="24"/>
        </w:rPr>
        <w:t>月</w:t>
      </w:r>
      <w:r w:rsidRPr="003F03BB">
        <w:rPr>
          <w:rFonts w:hint="eastAsia"/>
          <w:sz w:val="24"/>
          <w:szCs w:val="24"/>
        </w:rPr>
        <w:t>7</w:t>
      </w:r>
      <w:r w:rsidRPr="003F03BB">
        <w:rPr>
          <w:rFonts w:hint="eastAsia"/>
          <w:sz w:val="24"/>
          <w:szCs w:val="24"/>
        </w:rPr>
        <w:t>日起，沪深</w:t>
      </w:r>
      <w:r w:rsidRPr="003F03BB">
        <w:rPr>
          <w:rFonts w:hint="eastAsia"/>
          <w:sz w:val="24"/>
          <w:szCs w:val="24"/>
        </w:rPr>
        <w:t>300</w:t>
      </w:r>
      <w:r w:rsidRPr="003F03BB">
        <w:rPr>
          <w:rFonts w:hint="eastAsia"/>
          <w:sz w:val="24"/>
          <w:szCs w:val="24"/>
        </w:rPr>
        <w:t>、上证</w:t>
      </w:r>
      <w:r w:rsidRPr="003F03BB">
        <w:rPr>
          <w:rFonts w:hint="eastAsia"/>
          <w:sz w:val="24"/>
          <w:szCs w:val="24"/>
        </w:rPr>
        <w:t>50</w:t>
      </w:r>
      <w:r w:rsidRPr="003F03BB">
        <w:rPr>
          <w:rFonts w:hint="eastAsia"/>
          <w:sz w:val="24"/>
          <w:szCs w:val="24"/>
        </w:rPr>
        <w:t>、中证</w:t>
      </w:r>
      <w:r w:rsidRPr="003F03BB">
        <w:rPr>
          <w:rFonts w:hint="eastAsia"/>
          <w:sz w:val="24"/>
          <w:szCs w:val="24"/>
        </w:rPr>
        <w:t>500</w:t>
      </w:r>
      <w:r w:rsidRPr="003F03BB">
        <w:rPr>
          <w:rFonts w:hint="eastAsia"/>
          <w:sz w:val="24"/>
          <w:szCs w:val="24"/>
        </w:rPr>
        <w:t>股指期货客户在单个产品、单日开仓交易量超过</w:t>
      </w:r>
      <w:r w:rsidRPr="003F03BB">
        <w:rPr>
          <w:rFonts w:hint="eastAsia"/>
          <w:sz w:val="24"/>
          <w:szCs w:val="24"/>
        </w:rPr>
        <w:t>10</w:t>
      </w:r>
      <w:r w:rsidRPr="003F03BB">
        <w:rPr>
          <w:rFonts w:hint="eastAsia"/>
          <w:sz w:val="24"/>
          <w:szCs w:val="24"/>
        </w:rPr>
        <w:t>手的构成“日内开仓交易量较大”的异常交易行为。</w:t>
      </w:r>
    </w:p>
    <w:p w:rsidR="003F03BB" w:rsidRDefault="003F03BB" w:rsidP="003F03BB">
      <w:pPr>
        <w:pStyle w:val="a8"/>
        <w:numPr>
          <w:ilvl w:val="0"/>
          <w:numId w:val="13"/>
        </w:numPr>
        <w:spacing w:line="400" w:lineRule="exact"/>
        <w:ind w:left="0" w:firstLineChars="0" w:firstLine="425"/>
        <w:rPr>
          <w:rFonts w:hint="eastAsia"/>
          <w:sz w:val="24"/>
          <w:szCs w:val="24"/>
        </w:rPr>
      </w:pPr>
      <w:r w:rsidRPr="003F03BB">
        <w:rPr>
          <w:rFonts w:hint="eastAsia"/>
          <w:sz w:val="24"/>
          <w:szCs w:val="24"/>
        </w:rPr>
        <w:t>提高股指期货各合约持仓交易保证金标准</w:t>
      </w:r>
      <w:r>
        <w:rPr>
          <w:rFonts w:hint="eastAsia"/>
          <w:sz w:val="24"/>
          <w:szCs w:val="24"/>
        </w:rPr>
        <w:t>。</w:t>
      </w:r>
      <w:r w:rsidRPr="003F03BB">
        <w:rPr>
          <w:rFonts w:hint="eastAsia"/>
          <w:sz w:val="24"/>
          <w:szCs w:val="24"/>
        </w:rPr>
        <w:t>自</w:t>
      </w:r>
      <w:r w:rsidRPr="003F03BB">
        <w:rPr>
          <w:rFonts w:hint="eastAsia"/>
          <w:sz w:val="24"/>
          <w:szCs w:val="24"/>
        </w:rPr>
        <w:t>2015</w:t>
      </w:r>
      <w:r w:rsidRPr="003F03BB">
        <w:rPr>
          <w:rFonts w:hint="eastAsia"/>
          <w:sz w:val="24"/>
          <w:szCs w:val="24"/>
        </w:rPr>
        <w:t>年</w:t>
      </w:r>
      <w:r w:rsidRPr="003F03BB">
        <w:rPr>
          <w:rFonts w:hint="eastAsia"/>
          <w:sz w:val="24"/>
          <w:szCs w:val="24"/>
        </w:rPr>
        <w:t>9</w:t>
      </w:r>
      <w:r w:rsidRPr="003F03BB">
        <w:rPr>
          <w:rFonts w:hint="eastAsia"/>
          <w:sz w:val="24"/>
          <w:szCs w:val="24"/>
        </w:rPr>
        <w:t>月</w:t>
      </w:r>
      <w:r w:rsidRPr="003F03BB">
        <w:rPr>
          <w:rFonts w:hint="eastAsia"/>
          <w:sz w:val="24"/>
          <w:szCs w:val="24"/>
        </w:rPr>
        <w:t>7</w:t>
      </w:r>
      <w:r w:rsidRPr="003F03BB">
        <w:rPr>
          <w:rFonts w:hint="eastAsia"/>
          <w:sz w:val="24"/>
          <w:szCs w:val="24"/>
        </w:rPr>
        <w:t>日结算时起，将沪深</w:t>
      </w:r>
      <w:r w:rsidRPr="003F03BB">
        <w:rPr>
          <w:rFonts w:hint="eastAsia"/>
          <w:sz w:val="24"/>
          <w:szCs w:val="24"/>
        </w:rPr>
        <w:t>300</w:t>
      </w:r>
      <w:r w:rsidRPr="003F03BB">
        <w:rPr>
          <w:rFonts w:hint="eastAsia"/>
          <w:sz w:val="24"/>
          <w:szCs w:val="24"/>
        </w:rPr>
        <w:t>、上证</w:t>
      </w:r>
      <w:r w:rsidRPr="003F03BB">
        <w:rPr>
          <w:rFonts w:hint="eastAsia"/>
          <w:sz w:val="24"/>
          <w:szCs w:val="24"/>
        </w:rPr>
        <w:t>50</w:t>
      </w:r>
      <w:r w:rsidRPr="003F03BB">
        <w:rPr>
          <w:rFonts w:hint="eastAsia"/>
          <w:sz w:val="24"/>
          <w:szCs w:val="24"/>
        </w:rPr>
        <w:t>和中证</w:t>
      </w:r>
      <w:r w:rsidRPr="003F03BB">
        <w:rPr>
          <w:rFonts w:hint="eastAsia"/>
          <w:sz w:val="24"/>
          <w:szCs w:val="24"/>
        </w:rPr>
        <w:t>500</w:t>
      </w:r>
      <w:r w:rsidRPr="003F03BB">
        <w:rPr>
          <w:rFonts w:hint="eastAsia"/>
          <w:sz w:val="24"/>
          <w:szCs w:val="24"/>
        </w:rPr>
        <w:t>股指期货各合约非套期保值持仓交易保证金标准由目前的</w:t>
      </w:r>
      <w:r w:rsidRPr="003F03BB">
        <w:rPr>
          <w:rFonts w:hint="eastAsia"/>
          <w:sz w:val="24"/>
          <w:szCs w:val="24"/>
        </w:rPr>
        <w:t>30%</w:t>
      </w:r>
      <w:r w:rsidRPr="003F03BB">
        <w:rPr>
          <w:rFonts w:hint="eastAsia"/>
          <w:sz w:val="24"/>
          <w:szCs w:val="24"/>
        </w:rPr>
        <w:t>提高至</w:t>
      </w:r>
      <w:r w:rsidRPr="003F03BB">
        <w:rPr>
          <w:rFonts w:hint="eastAsia"/>
          <w:sz w:val="24"/>
          <w:szCs w:val="24"/>
        </w:rPr>
        <w:t>40%</w:t>
      </w:r>
      <w:r w:rsidRPr="003F03BB">
        <w:rPr>
          <w:rFonts w:hint="eastAsia"/>
          <w:sz w:val="24"/>
          <w:szCs w:val="24"/>
        </w:rPr>
        <w:t>，将沪深</w:t>
      </w:r>
      <w:r w:rsidRPr="003F03BB">
        <w:rPr>
          <w:rFonts w:hint="eastAsia"/>
          <w:sz w:val="24"/>
          <w:szCs w:val="24"/>
        </w:rPr>
        <w:t>300</w:t>
      </w:r>
      <w:r w:rsidRPr="003F03BB">
        <w:rPr>
          <w:rFonts w:hint="eastAsia"/>
          <w:sz w:val="24"/>
          <w:szCs w:val="24"/>
        </w:rPr>
        <w:t>、上证</w:t>
      </w:r>
      <w:r w:rsidRPr="003F03BB">
        <w:rPr>
          <w:rFonts w:hint="eastAsia"/>
          <w:sz w:val="24"/>
          <w:szCs w:val="24"/>
        </w:rPr>
        <w:t>50</w:t>
      </w:r>
      <w:r w:rsidRPr="003F03BB">
        <w:rPr>
          <w:rFonts w:hint="eastAsia"/>
          <w:sz w:val="24"/>
          <w:szCs w:val="24"/>
        </w:rPr>
        <w:t>和中证</w:t>
      </w:r>
      <w:r w:rsidRPr="003F03BB">
        <w:rPr>
          <w:rFonts w:hint="eastAsia"/>
          <w:sz w:val="24"/>
          <w:szCs w:val="24"/>
        </w:rPr>
        <w:t>500</w:t>
      </w:r>
      <w:r w:rsidRPr="003F03BB">
        <w:rPr>
          <w:rFonts w:hint="eastAsia"/>
          <w:sz w:val="24"/>
          <w:szCs w:val="24"/>
        </w:rPr>
        <w:t>股指期货各合约套期保值持仓交易保证金标准由目前的</w:t>
      </w:r>
      <w:r w:rsidRPr="003F03BB">
        <w:rPr>
          <w:rFonts w:hint="eastAsia"/>
          <w:sz w:val="24"/>
          <w:szCs w:val="24"/>
        </w:rPr>
        <w:t>10%</w:t>
      </w:r>
      <w:r w:rsidRPr="003F03BB">
        <w:rPr>
          <w:rFonts w:hint="eastAsia"/>
          <w:sz w:val="24"/>
          <w:szCs w:val="24"/>
        </w:rPr>
        <w:t>提高至</w:t>
      </w:r>
      <w:r w:rsidRPr="003F03BB">
        <w:rPr>
          <w:rFonts w:hint="eastAsia"/>
          <w:sz w:val="24"/>
          <w:szCs w:val="24"/>
        </w:rPr>
        <w:t>20%</w:t>
      </w:r>
      <w:r w:rsidRPr="003F03BB">
        <w:rPr>
          <w:rFonts w:hint="eastAsia"/>
          <w:sz w:val="24"/>
          <w:szCs w:val="24"/>
        </w:rPr>
        <w:t>。</w:t>
      </w:r>
    </w:p>
    <w:p w:rsidR="003F03BB" w:rsidRDefault="003F03BB" w:rsidP="003F03BB">
      <w:pPr>
        <w:pStyle w:val="a8"/>
        <w:numPr>
          <w:ilvl w:val="0"/>
          <w:numId w:val="13"/>
        </w:numPr>
        <w:spacing w:line="400" w:lineRule="exact"/>
        <w:ind w:left="0" w:firstLineChars="0" w:firstLine="425"/>
        <w:rPr>
          <w:rFonts w:hint="eastAsia"/>
          <w:sz w:val="24"/>
          <w:szCs w:val="24"/>
        </w:rPr>
      </w:pPr>
      <w:r w:rsidRPr="003F03BB">
        <w:rPr>
          <w:rFonts w:hint="eastAsia"/>
          <w:sz w:val="24"/>
          <w:szCs w:val="24"/>
        </w:rPr>
        <w:t>提高股指期货</w:t>
      </w:r>
      <w:proofErr w:type="gramStart"/>
      <w:r w:rsidRPr="003F03BB">
        <w:rPr>
          <w:rFonts w:hint="eastAsia"/>
          <w:sz w:val="24"/>
          <w:szCs w:val="24"/>
        </w:rPr>
        <w:t>平今仓</w:t>
      </w:r>
      <w:proofErr w:type="gramEnd"/>
      <w:r w:rsidRPr="003F03BB">
        <w:rPr>
          <w:rFonts w:hint="eastAsia"/>
          <w:sz w:val="24"/>
          <w:szCs w:val="24"/>
        </w:rPr>
        <w:t>手续费标准。自</w:t>
      </w:r>
      <w:r w:rsidRPr="003F03BB">
        <w:rPr>
          <w:rFonts w:hint="eastAsia"/>
          <w:sz w:val="24"/>
          <w:szCs w:val="24"/>
        </w:rPr>
        <w:t>2015</w:t>
      </w:r>
      <w:r w:rsidRPr="003F03BB">
        <w:rPr>
          <w:rFonts w:hint="eastAsia"/>
          <w:sz w:val="24"/>
          <w:szCs w:val="24"/>
        </w:rPr>
        <w:t>年</w:t>
      </w:r>
      <w:r w:rsidRPr="003F03BB">
        <w:rPr>
          <w:rFonts w:hint="eastAsia"/>
          <w:sz w:val="24"/>
          <w:szCs w:val="24"/>
        </w:rPr>
        <w:t>9</w:t>
      </w:r>
      <w:r w:rsidRPr="003F03BB">
        <w:rPr>
          <w:rFonts w:hint="eastAsia"/>
          <w:sz w:val="24"/>
          <w:szCs w:val="24"/>
        </w:rPr>
        <w:t>月</w:t>
      </w:r>
      <w:r w:rsidRPr="003F03BB">
        <w:rPr>
          <w:rFonts w:hint="eastAsia"/>
          <w:sz w:val="24"/>
          <w:szCs w:val="24"/>
        </w:rPr>
        <w:t>7</w:t>
      </w:r>
      <w:r w:rsidRPr="003F03BB">
        <w:rPr>
          <w:rFonts w:hint="eastAsia"/>
          <w:sz w:val="24"/>
          <w:szCs w:val="24"/>
        </w:rPr>
        <w:t>日起，将股指期货当日开仓又平仓的平仓交易手续费标准，由目前按平仓成交金额的万分之一点一五收取，</w:t>
      </w:r>
      <w:proofErr w:type="gramStart"/>
      <w:r w:rsidRPr="003F03BB">
        <w:rPr>
          <w:rFonts w:hint="eastAsia"/>
          <w:sz w:val="24"/>
          <w:szCs w:val="24"/>
        </w:rPr>
        <w:t>提高至按平仓</w:t>
      </w:r>
      <w:proofErr w:type="gramEnd"/>
      <w:r w:rsidRPr="003F03BB">
        <w:rPr>
          <w:rFonts w:hint="eastAsia"/>
          <w:sz w:val="24"/>
          <w:szCs w:val="24"/>
        </w:rPr>
        <w:t>成交金额的万分之二十三收取。</w:t>
      </w:r>
    </w:p>
    <w:p w:rsidR="003F03BB" w:rsidRDefault="003F03BB" w:rsidP="0009114B">
      <w:pPr>
        <w:spacing w:line="400" w:lineRule="exact"/>
        <w:ind w:firstLineChars="177" w:firstLine="425"/>
        <w:rPr>
          <w:rFonts w:hint="eastAsia"/>
          <w:sz w:val="24"/>
          <w:szCs w:val="24"/>
        </w:rPr>
      </w:pPr>
      <w:r>
        <w:rPr>
          <w:rFonts w:hint="eastAsia"/>
          <w:sz w:val="24"/>
          <w:szCs w:val="24"/>
        </w:rPr>
        <w:lastRenderedPageBreak/>
        <w:t>该政策发布后，股指期货市场震动强烈，很多高频交易公司</w:t>
      </w:r>
      <w:proofErr w:type="gramStart"/>
      <w:r>
        <w:rPr>
          <w:rFonts w:hint="eastAsia"/>
          <w:sz w:val="24"/>
          <w:szCs w:val="24"/>
        </w:rPr>
        <w:t>因限制</w:t>
      </w:r>
      <w:proofErr w:type="gramEnd"/>
      <w:r>
        <w:rPr>
          <w:rFonts w:hint="eastAsia"/>
          <w:sz w:val="24"/>
          <w:szCs w:val="24"/>
        </w:rPr>
        <w:t>而离开了股指期货市场</w:t>
      </w:r>
      <w:r w:rsidR="004D4D3D">
        <w:rPr>
          <w:rFonts w:hint="eastAsia"/>
          <w:sz w:val="24"/>
          <w:szCs w:val="24"/>
        </w:rPr>
        <w:t>，而未离开的公司纷纷修改了自己的高频交易策略，使得自己可以适应新的环境</w:t>
      </w:r>
      <w:r>
        <w:rPr>
          <w:rFonts w:hint="eastAsia"/>
          <w:sz w:val="24"/>
          <w:szCs w:val="24"/>
        </w:rPr>
        <w:t>。这也说明了交易策略要与交易所的交易细则高度相关。</w:t>
      </w:r>
      <w:r w:rsidR="008B463B">
        <w:rPr>
          <w:rFonts w:hint="eastAsia"/>
          <w:sz w:val="24"/>
          <w:szCs w:val="24"/>
        </w:rPr>
        <w:t xml:space="preserve"> </w:t>
      </w:r>
    </w:p>
    <w:p w:rsidR="003F03BB" w:rsidRPr="008B463B" w:rsidRDefault="004D4D3D" w:rsidP="0009114B">
      <w:pPr>
        <w:spacing w:line="400" w:lineRule="exact"/>
        <w:ind w:firstLineChars="177" w:firstLine="425"/>
        <w:rPr>
          <w:rFonts w:hint="eastAsia"/>
          <w:sz w:val="24"/>
          <w:szCs w:val="24"/>
        </w:rPr>
      </w:pPr>
      <w:r>
        <w:rPr>
          <w:rFonts w:hint="eastAsia"/>
          <w:sz w:val="24"/>
          <w:szCs w:val="24"/>
        </w:rPr>
        <w:t>综上所述：</w:t>
      </w:r>
      <w:r w:rsidR="008B463B">
        <w:rPr>
          <w:rFonts w:hint="eastAsia"/>
          <w:sz w:val="24"/>
          <w:szCs w:val="24"/>
        </w:rPr>
        <w:t>交易策略极大的影响了高频交易的实际收益</w:t>
      </w:r>
      <w:r>
        <w:rPr>
          <w:rFonts w:hint="eastAsia"/>
          <w:sz w:val="24"/>
          <w:szCs w:val="24"/>
        </w:rPr>
        <w:t>情况，是高频交易的核心部分</w:t>
      </w:r>
    </w:p>
    <w:p w:rsidR="0009114B" w:rsidRPr="0009114B" w:rsidRDefault="0009114B" w:rsidP="0009114B">
      <w:pPr>
        <w:pStyle w:val="2"/>
        <w:numPr>
          <w:ilvl w:val="1"/>
          <w:numId w:val="3"/>
        </w:numPr>
        <w:spacing w:line="400" w:lineRule="exact"/>
        <w:ind w:left="0" w:firstLine="0"/>
        <w:jc w:val="center"/>
        <w:rPr>
          <w:rFonts w:ascii="黑体" w:eastAsia="黑体" w:hAnsi="黑体" w:hint="eastAsia"/>
          <w:sz w:val="30"/>
          <w:szCs w:val="30"/>
        </w:rPr>
      </w:pPr>
      <w:r w:rsidRPr="0009114B">
        <w:rPr>
          <w:rFonts w:ascii="黑体" w:eastAsia="黑体" w:hAnsi="黑体" w:hint="eastAsia"/>
          <w:sz w:val="30"/>
          <w:szCs w:val="30"/>
        </w:rPr>
        <w:t>常见</w:t>
      </w:r>
      <w:r w:rsidRPr="0009114B">
        <w:rPr>
          <w:rFonts w:ascii="黑体" w:eastAsia="黑体" w:hAnsi="黑体" w:hint="eastAsia"/>
          <w:sz w:val="30"/>
          <w:szCs w:val="30"/>
        </w:rPr>
        <w:t>高频交易</w:t>
      </w:r>
      <w:r w:rsidRPr="0009114B">
        <w:rPr>
          <w:rFonts w:ascii="黑体" w:eastAsia="黑体" w:hAnsi="黑体" w:hint="eastAsia"/>
          <w:sz w:val="30"/>
          <w:szCs w:val="30"/>
        </w:rPr>
        <w:t>策略</w:t>
      </w:r>
    </w:p>
    <w:p w:rsidR="0009114B" w:rsidRPr="0009114B" w:rsidRDefault="0009114B" w:rsidP="0009114B">
      <w:pPr>
        <w:pStyle w:val="3"/>
        <w:numPr>
          <w:ilvl w:val="2"/>
          <w:numId w:val="4"/>
        </w:numPr>
        <w:spacing w:line="400" w:lineRule="exact"/>
        <w:ind w:left="0" w:firstLine="0"/>
        <w:jc w:val="center"/>
        <w:rPr>
          <w:rFonts w:ascii="黑体" w:eastAsia="黑体" w:hAnsi="黑体" w:hint="eastAsia"/>
          <w:sz w:val="24"/>
          <w:szCs w:val="24"/>
        </w:rPr>
      </w:pPr>
      <w:r w:rsidRPr="0009114B">
        <w:rPr>
          <w:rFonts w:ascii="黑体" w:eastAsia="黑体" w:hAnsi="黑体" w:hint="eastAsia"/>
          <w:sz w:val="24"/>
          <w:szCs w:val="24"/>
        </w:rPr>
        <w:t>做市商策略</w:t>
      </w:r>
    </w:p>
    <w:p w:rsidR="0009114B" w:rsidRDefault="00B42B68" w:rsidP="00B42B68">
      <w:pPr>
        <w:pStyle w:val="4"/>
        <w:rPr>
          <w:rFonts w:hint="eastAsia"/>
        </w:rPr>
      </w:pPr>
      <w:r>
        <w:rPr>
          <w:rFonts w:hint="eastAsia"/>
        </w:rPr>
        <w:t>什么是做市商策略</w:t>
      </w:r>
    </w:p>
    <w:p w:rsidR="00B42B68" w:rsidRDefault="00B42B68" w:rsidP="003744BA">
      <w:pPr>
        <w:spacing w:line="400" w:lineRule="exact"/>
        <w:ind w:firstLineChars="177" w:firstLine="425"/>
        <w:rPr>
          <w:rFonts w:hint="eastAsia"/>
          <w:sz w:val="24"/>
          <w:szCs w:val="24"/>
        </w:rPr>
      </w:pPr>
      <w:r w:rsidRPr="00B42B68">
        <w:rPr>
          <w:rFonts w:hint="eastAsia"/>
          <w:sz w:val="24"/>
          <w:szCs w:val="24"/>
        </w:rPr>
        <w:t>做市商是</w:t>
      </w:r>
      <w:r>
        <w:rPr>
          <w:rFonts w:hint="eastAsia"/>
          <w:sz w:val="24"/>
          <w:szCs w:val="24"/>
        </w:rPr>
        <w:t>指在市场上，由具备一定实力和信誉的组织或企业作为特许交易商，针对某商品不断向公众投资者报出买入和卖出价格，并在该价位上接受公众投资者的买卖要求，以其自有资金和商品与投资者进行交易，买卖双方不需要等待交易对手出现即可完成交易。做市商在多个市场均有出现，举一个最典型的例子：伦敦黄金市场的黄金市场由</w:t>
      </w:r>
      <w:r w:rsidRPr="00B42B68">
        <w:rPr>
          <w:rFonts w:hint="eastAsia"/>
          <w:sz w:val="24"/>
          <w:szCs w:val="24"/>
        </w:rPr>
        <w:t>伦敦五大金商、瑞士三大银行</w:t>
      </w:r>
      <w:r>
        <w:rPr>
          <w:rFonts w:hint="eastAsia"/>
          <w:sz w:val="24"/>
          <w:szCs w:val="24"/>
        </w:rPr>
        <w:t>作为做市商</w:t>
      </w:r>
      <w:r w:rsidR="003744BA">
        <w:rPr>
          <w:rFonts w:hint="eastAsia"/>
          <w:sz w:val="24"/>
          <w:szCs w:val="24"/>
        </w:rPr>
        <w:t>。</w:t>
      </w:r>
    </w:p>
    <w:p w:rsidR="00B42B68" w:rsidRPr="00B42B68" w:rsidRDefault="003744BA" w:rsidP="00B42B68">
      <w:pPr>
        <w:spacing w:line="400" w:lineRule="exact"/>
        <w:ind w:firstLineChars="177" w:firstLine="425"/>
        <w:rPr>
          <w:rFonts w:hint="eastAsia"/>
          <w:sz w:val="24"/>
          <w:szCs w:val="24"/>
        </w:rPr>
      </w:pPr>
      <w:r>
        <w:rPr>
          <w:rFonts w:hint="eastAsia"/>
          <w:sz w:val="24"/>
          <w:szCs w:val="24"/>
        </w:rPr>
        <w:t>在高频交易策略中最主要的策略就是做市商策略（</w:t>
      </w:r>
      <w:r>
        <w:rPr>
          <w:rFonts w:hint="eastAsia"/>
          <w:sz w:val="24"/>
          <w:szCs w:val="24"/>
        </w:rPr>
        <w:t>Market Making</w:t>
      </w:r>
      <w:r>
        <w:rPr>
          <w:rFonts w:hint="eastAsia"/>
          <w:sz w:val="24"/>
          <w:szCs w:val="24"/>
        </w:rPr>
        <w:t>），即通过赚取买卖价差来获取利润，该策略由于与传统的做市商类似，所以命名为</w:t>
      </w:r>
      <w:r>
        <w:rPr>
          <w:rFonts w:hint="eastAsia"/>
          <w:sz w:val="24"/>
          <w:szCs w:val="24"/>
        </w:rPr>
        <w:t>Market Making</w:t>
      </w:r>
      <w:r w:rsidR="00B01398">
        <w:rPr>
          <w:rFonts w:hint="eastAsia"/>
          <w:sz w:val="24"/>
          <w:szCs w:val="24"/>
        </w:rPr>
        <w:t>。</w:t>
      </w:r>
      <w:bookmarkStart w:id="0" w:name="_GoBack"/>
      <w:bookmarkEnd w:id="0"/>
    </w:p>
    <w:p w:rsidR="00B42B68" w:rsidRDefault="00B42B68" w:rsidP="00F76E86">
      <w:pPr>
        <w:spacing w:line="400" w:lineRule="exact"/>
        <w:rPr>
          <w:rFonts w:ascii="仿宋" w:eastAsia="仿宋" w:hAnsi="仿宋" w:hint="eastAsia"/>
          <w:sz w:val="32"/>
          <w:szCs w:val="32"/>
        </w:rPr>
      </w:pPr>
    </w:p>
    <w:p w:rsidR="00B42B68" w:rsidRPr="00B42B68" w:rsidRDefault="00B42B68" w:rsidP="00B42B68">
      <w:pPr>
        <w:pStyle w:val="4"/>
        <w:rPr>
          <w:rFonts w:hint="eastAsia"/>
        </w:rPr>
      </w:pPr>
      <w:r w:rsidRPr="00B42B68">
        <w:rPr>
          <w:rFonts w:hint="eastAsia"/>
        </w:rPr>
        <w:t>做市商策略的理论基础</w:t>
      </w:r>
    </w:p>
    <w:p w:rsidR="00B42B68" w:rsidRDefault="003744BA" w:rsidP="00F76E86">
      <w:pPr>
        <w:spacing w:line="400" w:lineRule="exact"/>
        <w:rPr>
          <w:rFonts w:ascii="仿宋" w:eastAsia="仿宋" w:hAnsi="仿宋" w:hint="eastAsia"/>
          <w:sz w:val="32"/>
          <w:szCs w:val="32"/>
        </w:rPr>
      </w:pPr>
      <w:r w:rsidRPr="003744BA">
        <w:rPr>
          <w:rFonts w:ascii="仿宋" w:eastAsia="仿宋" w:hAnsi="仿宋" w:hint="eastAsia"/>
          <w:sz w:val="32"/>
          <w:szCs w:val="32"/>
        </w:rPr>
        <w:t>做市商策略的风险又两个：一、信息不对称，二、存货风险。前者是说如果有知情交易者掌握了做市商不了解的信息，那意味着做市商报出的价格是错误的，知情交易者可以借此从做市商身上赚钱。后者是说做市商难免手里会有些多余出来的头寸（称之为存货），那么这部分存货的价值也会因资产</w:t>
      </w:r>
      <w:r w:rsidRPr="003744BA">
        <w:rPr>
          <w:rFonts w:ascii="仿宋" w:eastAsia="仿宋" w:hAnsi="仿宋" w:hint="eastAsia"/>
          <w:sz w:val="32"/>
          <w:szCs w:val="32"/>
        </w:rPr>
        <w:lastRenderedPageBreak/>
        <w:t>价格的变化而变化，这是一个巨大的风险。</w:t>
      </w:r>
    </w:p>
    <w:p w:rsidR="003744BA" w:rsidRDefault="003744BA" w:rsidP="00F76E86">
      <w:pPr>
        <w:spacing w:line="400" w:lineRule="exact"/>
        <w:rPr>
          <w:rFonts w:ascii="仿宋" w:eastAsia="仿宋" w:hAnsi="仿宋" w:hint="eastAsia"/>
          <w:sz w:val="32"/>
          <w:szCs w:val="32"/>
        </w:rPr>
      </w:pPr>
    </w:p>
    <w:p w:rsidR="003744BA" w:rsidRDefault="003744BA" w:rsidP="00F76E86">
      <w:pPr>
        <w:spacing w:line="400" w:lineRule="exact"/>
        <w:rPr>
          <w:rFonts w:ascii="仿宋" w:eastAsia="仿宋" w:hAnsi="仿宋" w:hint="eastAsia"/>
          <w:sz w:val="32"/>
          <w:szCs w:val="32"/>
        </w:rPr>
      </w:pPr>
    </w:p>
    <w:p w:rsidR="003744BA" w:rsidRDefault="003744BA" w:rsidP="00F76E86">
      <w:pPr>
        <w:spacing w:line="400" w:lineRule="exact"/>
        <w:rPr>
          <w:rFonts w:ascii="仿宋" w:eastAsia="仿宋" w:hAnsi="仿宋" w:hint="eastAsia"/>
          <w:sz w:val="32"/>
          <w:szCs w:val="32"/>
        </w:rPr>
      </w:pPr>
    </w:p>
    <w:p w:rsidR="00B42B68" w:rsidRDefault="00B42B68" w:rsidP="00F76E86">
      <w:pPr>
        <w:spacing w:line="400" w:lineRule="exact"/>
        <w:rPr>
          <w:rFonts w:ascii="仿宋" w:eastAsia="仿宋" w:hAnsi="仿宋" w:hint="eastAsia"/>
          <w:sz w:val="32"/>
          <w:szCs w:val="32"/>
        </w:rPr>
      </w:pPr>
    </w:p>
    <w:p w:rsidR="00B42B68" w:rsidRPr="00B42B68" w:rsidRDefault="00B42B68" w:rsidP="00B42B68">
      <w:pPr>
        <w:pStyle w:val="4"/>
        <w:rPr>
          <w:rFonts w:hint="eastAsia"/>
        </w:rPr>
      </w:pPr>
      <w:r w:rsidRPr="00B42B68">
        <w:rPr>
          <w:rFonts w:hint="eastAsia"/>
        </w:rPr>
        <w:t>影响做市商策略的因素</w:t>
      </w:r>
    </w:p>
    <w:p w:rsidR="00B42B68" w:rsidRDefault="00B42B68" w:rsidP="00F76E86">
      <w:pPr>
        <w:spacing w:line="400" w:lineRule="exact"/>
        <w:rPr>
          <w:rFonts w:ascii="仿宋" w:eastAsia="仿宋" w:hAnsi="仿宋" w:hint="eastAsia"/>
          <w:sz w:val="32"/>
          <w:szCs w:val="32"/>
        </w:rPr>
      </w:pPr>
    </w:p>
    <w:p w:rsidR="00B42B68" w:rsidRDefault="00B42B68" w:rsidP="00F76E86">
      <w:pPr>
        <w:spacing w:line="400" w:lineRule="exact"/>
        <w:rPr>
          <w:rFonts w:ascii="仿宋" w:eastAsia="仿宋" w:hAnsi="仿宋" w:hint="eastAsia"/>
          <w:sz w:val="32"/>
          <w:szCs w:val="32"/>
        </w:rPr>
      </w:pPr>
    </w:p>
    <w:p w:rsidR="00B42B68" w:rsidRDefault="00B42B68" w:rsidP="00F76E86">
      <w:pPr>
        <w:spacing w:line="400" w:lineRule="exact"/>
        <w:rPr>
          <w:rFonts w:ascii="仿宋" w:eastAsia="仿宋" w:hAnsi="仿宋" w:hint="eastAsia"/>
          <w:sz w:val="32"/>
          <w:szCs w:val="32"/>
        </w:rPr>
      </w:pPr>
    </w:p>
    <w:p w:rsidR="00B42B68" w:rsidRDefault="00B42B68" w:rsidP="00F76E86">
      <w:pPr>
        <w:spacing w:line="400" w:lineRule="exact"/>
        <w:rPr>
          <w:rFonts w:ascii="仿宋" w:eastAsia="仿宋" w:hAnsi="仿宋" w:hint="eastAsia"/>
          <w:sz w:val="32"/>
          <w:szCs w:val="32"/>
        </w:rPr>
      </w:pPr>
    </w:p>
    <w:p w:rsidR="0009114B" w:rsidRDefault="0009114B" w:rsidP="00F76E86">
      <w:pPr>
        <w:spacing w:line="400" w:lineRule="exact"/>
        <w:rPr>
          <w:rFonts w:ascii="仿宋" w:eastAsia="仿宋" w:hAnsi="仿宋" w:hint="eastAsia"/>
          <w:sz w:val="32"/>
          <w:szCs w:val="32"/>
        </w:rPr>
      </w:pPr>
    </w:p>
    <w:p w:rsidR="0009114B" w:rsidRPr="0009114B" w:rsidRDefault="0009114B" w:rsidP="0009114B">
      <w:pPr>
        <w:pStyle w:val="3"/>
        <w:numPr>
          <w:ilvl w:val="2"/>
          <w:numId w:val="4"/>
        </w:numPr>
        <w:spacing w:line="400" w:lineRule="exact"/>
        <w:ind w:left="0" w:firstLine="0"/>
        <w:jc w:val="center"/>
        <w:rPr>
          <w:rFonts w:ascii="黑体" w:eastAsia="黑体" w:hAnsi="黑体" w:hint="eastAsia"/>
          <w:sz w:val="24"/>
          <w:szCs w:val="24"/>
        </w:rPr>
      </w:pPr>
      <w:r w:rsidRPr="0009114B">
        <w:rPr>
          <w:rFonts w:ascii="黑体" w:eastAsia="黑体" w:hAnsi="黑体" w:hint="eastAsia"/>
          <w:sz w:val="24"/>
          <w:szCs w:val="24"/>
        </w:rPr>
        <w:t>统计套利策略</w:t>
      </w:r>
    </w:p>
    <w:p w:rsidR="0009114B" w:rsidRDefault="0009114B" w:rsidP="00F76E86">
      <w:pPr>
        <w:spacing w:line="400" w:lineRule="exact"/>
        <w:rPr>
          <w:rFonts w:ascii="仿宋" w:eastAsia="仿宋" w:hAnsi="仿宋" w:hint="eastAsia"/>
          <w:sz w:val="32"/>
          <w:szCs w:val="32"/>
        </w:rPr>
      </w:pPr>
    </w:p>
    <w:p w:rsidR="0009114B" w:rsidRPr="0009114B" w:rsidRDefault="0009114B" w:rsidP="0009114B">
      <w:pPr>
        <w:pStyle w:val="3"/>
        <w:numPr>
          <w:ilvl w:val="2"/>
          <w:numId w:val="4"/>
        </w:numPr>
        <w:spacing w:line="400" w:lineRule="exact"/>
        <w:ind w:left="0" w:firstLine="0"/>
        <w:jc w:val="center"/>
        <w:rPr>
          <w:rFonts w:ascii="黑体" w:eastAsia="黑体" w:hAnsi="黑体" w:hint="eastAsia"/>
          <w:sz w:val="24"/>
          <w:szCs w:val="24"/>
        </w:rPr>
      </w:pPr>
      <w:r w:rsidRPr="0009114B">
        <w:rPr>
          <w:rFonts w:ascii="黑体" w:eastAsia="黑体" w:hAnsi="黑体" w:hint="eastAsia"/>
          <w:sz w:val="24"/>
          <w:szCs w:val="24"/>
        </w:rPr>
        <w:t>惯性策略</w:t>
      </w:r>
    </w:p>
    <w:p w:rsidR="0009114B" w:rsidRDefault="0009114B" w:rsidP="00F76E86">
      <w:pPr>
        <w:spacing w:line="400" w:lineRule="exact"/>
        <w:rPr>
          <w:rFonts w:ascii="仿宋" w:eastAsia="仿宋" w:hAnsi="仿宋" w:hint="eastAsia"/>
          <w:sz w:val="32"/>
          <w:szCs w:val="32"/>
        </w:rPr>
      </w:pPr>
      <w:r w:rsidRPr="0009114B">
        <w:rPr>
          <w:rFonts w:ascii="仿宋" w:eastAsia="仿宋" w:hAnsi="仿宋" w:hint="eastAsia"/>
          <w:sz w:val="32"/>
          <w:szCs w:val="32"/>
        </w:rPr>
        <w:t>024_量化投资：从行为金融到高频交易1..caj</w:t>
      </w:r>
    </w:p>
    <w:p w:rsidR="0009114B" w:rsidRPr="0009114B" w:rsidRDefault="0009114B" w:rsidP="0009114B">
      <w:pPr>
        <w:pStyle w:val="3"/>
        <w:numPr>
          <w:ilvl w:val="2"/>
          <w:numId w:val="4"/>
        </w:numPr>
        <w:spacing w:line="400" w:lineRule="exact"/>
        <w:ind w:left="0" w:firstLine="0"/>
        <w:jc w:val="center"/>
        <w:rPr>
          <w:rFonts w:ascii="黑体" w:eastAsia="黑体" w:hAnsi="黑体" w:hint="eastAsia"/>
          <w:sz w:val="24"/>
          <w:szCs w:val="24"/>
        </w:rPr>
      </w:pPr>
      <w:r w:rsidRPr="0009114B">
        <w:rPr>
          <w:rFonts w:ascii="黑体" w:eastAsia="黑体" w:hAnsi="黑体" w:hint="eastAsia"/>
          <w:sz w:val="24"/>
          <w:szCs w:val="24"/>
        </w:rPr>
        <w:t>反转策略</w:t>
      </w:r>
    </w:p>
    <w:p w:rsidR="0009114B" w:rsidRDefault="0009114B" w:rsidP="00F76E86">
      <w:pPr>
        <w:spacing w:line="400" w:lineRule="exact"/>
        <w:rPr>
          <w:rFonts w:ascii="仿宋" w:eastAsia="仿宋" w:hAnsi="仿宋"/>
          <w:sz w:val="32"/>
          <w:szCs w:val="32"/>
        </w:rPr>
      </w:pPr>
      <w:r w:rsidRPr="0009114B">
        <w:rPr>
          <w:rFonts w:ascii="仿宋" w:eastAsia="仿宋" w:hAnsi="仿宋" w:hint="eastAsia"/>
          <w:sz w:val="32"/>
          <w:szCs w:val="32"/>
        </w:rPr>
        <w:t>024_量化投资：从行为金融到高频交易1..caj</w:t>
      </w:r>
    </w:p>
    <w:p w:rsidR="00FC5024" w:rsidRPr="00FC5024" w:rsidRDefault="00FC5024" w:rsidP="00F76E86">
      <w:pPr>
        <w:pStyle w:val="3"/>
        <w:numPr>
          <w:ilvl w:val="2"/>
          <w:numId w:val="4"/>
        </w:numPr>
        <w:spacing w:line="400" w:lineRule="exact"/>
        <w:ind w:left="0" w:firstLine="0"/>
        <w:jc w:val="center"/>
        <w:rPr>
          <w:rFonts w:ascii="黑体" w:eastAsia="黑体" w:hAnsi="黑体"/>
          <w:sz w:val="24"/>
          <w:szCs w:val="24"/>
        </w:rPr>
      </w:pPr>
      <w:bookmarkStart w:id="1" w:name="_Toc469261764"/>
      <w:r>
        <w:rPr>
          <w:rFonts w:ascii="黑体" w:eastAsia="黑体" w:hAnsi="黑体" w:hint="eastAsia"/>
          <w:sz w:val="24"/>
          <w:szCs w:val="24"/>
        </w:rPr>
        <w:t>二</w:t>
      </w:r>
      <w:r w:rsidRPr="00FC5024">
        <w:rPr>
          <w:rFonts w:ascii="黑体" w:eastAsia="黑体" w:hAnsi="黑体" w:hint="eastAsia"/>
          <w:sz w:val="24"/>
          <w:szCs w:val="24"/>
        </w:rPr>
        <w:t>级标题</w:t>
      </w:r>
      <w:bookmarkEnd w:id="1"/>
    </w:p>
    <w:p w:rsidR="007E76CC" w:rsidRPr="00657440" w:rsidRDefault="007E76CC" w:rsidP="00F76E86">
      <w:pPr>
        <w:spacing w:line="400" w:lineRule="exact"/>
        <w:rPr>
          <w:sz w:val="24"/>
          <w:szCs w:val="24"/>
        </w:rPr>
      </w:pPr>
    </w:p>
    <w:p w:rsidR="0088299F" w:rsidRPr="00657440" w:rsidRDefault="0088299F" w:rsidP="00F76E86">
      <w:pPr>
        <w:spacing w:line="400" w:lineRule="exact"/>
        <w:rPr>
          <w:sz w:val="24"/>
          <w:szCs w:val="24"/>
        </w:rPr>
      </w:pPr>
    </w:p>
    <w:p w:rsidR="00F76E86" w:rsidRPr="00657440" w:rsidRDefault="00F76E86" w:rsidP="00F76E86">
      <w:pPr>
        <w:spacing w:line="400" w:lineRule="exact"/>
        <w:rPr>
          <w:sz w:val="24"/>
          <w:szCs w:val="24"/>
        </w:rPr>
      </w:pPr>
    </w:p>
    <w:p w:rsidR="00F76E86" w:rsidRPr="00657440" w:rsidRDefault="00F76E86" w:rsidP="00F76E86">
      <w:pPr>
        <w:spacing w:line="400" w:lineRule="exact"/>
        <w:rPr>
          <w:sz w:val="24"/>
          <w:szCs w:val="24"/>
        </w:rPr>
      </w:pPr>
    </w:p>
    <w:p w:rsidR="00F76E86" w:rsidRPr="00657440" w:rsidRDefault="00F76E86" w:rsidP="00657440">
      <w:pPr>
        <w:spacing w:line="400" w:lineRule="exact"/>
        <w:rPr>
          <w:sz w:val="24"/>
          <w:szCs w:val="24"/>
        </w:rPr>
      </w:pPr>
    </w:p>
    <w:p w:rsidR="00F76E86" w:rsidRPr="00657440" w:rsidRDefault="00F76E86" w:rsidP="00657440">
      <w:pPr>
        <w:spacing w:line="400" w:lineRule="exact"/>
        <w:rPr>
          <w:sz w:val="24"/>
          <w:szCs w:val="24"/>
        </w:rPr>
      </w:pPr>
    </w:p>
    <w:p w:rsidR="00F76E86" w:rsidRPr="00657440" w:rsidRDefault="00F76E86" w:rsidP="00657440">
      <w:pPr>
        <w:spacing w:line="400" w:lineRule="exact"/>
        <w:rPr>
          <w:sz w:val="24"/>
          <w:szCs w:val="24"/>
        </w:rPr>
      </w:pPr>
    </w:p>
    <w:p w:rsidR="00F76E86" w:rsidRPr="00657440" w:rsidRDefault="00F76E86" w:rsidP="00657440">
      <w:pPr>
        <w:spacing w:line="400" w:lineRule="exact"/>
        <w:rPr>
          <w:sz w:val="24"/>
          <w:szCs w:val="24"/>
        </w:rPr>
      </w:pPr>
    </w:p>
    <w:p w:rsidR="00F76E86" w:rsidRPr="00657440" w:rsidRDefault="00F76E86" w:rsidP="00657440">
      <w:pPr>
        <w:spacing w:line="400" w:lineRule="exact"/>
        <w:rPr>
          <w:sz w:val="24"/>
          <w:szCs w:val="24"/>
        </w:rPr>
      </w:pPr>
    </w:p>
    <w:p w:rsidR="00F76E86" w:rsidRPr="00657440" w:rsidRDefault="00F76E86" w:rsidP="00657440">
      <w:pPr>
        <w:spacing w:line="400" w:lineRule="exact"/>
        <w:rPr>
          <w:sz w:val="24"/>
          <w:szCs w:val="24"/>
        </w:rPr>
      </w:pPr>
    </w:p>
    <w:p w:rsidR="00F76E86" w:rsidRPr="00657440" w:rsidRDefault="00F76E86" w:rsidP="00657440">
      <w:pPr>
        <w:spacing w:line="400" w:lineRule="exact"/>
        <w:rPr>
          <w:sz w:val="24"/>
          <w:szCs w:val="24"/>
        </w:rPr>
      </w:pPr>
    </w:p>
    <w:p w:rsidR="00F76E86" w:rsidRPr="00657440" w:rsidRDefault="00F76E86" w:rsidP="00657440">
      <w:pPr>
        <w:spacing w:line="400" w:lineRule="exact"/>
        <w:rPr>
          <w:rFonts w:ascii="黑体" w:eastAsia="黑体" w:hAnsi="黑体"/>
          <w:sz w:val="24"/>
          <w:szCs w:val="24"/>
        </w:rPr>
      </w:pPr>
      <w:r w:rsidRPr="00657440">
        <w:rPr>
          <w:rFonts w:ascii="黑体" w:eastAsia="黑体" w:hAnsi="黑体" w:hint="eastAsia"/>
          <w:sz w:val="24"/>
          <w:szCs w:val="24"/>
        </w:rPr>
        <w:t>参考文献</w:t>
      </w:r>
    </w:p>
    <w:p w:rsidR="00BD7FF4" w:rsidRPr="00657440" w:rsidRDefault="00657440" w:rsidP="00657440">
      <w:pPr>
        <w:snapToGrid w:val="0"/>
        <w:spacing w:line="360" w:lineRule="auto"/>
        <w:ind w:firstLineChars="500" w:firstLine="1200"/>
        <w:rPr>
          <w:rFonts w:asciiTheme="minorEastAsia" w:hAnsiTheme="minorEastAsia"/>
          <w:color w:val="000000"/>
          <w:sz w:val="24"/>
          <w:szCs w:val="24"/>
        </w:rPr>
      </w:pPr>
      <w:r w:rsidRPr="00657440">
        <w:rPr>
          <w:rFonts w:asciiTheme="minorEastAsia" w:hAnsiTheme="minorEastAsia" w:hint="eastAsia"/>
          <w:color w:val="000000"/>
          <w:sz w:val="24"/>
          <w:szCs w:val="24"/>
        </w:rPr>
        <w:t>参考文献内容</w:t>
      </w:r>
    </w:p>
    <w:p w:rsidR="00BD7FF4" w:rsidRDefault="00657440" w:rsidP="00657440">
      <w:pPr>
        <w:spacing w:line="400" w:lineRule="exact"/>
        <w:rPr>
          <w:rFonts w:ascii="黑体" w:eastAsia="黑体" w:hAnsi="黑体"/>
          <w:sz w:val="24"/>
          <w:szCs w:val="24"/>
        </w:rPr>
      </w:pPr>
      <w:r w:rsidRPr="00657440">
        <w:rPr>
          <w:rFonts w:ascii="黑体" w:eastAsia="黑体" w:hAnsi="黑体" w:hint="eastAsia"/>
          <w:sz w:val="24"/>
          <w:szCs w:val="24"/>
        </w:rPr>
        <w:t>致谢</w:t>
      </w:r>
    </w:p>
    <w:p w:rsidR="00657440" w:rsidRPr="00657440" w:rsidRDefault="00657440" w:rsidP="00657440">
      <w:pPr>
        <w:snapToGrid w:val="0"/>
        <w:spacing w:line="360" w:lineRule="auto"/>
        <w:ind w:firstLineChars="500" w:firstLine="1200"/>
        <w:rPr>
          <w:rFonts w:asciiTheme="minorEastAsia" w:hAnsiTheme="minorEastAsia"/>
          <w:color w:val="000000"/>
          <w:sz w:val="24"/>
          <w:szCs w:val="24"/>
        </w:rPr>
      </w:pPr>
      <w:r w:rsidRPr="00657440">
        <w:rPr>
          <w:rFonts w:asciiTheme="minorEastAsia" w:hAnsiTheme="minorEastAsia" w:hint="eastAsia"/>
          <w:color w:val="000000"/>
          <w:sz w:val="24"/>
          <w:szCs w:val="24"/>
        </w:rPr>
        <w:tab/>
        <w:t>致谢词</w:t>
      </w:r>
    </w:p>
    <w:p w:rsidR="00657440" w:rsidRDefault="00657440" w:rsidP="00657440">
      <w:pPr>
        <w:spacing w:line="400" w:lineRule="exact"/>
        <w:rPr>
          <w:rFonts w:ascii="黑体" w:eastAsia="黑体" w:hAnsi="黑体"/>
          <w:sz w:val="24"/>
          <w:szCs w:val="24"/>
        </w:rPr>
      </w:pPr>
    </w:p>
    <w:p w:rsidR="00657440" w:rsidRDefault="00657440" w:rsidP="00657440">
      <w:pPr>
        <w:spacing w:line="400" w:lineRule="exact"/>
        <w:rPr>
          <w:rFonts w:ascii="黑体" w:eastAsia="黑体" w:hAnsi="黑体"/>
          <w:sz w:val="24"/>
          <w:szCs w:val="24"/>
        </w:rPr>
      </w:pPr>
      <w:r>
        <w:rPr>
          <w:rFonts w:ascii="黑体" w:eastAsia="黑体" w:hAnsi="黑体" w:hint="eastAsia"/>
          <w:sz w:val="24"/>
          <w:szCs w:val="24"/>
        </w:rPr>
        <w:t>附录</w:t>
      </w:r>
    </w:p>
    <w:p w:rsidR="00657440" w:rsidRPr="00657440" w:rsidRDefault="00657440" w:rsidP="00657440">
      <w:pPr>
        <w:snapToGrid w:val="0"/>
        <w:spacing w:line="360" w:lineRule="auto"/>
        <w:ind w:firstLineChars="500" w:firstLine="1200"/>
        <w:rPr>
          <w:rFonts w:ascii="黑体" w:eastAsia="黑体" w:hAnsi="黑体"/>
          <w:sz w:val="24"/>
          <w:szCs w:val="24"/>
        </w:rPr>
      </w:pPr>
      <w:r>
        <w:rPr>
          <w:rFonts w:ascii="黑体" w:eastAsia="黑体" w:hAnsi="黑体" w:hint="eastAsia"/>
          <w:sz w:val="24"/>
          <w:szCs w:val="24"/>
        </w:rPr>
        <w:t>附录内容</w:t>
      </w:r>
    </w:p>
    <w:p w:rsidR="0088299F" w:rsidRPr="00657440" w:rsidRDefault="0088299F" w:rsidP="00657440">
      <w:pPr>
        <w:snapToGrid w:val="0"/>
        <w:rPr>
          <w:rFonts w:ascii="仿宋_GB2312" w:eastAsia="仿宋_GB2312"/>
          <w:color w:val="000000"/>
        </w:rPr>
      </w:pPr>
    </w:p>
    <w:p w:rsidR="0088299F" w:rsidRPr="0088299F" w:rsidRDefault="0088299F">
      <w:pPr>
        <w:rPr>
          <w:rFonts w:ascii="仿宋" w:eastAsia="仿宋" w:hAnsi="仿宋"/>
          <w:sz w:val="32"/>
          <w:szCs w:val="32"/>
        </w:rPr>
      </w:pPr>
    </w:p>
    <w:p w:rsidR="0088299F" w:rsidRPr="0088299F" w:rsidRDefault="0088299F">
      <w:pPr>
        <w:rPr>
          <w:rFonts w:ascii="仿宋" w:eastAsia="仿宋" w:hAnsi="仿宋"/>
          <w:sz w:val="32"/>
          <w:szCs w:val="32"/>
        </w:rPr>
      </w:pPr>
    </w:p>
    <w:sectPr w:rsidR="0088299F" w:rsidRPr="0088299F" w:rsidSect="00606661">
      <w:footerReference w:type="default" r:id="rId12"/>
      <w:pgSz w:w="11906" w:h="16838"/>
      <w:pgMar w:top="2552" w:right="1701" w:bottom="2268" w:left="1985"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7541" w:rsidRDefault="00B47541" w:rsidP="00045F8F">
      <w:r>
        <w:separator/>
      </w:r>
    </w:p>
  </w:endnote>
  <w:endnote w:type="continuationSeparator" w:id="0">
    <w:p w:rsidR="00B47541" w:rsidRDefault="00B47541" w:rsidP="00045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8858564"/>
      <w:docPartObj>
        <w:docPartGallery w:val="Page Numbers (Bottom of Page)"/>
        <w:docPartUnique/>
      </w:docPartObj>
    </w:sdtPr>
    <w:sdtEndPr/>
    <w:sdtContent>
      <w:p w:rsidR="00606661" w:rsidRDefault="00B47541">
        <w:pPr>
          <w:pStyle w:val="a4"/>
          <w:jc w:val="right"/>
        </w:pPr>
      </w:p>
    </w:sdtContent>
  </w:sdt>
  <w:p w:rsidR="00FC5024" w:rsidRDefault="00FC5024">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6661" w:rsidRDefault="00B47541">
    <w:pPr>
      <w:pStyle w:val="a4"/>
      <w:jc w:val="right"/>
    </w:pPr>
    <w:r>
      <w:fldChar w:fldCharType="begin"/>
    </w:r>
    <w:r>
      <w:instrText xml:space="preserve"> PAGE   \* MERGEFORMAT </w:instrText>
    </w:r>
    <w:r>
      <w:fldChar w:fldCharType="separate"/>
    </w:r>
    <w:r w:rsidR="00B01398" w:rsidRPr="00B01398">
      <w:rPr>
        <w:noProof/>
        <w:lang w:val="zh-CN"/>
      </w:rPr>
      <w:t>2</w:t>
    </w:r>
    <w:r>
      <w:rPr>
        <w:noProof/>
        <w:lang w:val="zh-CN"/>
      </w:rPr>
      <w:fldChar w:fldCharType="end"/>
    </w:r>
  </w:p>
  <w:p w:rsidR="00606661" w:rsidRDefault="0060666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7541" w:rsidRDefault="00B47541" w:rsidP="00045F8F">
      <w:r>
        <w:separator/>
      </w:r>
    </w:p>
  </w:footnote>
  <w:footnote w:type="continuationSeparator" w:id="0">
    <w:p w:rsidR="00B47541" w:rsidRDefault="00B47541" w:rsidP="00045F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024" w:rsidRDefault="00FC5024" w:rsidP="00FC5024">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024" w:rsidRPr="00E736C1" w:rsidRDefault="00E736C1" w:rsidP="00FC5024">
    <w:pPr>
      <w:pStyle w:val="a3"/>
      <w:pBdr>
        <w:bottom w:val="none" w:sz="0" w:space="0" w:color="auto"/>
      </w:pBdr>
      <w:rPr>
        <w:rFonts w:asciiTheme="minorEastAsia" w:hAnsiTheme="minorEastAsia"/>
        <w:sz w:val="21"/>
        <w:szCs w:val="21"/>
      </w:rPr>
    </w:pPr>
    <w:r w:rsidRPr="00E736C1">
      <w:rPr>
        <w:rFonts w:asciiTheme="minorEastAsia" w:hAnsiTheme="minorEastAsia" w:hint="eastAsia"/>
        <w:sz w:val="21"/>
        <w:szCs w:val="21"/>
      </w:rPr>
      <w:t>影响高频交易的几个因素的分析</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4B72FC"/>
    <w:multiLevelType w:val="hybridMultilevel"/>
    <w:tmpl w:val="0E6E01F4"/>
    <w:lvl w:ilvl="0" w:tplc="AE7EAA20">
      <w:start w:val="1"/>
      <w:numFmt w:val="japaneseCounting"/>
      <w:lvlText w:val="%1、"/>
      <w:lvlJc w:val="left"/>
      <w:pPr>
        <w:ind w:left="1241" w:hanging="816"/>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nsid w:val="39A350F4"/>
    <w:multiLevelType w:val="multilevel"/>
    <w:tmpl w:val="04090029"/>
    <w:lvl w:ilvl="0">
      <w:start w:val="1"/>
      <w:numFmt w:val="chineseCountingThousand"/>
      <w:pStyle w:val="1"/>
      <w:suff w:val="nothing"/>
      <w:lvlText w:val="第%1章"/>
      <w:lvlJc w:val="left"/>
      <w:pPr>
        <w:ind w:left="71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2">
    <w:nsid w:val="4B5D64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7DD6564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1"/>
  </w:num>
  <w:num w:numId="3">
    <w:abstractNumId w:val="2"/>
  </w:num>
  <w:num w:numId="4">
    <w:abstractNumId w:val="3"/>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 w:numId="14">
    <w:abstractNumId w:val="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45F8F"/>
    <w:rsid w:val="000458F0"/>
    <w:rsid w:val="00045F8F"/>
    <w:rsid w:val="0009114B"/>
    <w:rsid w:val="000E33F9"/>
    <w:rsid w:val="00175E17"/>
    <w:rsid w:val="001C5625"/>
    <w:rsid w:val="001C7323"/>
    <w:rsid w:val="001D2D63"/>
    <w:rsid w:val="002D1197"/>
    <w:rsid w:val="003744BA"/>
    <w:rsid w:val="003F03BB"/>
    <w:rsid w:val="003F4B37"/>
    <w:rsid w:val="004D4D3D"/>
    <w:rsid w:val="0059130D"/>
    <w:rsid w:val="00606661"/>
    <w:rsid w:val="006315F7"/>
    <w:rsid w:val="00657440"/>
    <w:rsid w:val="006F493A"/>
    <w:rsid w:val="007D212F"/>
    <w:rsid w:val="007E76CC"/>
    <w:rsid w:val="008208DE"/>
    <w:rsid w:val="008528DE"/>
    <w:rsid w:val="0088299F"/>
    <w:rsid w:val="008B463B"/>
    <w:rsid w:val="00A9051B"/>
    <w:rsid w:val="00AB0056"/>
    <w:rsid w:val="00B01398"/>
    <w:rsid w:val="00B42B68"/>
    <w:rsid w:val="00B44FBE"/>
    <w:rsid w:val="00B47541"/>
    <w:rsid w:val="00BD7FF4"/>
    <w:rsid w:val="00D73CA4"/>
    <w:rsid w:val="00DE6691"/>
    <w:rsid w:val="00E736C1"/>
    <w:rsid w:val="00ED0854"/>
    <w:rsid w:val="00ED240C"/>
    <w:rsid w:val="00F76E86"/>
    <w:rsid w:val="00FC5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58F0"/>
    <w:pPr>
      <w:widowControl w:val="0"/>
      <w:jc w:val="both"/>
    </w:pPr>
  </w:style>
  <w:style w:type="paragraph" w:styleId="1">
    <w:name w:val="heading 1"/>
    <w:basedOn w:val="a"/>
    <w:next w:val="a"/>
    <w:link w:val="1Char"/>
    <w:uiPriority w:val="9"/>
    <w:qFormat/>
    <w:rsid w:val="00FC5024"/>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C5024"/>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C5024"/>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FC5024"/>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C5024"/>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FC5024"/>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C5024"/>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C5024"/>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C5024"/>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45F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45F8F"/>
    <w:rPr>
      <w:sz w:val="18"/>
      <w:szCs w:val="18"/>
    </w:rPr>
  </w:style>
  <w:style w:type="paragraph" w:styleId="a4">
    <w:name w:val="footer"/>
    <w:basedOn w:val="a"/>
    <w:link w:val="Char0"/>
    <w:uiPriority w:val="99"/>
    <w:unhideWhenUsed/>
    <w:rsid w:val="00045F8F"/>
    <w:pPr>
      <w:tabs>
        <w:tab w:val="center" w:pos="4153"/>
        <w:tab w:val="right" w:pos="8306"/>
      </w:tabs>
      <w:snapToGrid w:val="0"/>
      <w:jc w:val="left"/>
    </w:pPr>
    <w:rPr>
      <w:sz w:val="18"/>
      <w:szCs w:val="18"/>
    </w:rPr>
  </w:style>
  <w:style w:type="character" w:customStyle="1" w:styleId="Char0">
    <w:name w:val="页脚 Char"/>
    <w:basedOn w:val="a0"/>
    <w:link w:val="a4"/>
    <w:uiPriority w:val="99"/>
    <w:rsid w:val="00045F8F"/>
    <w:rPr>
      <w:sz w:val="18"/>
      <w:szCs w:val="18"/>
    </w:rPr>
  </w:style>
  <w:style w:type="character" w:customStyle="1" w:styleId="1Char">
    <w:name w:val="标题 1 Char"/>
    <w:basedOn w:val="a0"/>
    <w:link w:val="1"/>
    <w:uiPriority w:val="9"/>
    <w:rsid w:val="00FC5024"/>
    <w:rPr>
      <w:b/>
      <w:bCs/>
      <w:kern w:val="44"/>
      <w:sz w:val="44"/>
      <w:szCs w:val="44"/>
    </w:rPr>
  </w:style>
  <w:style w:type="paragraph" w:styleId="TOC">
    <w:name w:val="TOC Heading"/>
    <w:basedOn w:val="1"/>
    <w:next w:val="a"/>
    <w:uiPriority w:val="39"/>
    <w:unhideWhenUsed/>
    <w:qFormat/>
    <w:rsid w:val="00FC502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FC5024"/>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B44FBE"/>
    <w:pPr>
      <w:widowControl/>
      <w:tabs>
        <w:tab w:val="right" w:leader="dot" w:pos="8210"/>
      </w:tabs>
      <w:spacing w:after="100" w:line="276" w:lineRule="auto"/>
      <w:jc w:val="left"/>
    </w:pPr>
    <w:rPr>
      <w:rFonts w:ascii="黑体" w:eastAsia="黑体" w:hAnsi="黑体"/>
      <w:noProof/>
      <w:kern w:val="0"/>
      <w:sz w:val="28"/>
      <w:szCs w:val="28"/>
    </w:rPr>
  </w:style>
  <w:style w:type="paragraph" w:styleId="30">
    <w:name w:val="toc 3"/>
    <w:basedOn w:val="a"/>
    <w:next w:val="a"/>
    <w:autoRedefine/>
    <w:uiPriority w:val="39"/>
    <w:unhideWhenUsed/>
    <w:qFormat/>
    <w:rsid w:val="00FC5024"/>
    <w:pPr>
      <w:widowControl/>
      <w:spacing w:after="100" w:line="276" w:lineRule="auto"/>
      <w:ind w:left="440"/>
      <w:jc w:val="left"/>
    </w:pPr>
    <w:rPr>
      <w:kern w:val="0"/>
      <w:sz w:val="22"/>
    </w:rPr>
  </w:style>
  <w:style w:type="paragraph" w:styleId="a5">
    <w:name w:val="Balloon Text"/>
    <w:basedOn w:val="a"/>
    <w:link w:val="Char1"/>
    <w:uiPriority w:val="99"/>
    <w:semiHidden/>
    <w:unhideWhenUsed/>
    <w:rsid w:val="00FC5024"/>
    <w:rPr>
      <w:sz w:val="18"/>
      <w:szCs w:val="18"/>
    </w:rPr>
  </w:style>
  <w:style w:type="character" w:customStyle="1" w:styleId="Char1">
    <w:name w:val="批注框文本 Char"/>
    <w:basedOn w:val="a0"/>
    <w:link w:val="a5"/>
    <w:uiPriority w:val="99"/>
    <w:semiHidden/>
    <w:rsid w:val="00FC5024"/>
    <w:rPr>
      <w:sz w:val="18"/>
      <w:szCs w:val="18"/>
    </w:rPr>
  </w:style>
  <w:style w:type="character" w:customStyle="1" w:styleId="2Char">
    <w:name w:val="标题 2 Char"/>
    <w:basedOn w:val="a0"/>
    <w:link w:val="2"/>
    <w:uiPriority w:val="9"/>
    <w:rsid w:val="00FC502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C5024"/>
    <w:rPr>
      <w:b/>
      <w:bCs/>
      <w:sz w:val="32"/>
      <w:szCs w:val="32"/>
    </w:rPr>
  </w:style>
  <w:style w:type="character" w:customStyle="1" w:styleId="4Char">
    <w:name w:val="标题 4 Char"/>
    <w:basedOn w:val="a0"/>
    <w:link w:val="4"/>
    <w:uiPriority w:val="9"/>
    <w:rsid w:val="00FC5024"/>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FC5024"/>
    <w:rPr>
      <w:b/>
      <w:bCs/>
      <w:sz w:val="28"/>
      <w:szCs w:val="28"/>
    </w:rPr>
  </w:style>
  <w:style w:type="character" w:customStyle="1" w:styleId="6Char">
    <w:name w:val="标题 6 Char"/>
    <w:basedOn w:val="a0"/>
    <w:link w:val="6"/>
    <w:uiPriority w:val="9"/>
    <w:semiHidden/>
    <w:rsid w:val="00FC5024"/>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C5024"/>
    <w:rPr>
      <w:b/>
      <w:bCs/>
      <w:sz w:val="24"/>
      <w:szCs w:val="24"/>
    </w:rPr>
  </w:style>
  <w:style w:type="character" w:customStyle="1" w:styleId="8Char">
    <w:name w:val="标题 8 Char"/>
    <w:basedOn w:val="a0"/>
    <w:link w:val="8"/>
    <w:uiPriority w:val="9"/>
    <w:semiHidden/>
    <w:rsid w:val="00FC5024"/>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C5024"/>
    <w:rPr>
      <w:rFonts w:asciiTheme="majorHAnsi" w:eastAsiaTheme="majorEastAsia" w:hAnsiTheme="majorHAnsi" w:cstheme="majorBidi"/>
      <w:szCs w:val="21"/>
    </w:rPr>
  </w:style>
  <w:style w:type="paragraph" w:styleId="a6">
    <w:name w:val="Document Map"/>
    <w:basedOn w:val="a"/>
    <w:link w:val="Char2"/>
    <w:uiPriority w:val="99"/>
    <w:semiHidden/>
    <w:unhideWhenUsed/>
    <w:rsid w:val="00FC5024"/>
    <w:rPr>
      <w:rFonts w:ascii="宋体" w:eastAsia="宋体"/>
      <w:sz w:val="18"/>
      <w:szCs w:val="18"/>
    </w:rPr>
  </w:style>
  <w:style w:type="character" w:customStyle="1" w:styleId="Char2">
    <w:name w:val="文档结构图 Char"/>
    <w:basedOn w:val="a0"/>
    <w:link w:val="a6"/>
    <w:uiPriority w:val="99"/>
    <w:semiHidden/>
    <w:rsid w:val="00FC5024"/>
    <w:rPr>
      <w:rFonts w:ascii="宋体" w:eastAsia="宋体"/>
      <w:sz w:val="18"/>
      <w:szCs w:val="18"/>
    </w:rPr>
  </w:style>
  <w:style w:type="character" w:styleId="a7">
    <w:name w:val="Hyperlink"/>
    <w:basedOn w:val="a0"/>
    <w:uiPriority w:val="99"/>
    <w:unhideWhenUsed/>
    <w:rsid w:val="00B44FBE"/>
    <w:rPr>
      <w:color w:val="0000FF" w:themeColor="hyperlink"/>
      <w:u w:val="single"/>
    </w:rPr>
  </w:style>
  <w:style w:type="paragraph" w:styleId="a8">
    <w:name w:val="List Paragraph"/>
    <w:basedOn w:val="a"/>
    <w:uiPriority w:val="34"/>
    <w:qFormat/>
    <w:rsid w:val="003F03B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3BCED3-3BE2-4BC5-BDE1-6470B716E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5</Pages>
  <Words>268</Words>
  <Characters>1533</Characters>
  <Application>Microsoft Office Word</Application>
  <DocSecurity>0</DocSecurity>
  <Lines>12</Lines>
  <Paragraphs>3</Paragraphs>
  <ScaleCrop>false</ScaleCrop>
  <Company>Microsoft</Company>
  <LinksUpToDate>false</LinksUpToDate>
  <CharactersWithSpaces>1798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baolong</dc:creator>
  <cp:keywords/>
  <dc:description/>
  <cp:lastModifiedBy>kanmars</cp:lastModifiedBy>
  <cp:revision>37</cp:revision>
  <dcterms:created xsi:type="dcterms:W3CDTF">2016-12-11T13:42:00Z</dcterms:created>
  <dcterms:modified xsi:type="dcterms:W3CDTF">2017-01-21T14:48:00Z</dcterms:modified>
</cp:coreProperties>
</file>