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901E68"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901E68"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F65EA8" w:rsidP="00F76E86">
      <w:pPr>
        <w:pStyle w:val="1"/>
        <w:spacing w:line="400" w:lineRule="exact"/>
        <w:ind w:left="0"/>
        <w:jc w:val="center"/>
        <w:rPr>
          <w:rFonts w:ascii="黑体" w:eastAsia="黑体" w:hAnsi="黑体"/>
          <w:sz w:val="36"/>
          <w:szCs w:val="36"/>
        </w:rPr>
      </w:pPr>
      <w:r>
        <w:rPr>
          <w:rFonts w:ascii="黑体" w:eastAsia="黑体" w:hAnsi="黑体"/>
          <w:sz w:val="36"/>
          <w:szCs w:val="36"/>
        </w:rPr>
        <w:lastRenderedPageBreak/>
        <w:t>影响高频交易策略的因素汇总</w:t>
      </w:r>
    </w:p>
    <w:p w:rsidR="00FC5024" w:rsidRPr="001C7323" w:rsidRDefault="00ED0854" w:rsidP="00F76E86">
      <w:pPr>
        <w:spacing w:line="400" w:lineRule="exact"/>
        <w:rPr>
          <w:sz w:val="24"/>
          <w:szCs w:val="24"/>
        </w:rPr>
      </w:pPr>
      <w:r w:rsidRPr="00E736C1">
        <w:rPr>
          <w:rFonts w:hint="eastAsia"/>
          <w:sz w:val="24"/>
          <w:szCs w:val="24"/>
        </w:rPr>
        <w:t>正文</w:t>
      </w:r>
      <w:r w:rsidR="00E736C1">
        <w:rPr>
          <w:rFonts w:hint="eastAsia"/>
          <w:sz w:val="24"/>
          <w:szCs w:val="24"/>
        </w:rPr>
        <w:t>每页三十八行每行三十四字，正文段落和标题一律采用固定行间距二十</w:t>
      </w:r>
      <w:r w:rsidR="00E736C1">
        <w:rPr>
          <w:rFonts w:hint="eastAsia"/>
          <w:sz w:val="24"/>
          <w:szCs w:val="24"/>
        </w:rPr>
        <w:t>PT</w:t>
      </w:r>
      <w:r w:rsidR="001C7323">
        <w:rPr>
          <w:rFonts w:hint="eastAsia"/>
          <w:sz w:val="24"/>
          <w:szCs w:val="24"/>
        </w:rPr>
        <w: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p>
    <w:p w:rsidR="00045F8F" w:rsidRDefault="00E2637F" w:rsidP="00F76E86">
      <w:pPr>
        <w:pStyle w:val="2"/>
        <w:numPr>
          <w:ilvl w:val="1"/>
          <w:numId w:val="3"/>
        </w:numPr>
        <w:spacing w:line="400" w:lineRule="exact"/>
        <w:ind w:left="0" w:firstLine="0"/>
        <w:jc w:val="center"/>
        <w:rPr>
          <w:rFonts w:ascii="黑体" w:eastAsia="黑体" w:hAnsi="黑体"/>
          <w:sz w:val="30"/>
          <w:szCs w:val="30"/>
        </w:rPr>
      </w:pPr>
      <w:r>
        <w:rPr>
          <w:rFonts w:ascii="黑体" w:eastAsia="黑体" w:hAnsi="黑体"/>
          <w:sz w:val="30"/>
          <w:szCs w:val="30"/>
        </w:rPr>
        <w:t>高频交易策略的评价方法</w:t>
      </w:r>
    </w:p>
    <w:p w:rsidR="009D569E" w:rsidRPr="009D569E" w:rsidRDefault="009D569E" w:rsidP="009D569E">
      <w:pPr>
        <w:pStyle w:val="3"/>
        <w:numPr>
          <w:ilvl w:val="2"/>
          <w:numId w:val="4"/>
        </w:numPr>
        <w:spacing w:line="400" w:lineRule="exact"/>
        <w:ind w:left="0" w:firstLine="0"/>
        <w:jc w:val="center"/>
        <w:rPr>
          <w:rFonts w:ascii="黑体" w:eastAsia="黑体" w:hAnsi="黑体"/>
          <w:sz w:val="24"/>
          <w:szCs w:val="24"/>
        </w:rPr>
      </w:pPr>
      <w:proofErr w:type="gramStart"/>
      <w:r>
        <w:rPr>
          <w:rFonts w:ascii="黑体" w:eastAsia="黑体" w:hAnsi="黑体" w:hint="eastAsia"/>
          <w:sz w:val="24"/>
          <w:szCs w:val="24"/>
        </w:rPr>
        <w:t>策略年化</w:t>
      </w:r>
      <w:r w:rsidRPr="009D569E">
        <w:rPr>
          <w:rFonts w:ascii="黑体" w:eastAsia="黑体" w:hAnsi="黑体" w:hint="eastAsia"/>
          <w:sz w:val="24"/>
          <w:szCs w:val="24"/>
        </w:rPr>
        <w:t>收益率</w:t>
      </w:r>
      <w:proofErr w:type="gramEnd"/>
    </w:p>
    <w:p w:rsidR="009D569E" w:rsidRDefault="009D569E" w:rsidP="009D569E">
      <w:pPr>
        <w:spacing w:line="400" w:lineRule="exact"/>
        <w:ind w:firstLineChars="177" w:firstLine="425"/>
        <w:rPr>
          <w:sz w:val="24"/>
          <w:szCs w:val="24"/>
        </w:rPr>
      </w:pPr>
      <w:proofErr w:type="gramStart"/>
      <w:r w:rsidRPr="009D569E">
        <w:rPr>
          <w:sz w:val="24"/>
          <w:szCs w:val="24"/>
        </w:rPr>
        <w:t>策略年化收益率</w:t>
      </w:r>
      <w:proofErr w:type="gramEnd"/>
      <w:r>
        <w:rPr>
          <w:sz w:val="24"/>
          <w:szCs w:val="24"/>
        </w:rPr>
        <w:t>（</w:t>
      </w:r>
      <w:r>
        <w:rPr>
          <w:sz w:val="24"/>
          <w:szCs w:val="24"/>
        </w:rPr>
        <w:t>Annualized Returns</w:t>
      </w:r>
      <w:r>
        <w:rPr>
          <w:sz w:val="24"/>
          <w:szCs w:val="24"/>
        </w:rPr>
        <w:t>）表示投资期限为一年的预期收益率，是把当前收益率（日收益率、周收益率、月收益率）换算成年收益率来计算，是一种理论收益率而非真正的已取得的收益率，例如日收益率是</w:t>
      </w:r>
      <w:r>
        <w:rPr>
          <w:rFonts w:hint="eastAsia"/>
          <w:sz w:val="24"/>
          <w:szCs w:val="24"/>
        </w:rPr>
        <w:t>0.01%</w:t>
      </w:r>
      <w:r>
        <w:rPr>
          <w:sz w:val="24"/>
          <w:szCs w:val="24"/>
        </w:rPr>
        <w:t>，</w:t>
      </w:r>
      <w:proofErr w:type="gramStart"/>
      <w:r>
        <w:rPr>
          <w:sz w:val="24"/>
          <w:szCs w:val="24"/>
        </w:rPr>
        <w:t>则年</w:t>
      </w:r>
      <w:r>
        <w:rPr>
          <w:rFonts w:hint="eastAsia"/>
          <w:sz w:val="24"/>
          <w:szCs w:val="24"/>
        </w:rPr>
        <w:t>化</w:t>
      </w:r>
      <w:r>
        <w:rPr>
          <w:sz w:val="24"/>
          <w:szCs w:val="24"/>
        </w:rPr>
        <w:t>收益率</w:t>
      </w:r>
      <w:proofErr w:type="gramEnd"/>
      <w:r>
        <w:rPr>
          <w:sz w:val="24"/>
          <w:szCs w:val="24"/>
        </w:rPr>
        <w:t>为</w:t>
      </w:r>
      <w:r>
        <w:rPr>
          <w:rFonts w:hint="eastAsia"/>
          <w:sz w:val="24"/>
          <w:szCs w:val="24"/>
        </w:rPr>
        <w:t>365*0.01%=3.65%</w:t>
      </w:r>
      <w:r>
        <w:rPr>
          <w:rFonts w:hint="eastAsia"/>
          <w:sz w:val="24"/>
          <w:szCs w:val="24"/>
        </w:rPr>
        <w:t>，</w:t>
      </w:r>
      <w:proofErr w:type="gramStart"/>
      <w:r>
        <w:rPr>
          <w:rFonts w:hint="eastAsia"/>
          <w:sz w:val="24"/>
          <w:szCs w:val="24"/>
        </w:rPr>
        <w:t>因为年化收益率</w:t>
      </w:r>
      <w:proofErr w:type="gramEnd"/>
      <w:r>
        <w:rPr>
          <w:rFonts w:hint="eastAsia"/>
          <w:sz w:val="24"/>
          <w:szCs w:val="24"/>
        </w:rPr>
        <w:t>是变动的，所以年收益率</w:t>
      </w:r>
      <w:proofErr w:type="gramStart"/>
      <w:r>
        <w:rPr>
          <w:rFonts w:hint="eastAsia"/>
          <w:sz w:val="24"/>
          <w:szCs w:val="24"/>
        </w:rPr>
        <w:t>与年化收益率</w:t>
      </w:r>
      <w:proofErr w:type="gramEnd"/>
      <w:r>
        <w:rPr>
          <w:rFonts w:hint="eastAsia"/>
          <w:sz w:val="24"/>
          <w:szCs w:val="24"/>
        </w:rPr>
        <w:t>之间会有一定的差距。</w:t>
      </w:r>
      <w:proofErr w:type="gramStart"/>
      <w:r w:rsidR="007077F6">
        <w:rPr>
          <w:rFonts w:hint="eastAsia"/>
          <w:sz w:val="24"/>
          <w:szCs w:val="24"/>
        </w:rPr>
        <w:t>年化收益率</w:t>
      </w:r>
      <w:proofErr w:type="gramEnd"/>
      <w:r w:rsidR="007077F6">
        <w:rPr>
          <w:rFonts w:hint="eastAsia"/>
          <w:sz w:val="24"/>
          <w:szCs w:val="24"/>
        </w:rPr>
        <w:t>指标的设立目的是为投资者提供比较直观的数据，供投资者将不同的投资项目进行比较与参考。</w:t>
      </w:r>
    </w:p>
    <w:p w:rsidR="00353035" w:rsidRPr="009D569E" w:rsidRDefault="00353035" w:rsidP="009D569E">
      <w:pPr>
        <w:spacing w:line="400" w:lineRule="exact"/>
        <w:ind w:firstLineChars="177" w:firstLine="425"/>
        <w:rPr>
          <w:sz w:val="24"/>
          <w:szCs w:val="24"/>
        </w:rPr>
      </w:pPr>
    </w:p>
    <w:p w:rsidR="007E76CC" w:rsidRPr="000D52D9" w:rsidRDefault="000D52D9" w:rsidP="000D52D9">
      <w:pPr>
        <w:pStyle w:val="3"/>
        <w:numPr>
          <w:ilvl w:val="2"/>
          <w:numId w:val="4"/>
        </w:numPr>
        <w:spacing w:line="400" w:lineRule="exact"/>
        <w:ind w:left="0" w:firstLine="0"/>
        <w:jc w:val="center"/>
        <w:rPr>
          <w:rFonts w:ascii="黑体" w:eastAsia="黑体" w:hAnsi="黑体"/>
          <w:sz w:val="24"/>
          <w:szCs w:val="24"/>
        </w:rPr>
      </w:pPr>
      <w:r w:rsidRPr="000D52D9">
        <w:rPr>
          <w:rFonts w:ascii="黑体" w:eastAsia="黑体" w:hAnsi="黑体" w:hint="eastAsia"/>
          <w:sz w:val="24"/>
          <w:szCs w:val="24"/>
        </w:rPr>
        <w:t>最大回撤率</w:t>
      </w:r>
    </w:p>
    <w:p w:rsidR="000D52D9" w:rsidRDefault="000D52D9" w:rsidP="000D52D9">
      <w:pPr>
        <w:spacing w:line="400" w:lineRule="exact"/>
        <w:ind w:firstLineChars="177" w:firstLine="425"/>
        <w:rPr>
          <w:sz w:val="24"/>
          <w:szCs w:val="24"/>
        </w:rPr>
      </w:pPr>
      <w:r w:rsidRPr="000D52D9">
        <w:rPr>
          <w:rFonts w:hint="eastAsia"/>
          <w:sz w:val="24"/>
          <w:szCs w:val="24"/>
        </w:rPr>
        <w:t>最大回撤率</w:t>
      </w:r>
      <w:r>
        <w:rPr>
          <w:rFonts w:hint="eastAsia"/>
          <w:sz w:val="24"/>
          <w:szCs w:val="24"/>
        </w:rPr>
        <w:t>（</w:t>
      </w:r>
      <w:r w:rsidRPr="000D52D9">
        <w:rPr>
          <w:bCs/>
          <w:sz w:val="24"/>
          <w:szCs w:val="24"/>
        </w:rPr>
        <w:t>Max Drawdown</w:t>
      </w:r>
      <w:r>
        <w:rPr>
          <w:rFonts w:hint="eastAsia"/>
          <w:sz w:val="24"/>
          <w:szCs w:val="24"/>
        </w:rPr>
        <w:t>）</w:t>
      </w:r>
      <w:r w:rsidRPr="000D52D9">
        <w:rPr>
          <w:rFonts w:hint="eastAsia"/>
          <w:sz w:val="24"/>
          <w:szCs w:val="24"/>
        </w:rPr>
        <w:t>是在选定周期内任一</w:t>
      </w:r>
      <w:r>
        <w:rPr>
          <w:rFonts w:hint="eastAsia"/>
          <w:sz w:val="24"/>
          <w:szCs w:val="24"/>
        </w:rPr>
        <w:t>时间节点开始计算，产品净值的最低点的收益回撤幅度的最大值。最大回撤比率用来描述策略可能出现的最糟糕的情况。回撤用来描述任</w:t>
      </w:r>
      <w:proofErr w:type="gramStart"/>
      <w:r>
        <w:rPr>
          <w:rFonts w:hint="eastAsia"/>
          <w:sz w:val="24"/>
          <w:szCs w:val="24"/>
        </w:rPr>
        <w:t>一</w:t>
      </w:r>
      <w:proofErr w:type="gramEnd"/>
      <w:r>
        <w:rPr>
          <w:rFonts w:hint="eastAsia"/>
          <w:sz w:val="24"/>
          <w:szCs w:val="24"/>
        </w:rPr>
        <w:t>投资者可能面临的最大亏损，关注策略的最大回撤率可以帮助投资者了解该策略的风险控制能力可知道自己可能面临的最大亏损幅度，</w:t>
      </w:r>
      <w:r w:rsidR="00DD39BC">
        <w:rPr>
          <w:rFonts w:hint="eastAsia"/>
          <w:sz w:val="24"/>
          <w:szCs w:val="24"/>
        </w:rPr>
        <w:t xml:space="preserve"> </w:t>
      </w:r>
    </w:p>
    <w:p w:rsidR="00DD39BC" w:rsidRDefault="00DD39BC" w:rsidP="000D52D9">
      <w:pPr>
        <w:spacing w:line="400" w:lineRule="exact"/>
        <w:ind w:firstLineChars="177" w:firstLine="425"/>
        <w:rPr>
          <w:sz w:val="24"/>
          <w:szCs w:val="24"/>
        </w:rPr>
      </w:pPr>
      <w:r>
        <w:rPr>
          <w:rFonts w:hint="eastAsia"/>
          <w:sz w:val="24"/>
          <w:szCs w:val="24"/>
        </w:rPr>
        <w:t>目前对最大回撤率的主流认识有两点：</w:t>
      </w:r>
    </w:p>
    <w:p w:rsidR="00DD39BC" w:rsidRDefault="00DD39BC" w:rsidP="000D52D9">
      <w:pPr>
        <w:spacing w:line="400" w:lineRule="exact"/>
        <w:ind w:firstLineChars="177" w:firstLine="425"/>
        <w:rPr>
          <w:sz w:val="24"/>
          <w:szCs w:val="24"/>
        </w:rPr>
      </w:pPr>
      <w:r>
        <w:rPr>
          <w:rFonts w:hint="eastAsia"/>
          <w:sz w:val="24"/>
          <w:szCs w:val="24"/>
        </w:rPr>
        <w:t>a)</w:t>
      </w:r>
      <w:r>
        <w:rPr>
          <w:rFonts w:hint="eastAsia"/>
          <w:sz w:val="24"/>
          <w:szCs w:val="24"/>
        </w:rPr>
        <w:t>最大回撤越小越好；</w:t>
      </w:r>
    </w:p>
    <w:p w:rsidR="00DD39BC" w:rsidRDefault="00DD39BC" w:rsidP="000D52D9">
      <w:pPr>
        <w:spacing w:line="400" w:lineRule="exact"/>
        <w:ind w:firstLineChars="177" w:firstLine="425"/>
        <w:rPr>
          <w:sz w:val="24"/>
          <w:szCs w:val="24"/>
        </w:rPr>
      </w:pPr>
      <w:r>
        <w:rPr>
          <w:rFonts w:hint="eastAsia"/>
          <w:sz w:val="24"/>
          <w:szCs w:val="24"/>
        </w:rPr>
        <w:t>b)</w:t>
      </w:r>
      <w:r>
        <w:rPr>
          <w:rFonts w:hint="eastAsia"/>
          <w:sz w:val="24"/>
          <w:szCs w:val="24"/>
        </w:rPr>
        <w:t>回撤和风险成正比，</w:t>
      </w:r>
      <w:r w:rsidRPr="00DD39BC">
        <w:rPr>
          <w:rFonts w:hint="eastAsia"/>
          <w:sz w:val="24"/>
          <w:szCs w:val="24"/>
        </w:rPr>
        <w:t>回撤</w:t>
      </w:r>
      <w:r>
        <w:rPr>
          <w:rFonts w:hint="eastAsia"/>
          <w:sz w:val="24"/>
          <w:szCs w:val="24"/>
        </w:rPr>
        <w:t>率</w:t>
      </w:r>
      <w:r w:rsidRPr="00DD39BC">
        <w:rPr>
          <w:rFonts w:hint="eastAsia"/>
          <w:sz w:val="24"/>
          <w:szCs w:val="24"/>
        </w:rPr>
        <w:t>越大，风险越大，回撤</w:t>
      </w:r>
      <w:r>
        <w:rPr>
          <w:rFonts w:hint="eastAsia"/>
          <w:sz w:val="24"/>
          <w:szCs w:val="24"/>
        </w:rPr>
        <w:t>率</w:t>
      </w:r>
      <w:r w:rsidRPr="00DD39BC">
        <w:rPr>
          <w:rFonts w:hint="eastAsia"/>
          <w:sz w:val="24"/>
          <w:szCs w:val="24"/>
        </w:rPr>
        <w:t>越小，风险越小</w:t>
      </w:r>
      <w:r>
        <w:rPr>
          <w:rFonts w:hint="eastAsia"/>
          <w:sz w:val="24"/>
          <w:szCs w:val="24"/>
        </w:rPr>
        <w:t>；</w:t>
      </w:r>
    </w:p>
    <w:p w:rsidR="00DD39BC" w:rsidRDefault="00DD39BC" w:rsidP="000D52D9">
      <w:pPr>
        <w:spacing w:line="400" w:lineRule="exact"/>
        <w:ind w:firstLineChars="177" w:firstLine="425"/>
        <w:rPr>
          <w:sz w:val="24"/>
          <w:szCs w:val="24"/>
        </w:rPr>
      </w:pPr>
      <w:r>
        <w:rPr>
          <w:rFonts w:hint="eastAsia"/>
          <w:sz w:val="24"/>
          <w:szCs w:val="24"/>
        </w:rPr>
        <w:t>一般而言某个策略的最大回撤率越大，意味着该策略的风险较高。但并非最大回撤率越小越好，往往高收益的产品会伴随着高风险匹配，而风险偏好的</w:t>
      </w:r>
      <w:r>
        <w:rPr>
          <w:rFonts w:hint="eastAsia"/>
          <w:sz w:val="24"/>
          <w:szCs w:val="24"/>
        </w:rPr>
        <w:lastRenderedPageBreak/>
        <w:t>投资者会对这些产品青睐有加。</w:t>
      </w:r>
    </w:p>
    <w:p w:rsidR="000122C6" w:rsidRDefault="000122C6" w:rsidP="000D52D9">
      <w:pPr>
        <w:spacing w:line="400" w:lineRule="exact"/>
        <w:ind w:firstLineChars="177" w:firstLine="425"/>
        <w:rPr>
          <w:sz w:val="24"/>
          <w:szCs w:val="24"/>
        </w:rPr>
      </w:pPr>
      <w:r>
        <w:rPr>
          <w:rFonts w:hint="eastAsia"/>
          <w:sz w:val="24"/>
          <w:szCs w:val="24"/>
        </w:rPr>
        <w:t>最大回撤率的计算公式可以用如下公式描述：设</w:t>
      </w:r>
      <w:r>
        <w:rPr>
          <w:rFonts w:hint="eastAsia"/>
          <w:sz w:val="24"/>
          <w:szCs w:val="24"/>
        </w:rPr>
        <w:t>D</w:t>
      </w:r>
      <w:r>
        <w:rPr>
          <w:rFonts w:hint="eastAsia"/>
          <w:sz w:val="24"/>
          <w:szCs w:val="24"/>
        </w:rPr>
        <w:t>为某一天的净值，</w:t>
      </w:r>
      <w:r>
        <w:rPr>
          <w:rFonts w:hint="eastAsia"/>
          <w:sz w:val="24"/>
          <w:szCs w:val="24"/>
        </w:rPr>
        <w:t>i</w:t>
      </w:r>
      <w:r>
        <w:rPr>
          <w:rFonts w:hint="eastAsia"/>
          <w:sz w:val="24"/>
          <w:szCs w:val="24"/>
        </w:rPr>
        <w:t>为某一天，</w:t>
      </w:r>
      <w:r>
        <w:rPr>
          <w:rFonts w:hint="eastAsia"/>
          <w:sz w:val="24"/>
          <w:szCs w:val="24"/>
        </w:rPr>
        <w:t>j</w:t>
      </w:r>
      <w:r>
        <w:rPr>
          <w:rFonts w:hint="eastAsia"/>
          <w:sz w:val="24"/>
          <w:szCs w:val="24"/>
        </w:rPr>
        <w:t>为从</w:t>
      </w:r>
      <w:r>
        <w:rPr>
          <w:rFonts w:hint="eastAsia"/>
          <w:sz w:val="24"/>
          <w:szCs w:val="24"/>
        </w:rPr>
        <w:t>i</w:t>
      </w:r>
      <w:r>
        <w:rPr>
          <w:rFonts w:hint="eastAsia"/>
          <w:sz w:val="24"/>
          <w:szCs w:val="24"/>
        </w:rPr>
        <w:t>开始算起的之后一天，</w:t>
      </w:r>
      <w:r>
        <w:rPr>
          <w:rFonts w:hint="eastAsia"/>
          <w:sz w:val="24"/>
          <w:szCs w:val="24"/>
        </w:rPr>
        <w:t>Di</w:t>
      </w:r>
      <w:r>
        <w:rPr>
          <w:rFonts w:hint="eastAsia"/>
          <w:sz w:val="24"/>
          <w:szCs w:val="24"/>
        </w:rPr>
        <w:t>为第</w:t>
      </w:r>
      <w:r>
        <w:rPr>
          <w:rFonts w:hint="eastAsia"/>
          <w:sz w:val="24"/>
          <w:szCs w:val="24"/>
        </w:rPr>
        <w:t>i</w:t>
      </w:r>
      <w:r>
        <w:rPr>
          <w:rFonts w:hint="eastAsia"/>
          <w:sz w:val="24"/>
          <w:szCs w:val="24"/>
        </w:rPr>
        <w:t>天的策略净值，而</w:t>
      </w:r>
      <w:proofErr w:type="spellStart"/>
      <w:r>
        <w:rPr>
          <w:rFonts w:hint="eastAsia"/>
          <w:sz w:val="24"/>
          <w:szCs w:val="24"/>
        </w:rPr>
        <w:t>Dj</w:t>
      </w:r>
      <w:proofErr w:type="spellEnd"/>
      <w:r>
        <w:rPr>
          <w:rFonts w:hint="eastAsia"/>
          <w:sz w:val="24"/>
          <w:szCs w:val="24"/>
        </w:rPr>
        <w:t>为第</w:t>
      </w:r>
      <w:r>
        <w:rPr>
          <w:rFonts w:hint="eastAsia"/>
          <w:sz w:val="24"/>
          <w:szCs w:val="24"/>
        </w:rPr>
        <w:t>j</w:t>
      </w:r>
      <w:r>
        <w:rPr>
          <w:rFonts w:hint="eastAsia"/>
          <w:sz w:val="24"/>
          <w:szCs w:val="24"/>
        </w:rPr>
        <w:t>天的策略净值，则公式如下：</w:t>
      </w:r>
    </w:p>
    <w:p w:rsidR="000122C6" w:rsidRDefault="000122C6" w:rsidP="000D52D9">
      <w:pPr>
        <w:spacing w:line="400" w:lineRule="exact"/>
        <w:ind w:firstLineChars="177" w:firstLine="425"/>
        <w:rPr>
          <w:sz w:val="24"/>
          <w:szCs w:val="24"/>
        </w:rPr>
      </w:pPr>
      <w:r>
        <w:rPr>
          <w:sz w:val="24"/>
          <w:szCs w:val="24"/>
        </w:rPr>
        <w:t>D</w:t>
      </w:r>
      <w:r>
        <w:rPr>
          <w:rFonts w:hint="eastAsia"/>
          <w:sz w:val="24"/>
          <w:szCs w:val="24"/>
        </w:rPr>
        <w:t>rawdown = max (Di-</w:t>
      </w:r>
      <w:proofErr w:type="spellStart"/>
      <w:r>
        <w:rPr>
          <w:rFonts w:hint="eastAsia"/>
          <w:sz w:val="24"/>
          <w:szCs w:val="24"/>
        </w:rPr>
        <w:t>Dj</w:t>
      </w:r>
      <w:proofErr w:type="spellEnd"/>
      <w:r>
        <w:rPr>
          <w:rFonts w:hint="eastAsia"/>
          <w:sz w:val="24"/>
          <w:szCs w:val="24"/>
        </w:rPr>
        <w:t>)/Di</w:t>
      </w:r>
    </w:p>
    <w:p w:rsidR="000122C6" w:rsidRDefault="000122C6" w:rsidP="000D52D9">
      <w:pPr>
        <w:spacing w:line="400" w:lineRule="exact"/>
        <w:ind w:firstLineChars="177" w:firstLine="425"/>
        <w:rPr>
          <w:sz w:val="24"/>
          <w:szCs w:val="24"/>
        </w:rPr>
      </w:pPr>
      <w:r>
        <w:rPr>
          <w:rFonts w:hint="eastAsia"/>
          <w:sz w:val="24"/>
          <w:szCs w:val="24"/>
        </w:rPr>
        <w:t>即对每一天的净值进行回撤率计算，然后求其最大值。在高频交易中，交易数据可能是按照“时、分、秒、每笔交易”来计算，则此处的回撤率也可以使用“时、分、秒、每笔交易”来计算。</w:t>
      </w:r>
    </w:p>
    <w:p w:rsidR="007D4F26" w:rsidRPr="000D52D9" w:rsidRDefault="007D4F26" w:rsidP="000D52D9">
      <w:pPr>
        <w:spacing w:line="400" w:lineRule="exact"/>
        <w:ind w:firstLineChars="177" w:firstLine="425"/>
        <w:rPr>
          <w:sz w:val="24"/>
          <w:szCs w:val="24"/>
        </w:rPr>
      </w:pPr>
    </w:p>
    <w:p w:rsidR="000D52D9" w:rsidRDefault="000D52D9" w:rsidP="00F76E86">
      <w:pPr>
        <w:spacing w:line="400" w:lineRule="exact"/>
        <w:rPr>
          <w:rFonts w:ascii="仿宋" w:eastAsia="仿宋" w:hAnsi="仿宋"/>
          <w:sz w:val="32"/>
          <w:szCs w:val="32"/>
        </w:rPr>
      </w:pPr>
    </w:p>
    <w:p w:rsidR="00E2637F" w:rsidRDefault="00E2637F" w:rsidP="00F76E86">
      <w:pPr>
        <w:spacing w:line="400" w:lineRule="exact"/>
        <w:rPr>
          <w:rFonts w:ascii="仿宋" w:eastAsia="仿宋" w:hAnsi="仿宋"/>
          <w:sz w:val="32"/>
          <w:szCs w:val="32"/>
        </w:rPr>
      </w:pPr>
    </w:p>
    <w:p w:rsidR="00E2637F" w:rsidRPr="000D52D9" w:rsidRDefault="000D52D9" w:rsidP="000D52D9">
      <w:pPr>
        <w:pStyle w:val="3"/>
        <w:numPr>
          <w:ilvl w:val="2"/>
          <w:numId w:val="4"/>
        </w:numPr>
        <w:spacing w:line="400" w:lineRule="exact"/>
        <w:ind w:left="0" w:firstLine="0"/>
        <w:jc w:val="center"/>
        <w:rPr>
          <w:rFonts w:ascii="黑体" w:eastAsia="黑体" w:hAnsi="黑体"/>
          <w:sz w:val="24"/>
          <w:szCs w:val="24"/>
        </w:rPr>
      </w:pPr>
      <w:r w:rsidRPr="000D52D9">
        <w:rPr>
          <w:rFonts w:ascii="黑体" w:eastAsia="黑体" w:hAnsi="黑体" w:hint="eastAsia"/>
          <w:sz w:val="24"/>
          <w:szCs w:val="24"/>
        </w:rPr>
        <w:t>夏普比率</w:t>
      </w:r>
    </w:p>
    <w:p w:rsidR="000D52D9" w:rsidRDefault="000D52D9" w:rsidP="00F76E86">
      <w:pPr>
        <w:spacing w:line="400" w:lineRule="exact"/>
        <w:rPr>
          <w:rFonts w:ascii="仿宋" w:eastAsia="仿宋" w:hAnsi="仿宋"/>
          <w:sz w:val="32"/>
          <w:szCs w:val="32"/>
        </w:rPr>
      </w:pPr>
    </w:p>
    <w:p w:rsidR="007D4F26" w:rsidRDefault="007D4F26" w:rsidP="007D4F26">
      <w:pPr>
        <w:spacing w:line="400" w:lineRule="exact"/>
        <w:ind w:firstLineChars="177" w:firstLine="425"/>
        <w:rPr>
          <w:sz w:val="24"/>
          <w:szCs w:val="24"/>
        </w:rPr>
      </w:pPr>
      <w:r w:rsidRPr="007D4F26">
        <w:rPr>
          <w:rFonts w:hint="eastAsia"/>
          <w:sz w:val="24"/>
          <w:szCs w:val="24"/>
        </w:rPr>
        <w:t>夏普比率（</w:t>
      </w:r>
      <w:r w:rsidRPr="007D4F26">
        <w:rPr>
          <w:rFonts w:hint="eastAsia"/>
          <w:sz w:val="24"/>
          <w:szCs w:val="24"/>
        </w:rPr>
        <w:t>Sharpe Ratio</w:t>
      </w:r>
      <w:r w:rsidRPr="007D4F26">
        <w:rPr>
          <w:rFonts w:hint="eastAsia"/>
          <w:sz w:val="24"/>
          <w:szCs w:val="24"/>
        </w:rPr>
        <w:t>），又称为夏普指数</w:t>
      </w:r>
      <w:r>
        <w:rPr>
          <w:rFonts w:hint="eastAsia"/>
          <w:sz w:val="24"/>
          <w:szCs w:val="24"/>
        </w:rPr>
        <w:t>。在投资活动中有一个显著的特点：投资标的</w:t>
      </w:r>
      <w:proofErr w:type="gramStart"/>
      <w:r>
        <w:rPr>
          <w:rFonts w:hint="eastAsia"/>
          <w:sz w:val="24"/>
          <w:szCs w:val="24"/>
        </w:rPr>
        <w:t>的</w:t>
      </w:r>
      <w:proofErr w:type="gramEnd"/>
      <w:r>
        <w:rPr>
          <w:rFonts w:hint="eastAsia"/>
          <w:sz w:val="24"/>
          <w:szCs w:val="24"/>
        </w:rPr>
        <w:t>预期报酬率越高，投资人所能承受的波动风险越高；反之预期报酬率越低，投资人所能承受的波动风险越低。因此说理性的投资人选择投资标的与投资组合的主要目的是：在可以承受的风险范围内，追求最大的收益；或者在固定的收益内追求最低的风险。</w:t>
      </w:r>
    </w:p>
    <w:p w:rsidR="00CA7C7A" w:rsidRDefault="00CA7C7A" w:rsidP="007D4F26">
      <w:pPr>
        <w:spacing w:line="400" w:lineRule="exact"/>
        <w:ind w:firstLineChars="177" w:firstLine="425"/>
        <w:rPr>
          <w:sz w:val="24"/>
          <w:szCs w:val="24"/>
        </w:rPr>
      </w:pPr>
      <w:r>
        <w:rPr>
          <w:rFonts w:hint="eastAsia"/>
          <w:sz w:val="24"/>
          <w:szCs w:val="24"/>
        </w:rPr>
        <w:t>夏普理论告诉我们，需要用最小的风险来换取最大的回报，因此投资者要避免一些不值得冒的风险，同时如果投资者如果缺乏投资经验与研究时间，可以让专业人士来帮助自己建立一些合适的投资组合，这些投资组合可以通过夏普比率来衡量风险和回报的比率。</w:t>
      </w:r>
    </w:p>
    <w:p w:rsidR="00CA7C7A" w:rsidRDefault="00CA7C7A" w:rsidP="007D4F26">
      <w:pPr>
        <w:spacing w:line="400" w:lineRule="exact"/>
        <w:ind w:firstLineChars="177" w:firstLine="425"/>
        <w:rPr>
          <w:sz w:val="24"/>
          <w:szCs w:val="24"/>
        </w:rPr>
      </w:pPr>
      <w:r>
        <w:rPr>
          <w:rFonts w:hint="eastAsia"/>
          <w:sz w:val="24"/>
          <w:szCs w:val="24"/>
        </w:rPr>
        <w:t>夏普比率的计算公式如下：</w:t>
      </w:r>
    </w:p>
    <w:p w:rsidR="00CA7C7A" w:rsidRDefault="00CA7C7A" w:rsidP="007D4F26">
      <w:pPr>
        <w:spacing w:line="400" w:lineRule="exact"/>
        <w:ind w:firstLineChars="177" w:firstLine="425"/>
        <w:rPr>
          <w:sz w:val="24"/>
          <w:szCs w:val="24"/>
        </w:rPr>
      </w:pPr>
      <w:proofErr w:type="spellStart"/>
      <w:r>
        <w:rPr>
          <w:rFonts w:hint="eastAsia"/>
          <w:sz w:val="24"/>
          <w:szCs w:val="24"/>
        </w:rPr>
        <w:t>SharpeRatio</w:t>
      </w:r>
      <w:proofErr w:type="spellEnd"/>
      <w:r>
        <w:rPr>
          <w:rFonts w:hint="eastAsia"/>
          <w:sz w:val="24"/>
          <w:szCs w:val="24"/>
        </w:rPr>
        <w:t xml:space="preserve"> </w:t>
      </w:r>
      <w:proofErr w:type="gramStart"/>
      <w:r>
        <w:rPr>
          <w:rFonts w:hint="eastAsia"/>
          <w:sz w:val="24"/>
          <w:szCs w:val="24"/>
        </w:rPr>
        <w:t>=(</w:t>
      </w:r>
      <w:proofErr w:type="gramEnd"/>
      <w:r>
        <w:rPr>
          <w:rFonts w:hint="eastAsia"/>
          <w:sz w:val="24"/>
          <w:szCs w:val="24"/>
        </w:rPr>
        <w:t xml:space="preserve"> E(</w:t>
      </w:r>
      <w:proofErr w:type="spellStart"/>
      <w:r>
        <w:rPr>
          <w:rFonts w:hint="eastAsia"/>
          <w:sz w:val="24"/>
          <w:szCs w:val="24"/>
        </w:rPr>
        <w:t>Rp</w:t>
      </w:r>
      <w:proofErr w:type="spellEnd"/>
      <w:r>
        <w:rPr>
          <w:rFonts w:hint="eastAsia"/>
          <w:sz w:val="24"/>
          <w:szCs w:val="24"/>
        </w:rPr>
        <w:t>)-</w:t>
      </w:r>
      <w:proofErr w:type="spellStart"/>
      <w:r>
        <w:rPr>
          <w:rFonts w:hint="eastAsia"/>
          <w:sz w:val="24"/>
          <w:szCs w:val="24"/>
        </w:rPr>
        <w:t>Rf</w:t>
      </w:r>
      <w:proofErr w:type="spellEnd"/>
      <w:r>
        <w:rPr>
          <w:rFonts w:hint="eastAsia"/>
          <w:sz w:val="24"/>
          <w:szCs w:val="24"/>
        </w:rPr>
        <w:t>)/</w:t>
      </w:r>
      <w:r w:rsidRPr="00CA7C7A">
        <w:rPr>
          <w:sz w:val="24"/>
          <w:szCs w:val="24"/>
        </w:rPr>
        <w:t xml:space="preserve"> </w:t>
      </w:r>
      <w:proofErr w:type="spellStart"/>
      <w:r w:rsidRPr="00CA7C7A">
        <w:rPr>
          <w:sz w:val="24"/>
          <w:szCs w:val="24"/>
        </w:rPr>
        <w:t>σp</w:t>
      </w:r>
      <w:proofErr w:type="spellEnd"/>
    </w:p>
    <w:p w:rsidR="00CA7C7A" w:rsidRDefault="00CA7C7A" w:rsidP="007D4F26">
      <w:pPr>
        <w:spacing w:line="400" w:lineRule="exact"/>
        <w:ind w:firstLineChars="177" w:firstLine="425"/>
        <w:rPr>
          <w:sz w:val="24"/>
          <w:szCs w:val="24"/>
        </w:rPr>
      </w:pPr>
      <w:r>
        <w:rPr>
          <w:rFonts w:hint="eastAsia"/>
          <w:sz w:val="24"/>
          <w:szCs w:val="24"/>
        </w:rPr>
        <w:t>其中：</w:t>
      </w:r>
      <w:r>
        <w:rPr>
          <w:rFonts w:hint="eastAsia"/>
          <w:sz w:val="24"/>
          <w:szCs w:val="24"/>
        </w:rPr>
        <w:t>E(</w:t>
      </w:r>
      <w:proofErr w:type="spellStart"/>
      <w:r>
        <w:rPr>
          <w:rFonts w:hint="eastAsia"/>
          <w:sz w:val="24"/>
          <w:szCs w:val="24"/>
        </w:rPr>
        <w:t>Rp</w:t>
      </w:r>
      <w:proofErr w:type="spellEnd"/>
      <w:r>
        <w:rPr>
          <w:rFonts w:hint="eastAsia"/>
          <w:sz w:val="24"/>
          <w:szCs w:val="24"/>
        </w:rPr>
        <w:t>)</w:t>
      </w:r>
      <w:r>
        <w:rPr>
          <w:rFonts w:hint="eastAsia"/>
          <w:sz w:val="24"/>
          <w:szCs w:val="24"/>
        </w:rPr>
        <w:t>为投资组合预期报酬率</w:t>
      </w:r>
    </w:p>
    <w:p w:rsidR="00CA7C7A" w:rsidRDefault="00CA7C7A" w:rsidP="007D4F26">
      <w:pPr>
        <w:spacing w:line="400" w:lineRule="exact"/>
        <w:ind w:firstLineChars="177" w:firstLine="425"/>
        <w:rPr>
          <w:sz w:val="24"/>
          <w:szCs w:val="24"/>
        </w:rPr>
      </w:pPr>
      <w:proofErr w:type="spellStart"/>
      <w:r>
        <w:rPr>
          <w:rFonts w:hint="eastAsia"/>
          <w:sz w:val="24"/>
          <w:szCs w:val="24"/>
        </w:rPr>
        <w:t>Rf</w:t>
      </w:r>
      <w:proofErr w:type="spellEnd"/>
      <w:r>
        <w:rPr>
          <w:rFonts w:hint="eastAsia"/>
          <w:sz w:val="24"/>
          <w:szCs w:val="24"/>
        </w:rPr>
        <w:t>为无风险利率</w:t>
      </w:r>
      <w:r w:rsidR="006D79D9">
        <w:rPr>
          <w:rFonts w:hint="eastAsia"/>
          <w:sz w:val="24"/>
          <w:szCs w:val="24"/>
        </w:rPr>
        <w:t>，一般取一年期国债利率</w:t>
      </w:r>
    </w:p>
    <w:p w:rsidR="00CA7C7A" w:rsidRDefault="00CA7C7A" w:rsidP="007D4F26">
      <w:pPr>
        <w:spacing w:line="400" w:lineRule="exact"/>
        <w:ind w:firstLineChars="177" w:firstLine="425"/>
        <w:rPr>
          <w:sz w:val="24"/>
          <w:szCs w:val="24"/>
        </w:rPr>
      </w:pPr>
      <w:proofErr w:type="spellStart"/>
      <w:r w:rsidRPr="00CA7C7A">
        <w:rPr>
          <w:sz w:val="24"/>
          <w:szCs w:val="24"/>
        </w:rPr>
        <w:t>σp</w:t>
      </w:r>
      <w:proofErr w:type="spellEnd"/>
      <w:r>
        <w:rPr>
          <w:sz w:val="24"/>
          <w:szCs w:val="24"/>
        </w:rPr>
        <w:t>为投资</w:t>
      </w:r>
      <w:r>
        <w:rPr>
          <w:rFonts w:hint="eastAsia"/>
          <w:sz w:val="24"/>
          <w:szCs w:val="24"/>
        </w:rPr>
        <w:t>组合的标准差</w:t>
      </w:r>
    </w:p>
    <w:p w:rsidR="007D4F26" w:rsidRDefault="006D79D9" w:rsidP="006D79D9">
      <w:pPr>
        <w:spacing w:line="400" w:lineRule="exact"/>
        <w:ind w:firstLineChars="177" w:firstLine="425"/>
        <w:rPr>
          <w:sz w:val="24"/>
          <w:szCs w:val="24"/>
        </w:rPr>
      </w:pPr>
      <w:r w:rsidRPr="006D79D9">
        <w:rPr>
          <w:rFonts w:hint="eastAsia"/>
          <w:sz w:val="24"/>
          <w:szCs w:val="24"/>
        </w:rPr>
        <w:t>夏普比率</w:t>
      </w:r>
      <w:r>
        <w:rPr>
          <w:rFonts w:hint="eastAsia"/>
          <w:sz w:val="24"/>
          <w:szCs w:val="24"/>
        </w:rPr>
        <w:t>的计算尽管非常简单，但是在具体运用中需要注意其适用性：夏</w:t>
      </w:r>
      <w:r>
        <w:rPr>
          <w:rFonts w:hint="eastAsia"/>
          <w:sz w:val="24"/>
          <w:szCs w:val="24"/>
        </w:rPr>
        <w:lastRenderedPageBreak/>
        <w:t>普比率没有基准点，因此其本身大小没有意义，只有在与其他组合的比较中才有意义；</w:t>
      </w:r>
      <w:r w:rsidR="009A1002">
        <w:rPr>
          <w:rFonts w:hint="eastAsia"/>
          <w:sz w:val="24"/>
          <w:szCs w:val="24"/>
        </w:rPr>
        <w:t>使用标准差作为风险指标被人们认为是不是特别合适的；夏普比率是线性的，但是风险与收益之间的变换并非线性，因此夏普比率在衡量标准差较大的产品时会存在偏误；夏普比率同其他很多指标一样，衡量的是基金的历史表现，而历史表现并不能说明未来会与过去完全相同；此外</w:t>
      </w:r>
      <w:proofErr w:type="gramStart"/>
      <w:r w:rsidR="009A1002">
        <w:rPr>
          <w:rFonts w:hint="eastAsia"/>
          <w:sz w:val="24"/>
          <w:szCs w:val="24"/>
        </w:rPr>
        <w:t>夏普指数</w:t>
      </w:r>
      <w:proofErr w:type="gramEnd"/>
      <w:r w:rsidR="009A1002">
        <w:rPr>
          <w:rFonts w:hint="eastAsia"/>
          <w:sz w:val="24"/>
          <w:szCs w:val="24"/>
        </w:rPr>
        <w:t>存在一个稳定性问题：</w:t>
      </w:r>
      <w:proofErr w:type="gramStart"/>
      <w:r w:rsidR="009A1002">
        <w:rPr>
          <w:rFonts w:hint="eastAsia"/>
          <w:sz w:val="24"/>
          <w:szCs w:val="24"/>
        </w:rPr>
        <w:t>夏普指数</w:t>
      </w:r>
      <w:proofErr w:type="gramEnd"/>
      <w:r w:rsidR="009A1002">
        <w:rPr>
          <w:rFonts w:hint="eastAsia"/>
          <w:sz w:val="24"/>
          <w:szCs w:val="24"/>
        </w:rPr>
        <w:t>的计算结果与时间跨度和收益计算的时间间隔的选取有关。</w:t>
      </w:r>
    </w:p>
    <w:p w:rsidR="009A1002" w:rsidRDefault="009A1002" w:rsidP="006D79D9">
      <w:pPr>
        <w:spacing w:line="400" w:lineRule="exact"/>
        <w:ind w:firstLineChars="177" w:firstLine="425"/>
        <w:rPr>
          <w:sz w:val="24"/>
          <w:szCs w:val="24"/>
        </w:rPr>
      </w:pPr>
      <w:r>
        <w:rPr>
          <w:rFonts w:hint="eastAsia"/>
          <w:sz w:val="24"/>
          <w:szCs w:val="24"/>
        </w:rPr>
        <w:t>尽管夏普比率存在如此多的限制和问题，但是由于它在计算上的简便和没有过多的假设条件而在实践中获得了</w:t>
      </w:r>
      <w:r w:rsidR="00C839AA">
        <w:rPr>
          <w:rFonts w:hint="eastAsia"/>
          <w:sz w:val="24"/>
          <w:szCs w:val="24"/>
        </w:rPr>
        <w:t>较大</w:t>
      </w:r>
      <w:r>
        <w:rPr>
          <w:rFonts w:hint="eastAsia"/>
          <w:sz w:val="24"/>
          <w:szCs w:val="24"/>
        </w:rPr>
        <w:t>范围的使用。</w:t>
      </w:r>
    </w:p>
    <w:p w:rsidR="006D79D9" w:rsidRPr="006D79D9" w:rsidRDefault="006D79D9" w:rsidP="006D79D9">
      <w:pPr>
        <w:spacing w:line="400" w:lineRule="exact"/>
        <w:ind w:firstLineChars="177" w:firstLine="425"/>
        <w:rPr>
          <w:sz w:val="24"/>
          <w:szCs w:val="24"/>
        </w:rPr>
      </w:pPr>
    </w:p>
    <w:p w:rsidR="000D52D9" w:rsidRPr="000D52D9" w:rsidRDefault="000D52D9" w:rsidP="000D52D9">
      <w:pPr>
        <w:pStyle w:val="3"/>
        <w:numPr>
          <w:ilvl w:val="2"/>
          <w:numId w:val="4"/>
        </w:numPr>
        <w:spacing w:line="400" w:lineRule="exact"/>
        <w:ind w:left="0" w:firstLine="0"/>
        <w:jc w:val="center"/>
        <w:rPr>
          <w:rFonts w:ascii="黑体" w:eastAsia="黑体" w:hAnsi="黑体"/>
          <w:sz w:val="24"/>
          <w:szCs w:val="24"/>
        </w:rPr>
      </w:pPr>
      <w:r w:rsidRPr="000D52D9">
        <w:rPr>
          <w:rFonts w:ascii="黑体" w:eastAsia="黑体" w:hAnsi="黑体" w:hint="eastAsia"/>
          <w:sz w:val="24"/>
          <w:szCs w:val="24"/>
        </w:rPr>
        <w:t>詹森指数</w:t>
      </w:r>
    </w:p>
    <w:p w:rsidR="008D7B97" w:rsidRDefault="00353035" w:rsidP="008D7B97">
      <w:pPr>
        <w:spacing w:line="400" w:lineRule="exact"/>
        <w:ind w:firstLineChars="177" w:firstLine="425"/>
        <w:rPr>
          <w:sz w:val="24"/>
          <w:szCs w:val="24"/>
        </w:rPr>
      </w:pPr>
      <w:r w:rsidRPr="00353035">
        <w:rPr>
          <w:rFonts w:hint="eastAsia"/>
          <w:sz w:val="24"/>
          <w:szCs w:val="24"/>
        </w:rPr>
        <w:t>詹森指数</w:t>
      </w:r>
      <w:r>
        <w:rPr>
          <w:rFonts w:hint="eastAsia"/>
          <w:sz w:val="24"/>
          <w:szCs w:val="24"/>
        </w:rPr>
        <w:t>是测定证券组合经营绩效的一种指标，是</w:t>
      </w:r>
      <w:r w:rsidR="00D15959">
        <w:rPr>
          <w:rFonts w:hint="eastAsia"/>
          <w:sz w:val="24"/>
          <w:szCs w:val="24"/>
        </w:rPr>
        <w:t>证券</w:t>
      </w:r>
      <w:r>
        <w:rPr>
          <w:rFonts w:hint="eastAsia"/>
          <w:sz w:val="24"/>
          <w:szCs w:val="24"/>
        </w:rPr>
        <w:t>组合的实际期望收益率与位于证券市场线上的证券组合的期望收益率之差，它通过比较考察</w:t>
      </w:r>
      <w:proofErr w:type="gramStart"/>
      <w:r>
        <w:rPr>
          <w:rFonts w:hint="eastAsia"/>
          <w:sz w:val="24"/>
          <w:szCs w:val="24"/>
        </w:rPr>
        <w:t>期基金</w:t>
      </w:r>
      <w:proofErr w:type="gramEnd"/>
      <w:r>
        <w:rPr>
          <w:rFonts w:hint="eastAsia"/>
          <w:sz w:val="24"/>
          <w:szCs w:val="24"/>
        </w:rPr>
        <w:t>收益率与由资本资产定价模型</w:t>
      </w:r>
      <w:r>
        <w:rPr>
          <w:rFonts w:hint="eastAsia"/>
          <w:sz w:val="24"/>
          <w:szCs w:val="24"/>
        </w:rPr>
        <w:t>CAPM</w:t>
      </w:r>
      <w:r>
        <w:rPr>
          <w:rFonts w:hint="eastAsia"/>
          <w:sz w:val="24"/>
          <w:szCs w:val="24"/>
        </w:rPr>
        <w:t>得出的预期收益率之差，即基金所获得的实际收益超出它承受风险对应的预期收益的部分来评价基金，此</w:t>
      </w:r>
      <w:r w:rsidR="00B16BB6">
        <w:rPr>
          <w:rFonts w:hint="eastAsia"/>
          <w:sz w:val="24"/>
          <w:szCs w:val="24"/>
        </w:rPr>
        <w:t>差额</w:t>
      </w:r>
      <w:r>
        <w:rPr>
          <w:rFonts w:hint="eastAsia"/>
          <w:sz w:val="24"/>
          <w:szCs w:val="24"/>
        </w:rPr>
        <w:t>就是基金经理的工作所带来的额外收益。</w:t>
      </w:r>
      <w:r w:rsidR="008D7B97">
        <w:rPr>
          <w:rFonts w:hint="eastAsia"/>
          <w:sz w:val="24"/>
          <w:szCs w:val="24"/>
        </w:rPr>
        <w:t>因此当詹森指数大于零，表明基金业绩表现优于市场基准组合，詹森指数越大代表基金业绩越好，如果詹森指数小于零，则说明基金的表现低于市场基准组合，绩效较差。</w:t>
      </w:r>
    </w:p>
    <w:p w:rsidR="00B766AB" w:rsidRDefault="00B766AB" w:rsidP="008D7B97">
      <w:pPr>
        <w:spacing w:line="400" w:lineRule="exact"/>
        <w:ind w:firstLineChars="177" w:firstLine="425"/>
        <w:rPr>
          <w:sz w:val="24"/>
          <w:szCs w:val="24"/>
        </w:rPr>
      </w:pPr>
      <w:r>
        <w:rPr>
          <w:rFonts w:hint="eastAsia"/>
          <w:sz w:val="24"/>
          <w:szCs w:val="24"/>
        </w:rPr>
        <w:t>詹森指数的计算公式如下</w:t>
      </w:r>
      <w:r w:rsidR="003B70FD">
        <w:rPr>
          <w:rFonts w:hint="eastAsia"/>
          <w:sz w:val="24"/>
          <w:szCs w:val="24"/>
        </w:rPr>
        <w:t>：</w:t>
      </w:r>
    </w:p>
    <w:p w:rsidR="003B70FD" w:rsidRDefault="003B70FD" w:rsidP="003B70FD">
      <w:pPr>
        <w:spacing w:line="400" w:lineRule="exact"/>
        <w:ind w:firstLineChars="177" w:firstLine="425"/>
        <w:rPr>
          <w:sz w:val="24"/>
          <w:szCs w:val="24"/>
        </w:rPr>
      </w:pPr>
      <w:r w:rsidRPr="003B70FD">
        <w:rPr>
          <w:sz w:val="24"/>
          <w:szCs w:val="24"/>
        </w:rPr>
        <w:t>詹森指数</w:t>
      </w:r>
      <w:r w:rsidRPr="003B70FD">
        <w:rPr>
          <w:sz w:val="24"/>
          <w:szCs w:val="24"/>
        </w:rPr>
        <w:t>=</w:t>
      </w:r>
      <w:proofErr w:type="spellStart"/>
      <w:r w:rsidRPr="003B70FD">
        <w:rPr>
          <w:sz w:val="24"/>
          <w:szCs w:val="24"/>
        </w:rPr>
        <w:t>Ri,t</w:t>
      </w:r>
      <w:proofErr w:type="spellEnd"/>
      <w:r w:rsidRPr="003B70FD">
        <w:rPr>
          <w:sz w:val="24"/>
          <w:szCs w:val="24"/>
        </w:rPr>
        <w:t>—[</w:t>
      </w:r>
      <w:proofErr w:type="spellStart"/>
      <w:r w:rsidRPr="003B70FD">
        <w:rPr>
          <w:sz w:val="24"/>
          <w:szCs w:val="24"/>
        </w:rPr>
        <w:t>Rf,t</w:t>
      </w:r>
      <w:proofErr w:type="spellEnd"/>
      <w:r w:rsidRPr="003B70FD">
        <w:rPr>
          <w:sz w:val="24"/>
          <w:szCs w:val="24"/>
        </w:rPr>
        <w:t>+βi(</w:t>
      </w:r>
      <w:proofErr w:type="spellStart"/>
      <w:r w:rsidRPr="003B70FD">
        <w:rPr>
          <w:sz w:val="24"/>
          <w:szCs w:val="24"/>
        </w:rPr>
        <w:t>Rm,t-Rft</w:t>
      </w:r>
      <w:proofErr w:type="spellEnd"/>
      <w:r w:rsidRPr="003B70FD">
        <w:rPr>
          <w:sz w:val="24"/>
          <w:szCs w:val="24"/>
        </w:rPr>
        <w:t>)]</w:t>
      </w:r>
    </w:p>
    <w:p w:rsidR="00B766AB" w:rsidRPr="00353035" w:rsidRDefault="00B766AB" w:rsidP="008D7B97">
      <w:pPr>
        <w:spacing w:line="400" w:lineRule="exact"/>
        <w:ind w:firstLineChars="177" w:firstLine="425"/>
        <w:rPr>
          <w:sz w:val="24"/>
          <w:szCs w:val="24"/>
        </w:rPr>
      </w:pPr>
      <w:r>
        <w:rPr>
          <w:rFonts w:hint="eastAsia"/>
          <w:sz w:val="24"/>
          <w:szCs w:val="24"/>
        </w:rPr>
        <w:t>其中</w:t>
      </w:r>
      <w:proofErr w:type="spellStart"/>
      <w:r w:rsidR="003B70FD" w:rsidRPr="003B70FD">
        <w:rPr>
          <w:sz w:val="24"/>
          <w:szCs w:val="24"/>
        </w:rPr>
        <w:t>Rm,t</w:t>
      </w:r>
      <w:proofErr w:type="spellEnd"/>
      <w:r w:rsidR="003B70FD" w:rsidRPr="003B70FD">
        <w:rPr>
          <w:sz w:val="24"/>
          <w:szCs w:val="24"/>
        </w:rPr>
        <w:t>为市场</w:t>
      </w:r>
      <w:r w:rsidR="00901E68">
        <w:fldChar w:fldCharType="begin"/>
      </w:r>
      <w:r w:rsidR="00901E68">
        <w:instrText xml:space="preserve"> HYPERLINK "http://baike.baidu.com/view/194522.htm" \t "_blank" </w:instrText>
      </w:r>
      <w:r w:rsidR="00901E68">
        <w:fldChar w:fldCharType="separate"/>
      </w:r>
      <w:r w:rsidR="003B70FD" w:rsidRPr="003B70FD">
        <w:rPr>
          <w:sz w:val="24"/>
          <w:szCs w:val="24"/>
        </w:rPr>
        <w:t>投资组合</w:t>
      </w:r>
      <w:r w:rsidR="00901E68">
        <w:rPr>
          <w:sz w:val="24"/>
          <w:szCs w:val="24"/>
        </w:rPr>
        <w:fldChar w:fldCharType="end"/>
      </w:r>
      <w:r w:rsidR="003B70FD" w:rsidRPr="003B70FD">
        <w:rPr>
          <w:sz w:val="24"/>
          <w:szCs w:val="24"/>
        </w:rPr>
        <w:t>在</w:t>
      </w:r>
      <w:r w:rsidR="003B70FD" w:rsidRPr="003B70FD">
        <w:rPr>
          <w:sz w:val="24"/>
          <w:szCs w:val="24"/>
        </w:rPr>
        <w:t>t</w:t>
      </w:r>
      <w:r w:rsidR="003B70FD" w:rsidRPr="003B70FD">
        <w:rPr>
          <w:sz w:val="24"/>
          <w:szCs w:val="24"/>
        </w:rPr>
        <w:t>时期的</w:t>
      </w:r>
      <w:r w:rsidR="00901E68">
        <w:fldChar w:fldCharType="begin"/>
      </w:r>
      <w:r w:rsidR="00901E68">
        <w:instrText xml:space="preserve"> HYPERLINK "http://baike.baidu.com/view/969420.htm" \t "_blank" </w:instrText>
      </w:r>
      <w:r w:rsidR="00901E68">
        <w:fldChar w:fldCharType="separate"/>
      </w:r>
      <w:r w:rsidR="003B70FD" w:rsidRPr="003B70FD">
        <w:rPr>
          <w:sz w:val="24"/>
          <w:szCs w:val="24"/>
        </w:rPr>
        <w:t>收益率</w:t>
      </w:r>
      <w:r w:rsidR="00901E68">
        <w:rPr>
          <w:sz w:val="24"/>
          <w:szCs w:val="24"/>
        </w:rPr>
        <w:fldChar w:fldCharType="end"/>
      </w:r>
      <w:r w:rsidR="003B70FD" w:rsidRPr="003B70FD">
        <w:rPr>
          <w:sz w:val="24"/>
          <w:szCs w:val="24"/>
        </w:rPr>
        <w:t>；</w:t>
      </w:r>
      <w:proofErr w:type="spellStart"/>
      <w:r w:rsidR="003B70FD" w:rsidRPr="003B70FD">
        <w:rPr>
          <w:sz w:val="24"/>
          <w:szCs w:val="24"/>
        </w:rPr>
        <w:t>Ri,t</w:t>
      </w:r>
      <w:proofErr w:type="spellEnd"/>
      <w:r w:rsidR="003B70FD" w:rsidRPr="003B70FD">
        <w:rPr>
          <w:sz w:val="24"/>
          <w:szCs w:val="24"/>
        </w:rPr>
        <w:t>为</w:t>
      </w:r>
      <w:r w:rsidR="003B70FD" w:rsidRPr="003B70FD">
        <w:rPr>
          <w:sz w:val="24"/>
          <w:szCs w:val="24"/>
        </w:rPr>
        <w:t>i</w:t>
      </w:r>
      <w:r w:rsidR="003B70FD" w:rsidRPr="003B70FD">
        <w:rPr>
          <w:sz w:val="24"/>
          <w:szCs w:val="24"/>
        </w:rPr>
        <w:t>基金在</w:t>
      </w:r>
      <w:r w:rsidR="003B70FD" w:rsidRPr="003B70FD">
        <w:rPr>
          <w:sz w:val="24"/>
          <w:szCs w:val="24"/>
        </w:rPr>
        <w:t>t</w:t>
      </w:r>
      <w:r w:rsidR="003B70FD" w:rsidRPr="003B70FD">
        <w:rPr>
          <w:sz w:val="24"/>
          <w:szCs w:val="24"/>
        </w:rPr>
        <w:t>时期的收益率；</w:t>
      </w:r>
      <w:proofErr w:type="spellStart"/>
      <w:r w:rsidR="003B70FD" w:rsidRPr="003B70FD">
        <w:rPr>
          <w:sz w:val="24"/>
          <w:szCs w:val="24"/>
        </w:rPr>
        <w:t>Rf,t</w:t>
      </w:r>
      <w:proofErr w:type="spellEnd"/>
      <w:r w:rsidR="003B70FD" w:rsidRPr="003B70FD">
        <w:rPr>
          <w:sz w:val="24"/>
          <w:szCs w:val="24"/>
        </w:rPr>
        <w:t>为</w:t>
      </w:r>
      <w:r w:rsidR="003B70FD" w:rsidRPr="003B70FD">
        <w:rPr>
          <w:sz w:val="24"/>
          <w:szCs w:val="24"/>
        </w:rPr>
        <w:t>t</w:t>
      </w:r>
      <w:r w:rsidR="003B70FD" w:rsidRPr="003B70FD">
        <w:rPr>
          <w:sz w:val="24"/>
          <w:szCs w:val="24"/>
        </w:rPr>
        <w:t>时期的</w:t>
      </w:r>
      <w:r w:rsidR="00901E68">
        <w:fldChar w:fldCharType="begin"/>
      </w:r>
      <w:r w:rsidR="00901E68">
        <w:instrText xml:space="preserve"> HYPERLINK "http://baike.baidu.com/view/2258897.htm" \t "_blank" </w:instrText>
      </w:r>
      <w:r w:rsidR="00901E68">
        <w:fldChar w:fldCharType="separate"/>
      </w:r>
      <w:r w:rsidR="003B70FD" w:rsidRPr="003B70FD">
        <w:rPr>
          <w:sz w:val="24"/>
          <w:szCs w:val="24"/>
        </w:rPr>
        <w:t>无风险收益率</w:t>
      </w:r>
      <w:r w:rsidR="00901E68">
        <w:rPr>
          <w:sz w:val="24"/>
          <w:szCs w:val="24"/>
        </w:rPr>
        <w:fldChar w:fldCharType="end"/>
      </w:r>
      <w:r w:rsidR="003B70FD" w:rsidRPr="003B70FD">
        <w:rPr>
          <w:sz w:val="24"/>
          <w:szCs w:val="24"/>
        </w:rPr>
        <w:t>，</w:t>
      </w:r>
      <w:r w:rsidR="003B70FD" w:rsidRPr="003B70FD">
        <w:rPr>
          <w:sz w:val="24"/>
          <w:szCs w:val="24"/>
        </w:rPr>
        <w:t>βi</w:t>
      </w:r>
      <w:r w:rsidR="003B70FD" w:rsidRPr="003B70FD">
        <w:rPr>
          <w:sz w:val="24"/>
          <w:szCs w:val="24"/>
        </w:rPr>
        <w:t>为基金投资组合所承担的</w:t>
      </w:r>
      <w:hyperlink r:id="rId12" w:tgtFrame="_blank" w:history="1">
        <w:r w:rsidR="003B70FD" w:rsidRPr="003B70FD">
          <w:rPr>
            <w:sz w:val="24"/>
            <w:szCs w:val="24"/>
          </w:rPr>
          <w:t>系统风险</w:t>
        </w:r>
      </w:hyperlink>
      <w:r w:rsidR="003B70FD" w:rsidRPr="003B70FD">
        <w:rPr>
          <w:sz w:val="24"/>
          <w:szCs w:val="24"/>
        </w:rPr>
        <w:t>。</w:t>
      </w:r>
    </w:p>
    <w:p w:rsidR="00E2637F" w:rsidRDefault="003B70FD" w:rsidP="003B70FD">
      <w:pPr>
        <w:spacing w:line="400" w:lineRule="exact"/>
        <w:rPr>
          <w:rFonts w:ascii="仿宋" w:eastAsia="仿宋" w:hAnsi="仿宋"/>
          <w:sz w:val="32"/>
          <w:szCs w:val="32"/>
        </w:rPr>
      </w:pPr>
      <w:r>
        <w:rPr>
          <w:rFonts w:ascii="仿宋" w:eastAsia="仿宋" w:hAnsi="仿宋" w:hint="eastAsia"/>
          <w:sz w:val="32"/>
          <w:szCs w:val="32"/>
        </w:rPr>
        <w:tab/>
      </w:r>
    </w:p>
    <w:p w:rsidR="00B766AB" w:rsidRDefault="00B766AB" w:rsidP="00F76E86">
      <w:pPr>
        <w:spacing w:line="400" w:lineRule="exact"/>
        <w:rPr>
          <w:rFonts w:ascii="仿宋" w:eastAsia="仿宋" w:hAnsi="仿宋"/>
          <w:sz w:val="32"/>
          <w:szCs w:val="32"/>
        </w:rPr>
      </w:pPr>
    </w:p>
    <w:p w:rsidR="000D52D9" w:rsidRPr="000D52D9" w:rsidRDefault="000D52D9" w:rsidP="000D52D9">
      <w:pPr>
        <w:pStyle w:val="3"/>
        <w:numPr>
          <w:ilvl w:val="2"/>
          <w:numId w:val="4"/>
        </w:numPr>
        <w:spacing w:line="400" w:lineRule="exact"/>
        <w:ind w:left="0" w:firstLine="0"/>
        <w:jc w:val="center"/>
        <w:rPr>
          <w:rFonts w:ascii="黑体" w:eastAsia="黑体" w:hAnsi="黑体"/>
          <w:sz w:val="24"/>
          <w:szCs w:val="24"/>
        </w:rPr>
      </w:pPr>
      <w:r w:rsidRPr="000D52D9">
        <w:rPr>
          <w:rFonts w:ascii="黑体" w:eastAsia="黑体" w:hAnsi="黑体" w:hint="eastAsia"/>
          <w:sz w:val="24"/>
          <w:szCs w:val="24"/>
        </w:rPr>
        <w:t>市场容量</w:t>
      </w:r>
    </w:p>
    <w:p w:rsidR="000D52D9" w:rsidRDefault="005F6A85" w:rsidP="0050658A">
      <w:pPr>
        <w:spacing w:line="400" w:lineRule="exact"/>
        <w:ind w:firstLineChars="177" w:firstLine="425"/>
        <w:rPr>
          <w:sz w:val="24"/>
          <w:szCs w:val="24"/>
        </w:rPr>
      </w:pPr>
      <w:r>
        <w:rPr>
          <w:rFonts w:hint="eastAsia"/>
          <w:sz w:val="24"/>
          <w:szCs w:val="24"/>
        </w:rPr>
        <w:t>在高频交易的实际操作中会遇到一个常见的问题：某个策略在资金量小时收益稳定运行正常，但资金量增加时就会发生亏损。这是因为策略可容纳的资</w:t>
      </w:r>
      <w:r>
        <w:rPr>
          <w:rFonts w:hint="eastAsia"/>
          <w:sz w:val="24"/>
          <w:szCs w:val="24"/>
        </w:rPr>
        <w:lastRenderedPageBreak/>
        <w:t>金量是有限的，当资金量较小时，策略对市场的影响可以忽略不计，策略可以正常运行，如果资金量增大时，策略本身就会对市场造成扭曲，导致策略运行的市场环境产生一定的变化，策略就会不可避免的产生亏损。</w:t>
      </w:r>
      <w:r w:rsidR="0050658A" w:rsidRPr="0050658A">
        <w:rPr>
          <w:rFonts w:hint="eastAsia"/>
          <w:sz w:val="24"/>
          <w:szCs w:val="24"/>
        </w:rPr>
        <w:t>市场容量是</w:t>
      </w:r>
      <w:r w:rsidR="0050658A">
        <w:rPr>
          <w:rFonts w:hint="eastAsia"/>
          <w:sz w:val="24"/>
          <w:szCs w:val="24"/>
        </w:rPr>
        <w:t>一个</w:t>
      </w:r>
      <w:proofErr w:type="gramStart"/>
      <w:r w:rsidR="0050658A">
        <w:rPr>
          <w:rFonts w:hint="eastAsia"/>
          <w:sz w:val="24"/>
          <w:szCs w:val="24"/>
        </w:rPr>
        <w:t>偏实际</w:t>
      </w:r>
      <w:proofErr w:type="gramEnd"/>
      <w:r w:rsidR="0050658A">
        <w:rPr>
          <w:rFonts w:hint="eastAsia"/>
          <w:sz w:val="24"/>
          <w:szCs w:val="24"/>
        </w:rPr>
        <w:t>应用的问题，一般策略的最大资金容量很难说出准确的数字是多少，但毫无疑问的，市场容量是客观存在的，</w:t>
      </w:r>
      <w:r w:rsidR="00C271C3" w:rsidRPr="00C271C3">
        <w:rPr>
          <w:sz w:val="24"/>
          <w:szCs w:val="24"/>
        </w:rPr>
        <w:t>股指期货高频交易策略通常容量几千万，资金再多时收益率就</w:t>
      </w:r>
      <w:r w:rsidR="00C271C3">
        <w:rPr>
          <w:sz w:val="24"/>
          <w:szCs w:val="24"/>
        </w:rPr>
        <w:t>会</w:t>
      </w:r>
      <w:r w:rsidR="00C271C3" w:rsidRPr="00C271C3">
        <w:rPr>
          <w:sz w:val="24"/>
          <w:szCs w:val="24"/>
        </w:rPr>
        <w:t>开始下降。</w:t>
      </w:r>
    </w:p>
    <w:p w:rsidR="00E605AB" w:rsidRDefault="00E605AB" w:rsidP="0050658A">
      <w:pPr>
        <w:spacing w:line="400" w:lineRule="exact"/>
        <w:ind w:firstLineChars="177" w:firstLine="425"/>
        <w:rPr>
          <w:sz w:val="24"/>
          <w:szCs w:val="24"/>
        </w:rPr>
      </w:pPr>
      <w:r>
        <w:rPr>
          <w:rFonts w:hint="eastAsia"/>
          <w:sz w:val="24"/>
          <w:szCs w:val="24"/>
        </w:rPr>
        <w:t>因此对交易策略的又一评估标准为该交易策略能容纳多少资金。</w:t>
      </w:r>
    </w:p>
    <w:p w:rsidR="0021076A" w:rsidRDefault="0021076A" w:rsidP="0021076A">
      <w:pPr>
        <w:spacing w:line="400" w:lineRule="exact"/>
        <w:ind w:firstLineChars="177" w:firstLine="425"/>
        <w:rPr>
          <w:sz w:val="24"/>
          <w:szCs w:val="24"/>
        </w:rPr>
      </w:pPr>
      <w:r>
        <w:rPr>
          <w:rFonts w:hint="eastAsia"/>
          <w:sz w:val="24"/>
          <w:szCs w:val="24"/>
        </w:rPr>
        <w:t>影响策略可容纳资金容量的因素有如下几点：策略本身的逻辑、策略交易频率、策略交易品种的</w:t>
      </w:r>
      <w:proofErr w:type="gramStart"/>
      <w:r>
        <w:rPr>
          <w:rFonts w:hint="eastAsia"/>
          <w:sz w:val="24"/>
          <w:szCs w:val="24"/>
        </w:rPr>
        <w:t>日内总</w:t>
      </w:r>
      <w:proofErr w:type="gramEnd"/>
      <w:r>
        <w:rPr>
          <w:rFonts w:hint="eastAsia"/>
          <w:sz w:val="24"/>
          <w:szCs w:val="24"/>
        </w:rPr>
        <w:t>成交量和总持仓量、策略交易品种的瞬时挂单量、资金的风险偏好等。</w:t>
      </w:r>
    </w:p>
    <w:p w:rsidR="0021076A" w:rsidRDefault="0021076A" w:rsidP="0021076A">
      <w:pPr>
        <w:spacing w:line="400" w:lineRule="exact"/>
        <w:ind w:firstLineChars="177" w:firstLine="425"/>
        <w:rPr>
          <w:sz w:val="24"/>
          <w:szCs w:val="24"/>
        </w:rPr>
      </w:pPr>
      <w:r>
        <w:rPr>
          <w:rFonts w:hint="eastAsia"/>
          <w:sz w:val="24"/>
          <w:szCs w:val="24"/>
        </w:rPr>
        <w:t>策略本身的逻辑对容量的影响是巨大的，事件驱动模型和量化对冲策略可容纳的资金容量在</w:t>
      </w:r>
      <w:r>
        <w:rPr>
          <w:rFonts w:hint="eastAsia"/>
          <w:sz w:val="24"/>
          <w:szCs w:val="24"/>
        </w:rPr>
        <w:t>10</w:t>
      </w:r>
      <w:r>
        <w:rPr>
          <w:rFonts w:hint="eastAsia"/>
          <w:sz w:val="24"/>
          <w:szCs w:val="24"/>
        </w:rPr>
        <w:t>亿以上，而期现套利模型的资金容量可达</w:t>
      </w:r>
      <w:r>
        <w:rPr>
          <w:rFonts w:hint="eastAsia"/>
          <w:sz w:val="24"/>
          <w:szCs w:val="24"/>
        </w:rPr>
        <w:t>30</w:t>
      </w:r>
      <w:r>
        <w:rPr>
          <w:rFonts w:hint="eastAsia"/>
          <w:sz w:val="24"/>
          <w:szCs w:val="24"/>
        </w:rPr>
        <w:t>亿，统计套利交易模型的容量在</w:t>
      </w:r>
      <w:r>
        <w:rPr>
          <w:rFonts w:hint="eastAsia"/>
          <w:sz w:val="24"/>
          <w:szCs w:val="24"/>
        </w:rPr>
        <w:t>1</w:t>
      </w:r>
      <w:r>
        <w:rPr>
          <w:rFonts w:hint="eastAsia"/>
          <w:sz w:val="24"/>
          <w:szCs w:val="24"/>
        </w:rPr>
        <w:t>亿以上，单一证券的量化交易策略依投资标的而定</w:t>
      </w:r>
      <w:r>
        <w:rPr>
          <w:rFonts w:hint="eastAsia"/>
          <w:sz w:val="24"/>
          <w:szCs w:val="24"/>
        </w:rPr>
        <w:t>[16]</w:t>
      </w:r>
      <w:r>
        <w:rPr>
          <w:rFonts w:hint="eastAsia"/>
          <w:sz w:val="24"/>
          <w:szCs w:val="24"/>
        </w:rPr>
        <w:t>。</w:t>
      </w:r>
    </w:p>
    <w:p w:rsidR="0021076A" w:rsidRDefault="0021076A" w:rsidP="0021076A">
      <w:pPr>
        <w:spacing w:line="400" w:lineRule="exact"/>
        <w:ind w:firstLineChars="177" w:firstLine="425"/>
        <w:rPr>
          <w:sz w:val="24"/>
          <w:szCs w:val="24"/>
        </w:rPr>
      </w:pPr>
      <w:r>
        <w:rPr>
          <w:rFonts w:hint="eastAsia"/>
          <w:sz w:val="24"/>
          <w:szCs w:val="24"/>
        </w:rPr>
        <w:t>策略交易频率对容量的影响也比较大，一般而言</w:t>
      </w:r>
      <w:r w:rsidRPr="00063264">
        <w:rPr>
          <w:rFonts w:hint="eastAsia"/>
          <w:sz w:val="24"/>
          <w:szCs w:val="24"/>
        </w:rPr>
        <w:t>交易频率越高，市场上</w:t>
      </w:r>
      <w:r>
        <w:rPr>
          <w:rFonts w:hint="eastAsia"/>
          <w:sz w:val="24"/>
          <w:szCs w:val="24"/>
        </w:rPr>
        <w:t>可供交易</w:t>
      </w:r>
      <w:r w:rsidRPr="00063264">
        <w:rPr>
          <w:rFonts w:hint="eastAsia"/>
          <w:sz w:val="24"/>
          <w:szCs w:val="24"/>
        </w:rPr>
        <w:t>的交易对手就越少，能成交的资金也越少，因此短线交易不能容纳很大的资金</w:t>
      </w:r>
      <w:r>
        <w:rPr>
          <w:rFonts w:hint="eastAsia"/>
          <w:sz w:val="24"/>
          <w:szCs w:val="24"/>
        </w:rPr>
        <w:t>容量</w:t>
      </w:r>
      <w:r w:rsidRPr="00063264">
        <w:rPr>
          <w:rFonts w:hint="eastAsia"/>
          <w:sz w:val="24"/>
          <w:szCs w:val="24"/>
        </w:rPr>
        <w:t>。</w:t>
      </w:r>
    </w:p>
    <w:p w:rsidR="0021076A" w:rsidRDefault="0021076A" w:rsidP="0021076A">
      <w:pPr>
        <w:spacing w:line="400" w:lineRule="exact"/>
        <w:ind w:firstLineChars="177" w:firstLine="425"/>
        <w:rPr>
          <w:sz w:val="24"/>
          <w:szCs w:val="24"/>
        </w:rPr>
      </w:pPr>
      <w:r>
        <w:rPr>
          <w:rFonts w:hint="eastAsia"/>
          <w:sz w:val="24"/>
          <w:szCs w:val="24"/>
        </w:rPr>
        <w:t>策略交易品种的</w:t>
      </w:r>
      <w:proofErr w:type="gramStart"/>
      <w:r>
        <w:rPr>
          <w:rFonts w:hint="eastAsia"/>
          <w:sz w:val="24"/>
          <w:szCs w:val="24"/>
        </w:rPr>
        <w:t>日内总</w:t>
      </w:r>
      <w:proofErr w:type="gramEnd"/>
      <w:r>
        <w:rPr>
          <w:rFonts w:hint="eastAsia"/>
          <w:sz w:val="24"/>
          <w:szCs w:val="24"/>
        </w:rPr>
        <w:t>成交量和总持仓量对资金容量的影响是正向的，交易品种的</w:t>
      </w:r>
      <w:proofErr w:type="gramStart"/>
      <w:r>
        <w:rPr>
          <w:rFonts w:hint="eastAsia"/>
          <w:sz w:val="24"/>
          <w:szCs w:val="24"/>
        </w:rPr>
        <w:t>日内总</w:t>
      </w:r>
      <w:proofErr w:type="gramEnd"/>
      <w:r>
        <w:rPr>
          <w:rFonts w:hint="eastAsia"/>
          <w:sz w:val="24"/>
          <w:szCs w:val="24"/>
        </w:rPr>
        <w:t>成交量和总持仓量越大，则能容纳的资金容量越大。</w:t>
      </w:r>
    </w:p>
    <w:p w:rsidR="0021076A" w:rsidRPr="0050658A" w:rsidRDefault="0021076A" w:rsidP="0021076A">
      <w:pPr>
        <w:spacing w:line="400" w:lineRule="exact"/>
        <w:ind w:firstLineChars="177" w:firstLine="425"/>
        <w:rPr>
          <w:sz w:val="24"/>
          <w:szCs w:val="24"/>
        </w:rPr>
      </w:pPr>
      <w:r>
        <w:rPr>
          <w:rFonts w:hint="eastAsia"/>
          <w:sz w:val="24"/>
          <w:szCs w:val="24"/>
        </w:rPr>
        <w:t>由于市场容量限制的存在，高频交易中必须针对每一个策略设置资金限制，避免因市场容量不足而导致的策略亏损。</w:t>
      </w:r>
    </w:p>
    <w:p w:rsidR="00E605AB" w:rsidRPr="0021076A" w:rsidRDefault="00E605AB" w:rsidP="0050658A">
      <w:pPr>
        <w:spacing w:line="400" w:lineRule="exact"/>
        <w:ind w:firstLineChars="177" w:firstLine="425"/>
        <w:rPr>
          <w:sz w:val="24"/>
          <w:szCs w:val="24"/>
        </w:rPr>
      </w:pPr>
    </w:p>
    <w:p w:rsidR="00E2637F" w:rsidRPr="008D588F" w:rsidRDefault="00E2637F" w:rsidP="00F76E86">
      <w:pPr>
        <w:spacing w:line="400" w:lineRule="exact"/>
        <w:rPr>
          <w:rFonts w:ascii="仿宋" w:eastAsia="仿宋" w:hAnsi="仿宋"/>
          <w:sz w:val="32"/>
          <w:szCs w:val="32"/>
        </w:rPr>
      </w:pPr>
    </w:p>
    <w:p w:rsidR="00E2637F" w:rsidRDefault="00E2637F" w:rsidP="00E2637F">
      <w:pPr>
        <w:pStyle w:val="2"/>
        <w:numPr>
          <w:ilvl w:val="1"/>
          <w:numId w:val="3"/>
        </w:numPr>
        <w:spacing w:line="400" w:lineRule="exact"/>
        <w:ind w:left="0" w:firstLine="0"/>
        <w:jc w:val="center"/>
        <w:rPr>
          <w:rFonts w:ascii="黑体" w:eastAsia="黑体" w:hAnsi="黑体"/>
          <w:sz w:val="30"/>
          <w:szCs w:val="30"/>
        </w:rPr>
      </w:pPr>
      <w:r>
        <w:rPr>
          <w:rFonts w:ascii="黑体" w:eastAsia="黑体" w:hAnsi="黑体"/>
          <w:sz w:val="30"/>
          <w:szCs w:val="30"/>
        </w:rPr>
        <w:t>共性影响因素</w:t>
      </w:r>
    </w:p>
    <w:p w:rsidR="0021076A" w:rsidRPr="0021076A" w:rsidRDefault="0021076A" w:rsidP="0021076A"/>
    <w:p w:rsidR="00E2637F" w:rsidRPr="0021076A" w:rsidRDefault="00E605AB" w:rsidP="0021076A">
      <w:pPr>
        <w:pStyle w:val="2"/>
        <w:numPr>
          <w:ilvl w:val="2"/>
          <w:numId w:val="3"/>
        </w:numPr>
        <w:spacing w:line="400" w:lineRule="exact"/>
        <w:jc w:val="center"/>
        <w:rPr>
          <w:rFonts w:ascii="黑体" w:eastAsia="黑体" w:hAnsi="黑体"/>
          <w:sz w:val="30"/>
          <w:szCs w:val="30"/>
        </w:rPr>
      </w:pPr>
      <w:r w:rsidRPr="0021076A">
        <w:rPr>
          <w:rFonts w:ascii="黑体" w:eastAsia="黑体" w:hAnsi="黑体" w:hint="eastAsia"/>
          <w:sz w:val="30"/>
          <w:szCs w:val="30"/>
        </w:rPr>
        <w:t>市场大小对交易容量的影响</w:t>
      </w:r>
    </w:p>
    <w:p w:rsidR="00E2637F" w:rsidRDefault="00E62560" w:rsidP="009F5B8F">
      <w:pPr>
        <w:spacing w:line="400" w:lineRule="exact"/>
        <w:ind w:firstLineChars="177" w:firstLine="425"/>
        <w:rPr>
          <w:sz w:val="24"/>
          <w:szCs w:val="24"/>
        </w:rPr>
      </w:pPr>
      <w:r w:rsidRPr="00E62560">
        <w:rPr>
          <w:rFonts w:hint="eastAsia"/>
          <w:sz w:val="24"/>
          <w:szCs w:val="24"/>
        </w:rPr>
        <w:t>市场大小是指</w:t>
      </w:r>
      <w:r>
        <w:rPr>
          <w:rFonts w:hint="eastAsia"/>
          <w:sz w:val="24"/>
          <w:szCs w:val="24"/>
        </w:rPr>
        <w:t>市场中某商品的</w:t>
      </w:r>
      <w:r w:rsidR="009F5B8F">
        <w:rPr>
          <w:rFonts w:hint="eastAsia"/>
          <w:sz w:val="24"/>
          <w:szCs w:val="24"/>
        </w:rPr>
        <w:t>成交额与</w:t>
      </w:r>
      <w:r>
        <w:rPr>
          <w:rFonts w:hint="eastAsia"/>
          <w:sz w:val="24"/>
          <w:szCs w:val="24"/>
        </w:rPr>
        <w:t>成交量的大小，衡量商品成交量大小的指标有很多，例如：</w:t>
      </w:r>
      <w:proofErr w:type="gramStart"/>
      <w:r>
        <w:rPr>
          <w:rFonts w:hint="eastAsia"/>
          <w:sz w:val="24"/>
          <w:szCs w:val="24"/>
        </w:rPr>
        <w:t>单日总</w:t>
      </w:r>
      <w:proofErr w:type="gramEnd"/>
      <w:r>
        <w:rPr>
          <w:rFonts w:hint="eastAsia"/>
          <w:sz w:val="24"/>
          <w:szCs w:val="24"/>
        </w:rPr>
        <w:t>成交额、</w:t>
      </w:r>
      <w:proofErr w:type="gramStart"/>
      <w:r>
        <w:rPr>
          <w:rFonts w:hint="eastAsia"/>
          <w:sz w:val="24"/>
          <w:szCs w:val="24"/>
        </w:rPr>
        <w:t>单日总</w:t>
      </w:r>
      <w:proofErr w:type="gramEnd"/>
      <w:r>
        <w:rPr>
          <w:rFonts w:hint="eastAsia"/>
          <w:sz w:val="24"/>
          <w:szCs w:val="24"/>
        </w:rPr>
        <w:t>成交</w:t>
      </w:r>
      <w:r w:rsidR="009F5B8F">
        <w:rPr>
          <w:rFonts w:hint="eastAsia"/>
          <w:sz w:val="24"/>
          <w:szCs w:val="24"/>
        </w:rPr>
        <w:t>量、年总成交额、年总成</w:t>
      </w:r>
      <w:r w:rsidR="009F5B8F">
        <w:rPr>
          <w:rFonts w:hint="eastAsia"/>
          <w:sz w:val="24"/>
          <w:szCs w:val="24"/>
        </w:rPr>
        <w:lastRenderedPageBreak/>
        <w:t>交量</w:t>
      </w:r>
      <w:r w:rsidR="009D1DB3">
        <w:rPr>
          <w:rFonts w:hint="eastAsia"/>
          <w:sz w:val="24"/>
          <w:szCs w:val="24"/>
        </w:rPr>
        <w:t>。</w:t>
      </w:r>
      <w:r w:rsidR="009F5B8F">
        <w:rPr>
          <w:rFonts w:hint="eastAsia"/>
          <w:sz w:val="24"/>
          <w:szCs w:val="24"/>
        </w:rPr>
        <w:t>一般而言，</w:t>
      </w:r>
      <w:proofErr w:type="gramStart"/>
      <w:r w:rsidR="009F5B8F">
        <w:rPr>
          <w:rFonts w:hint="eastAsia"/>
          <w:sz w:val="24"/>
          <w:szCs w:val="24"/>
        </w:rPr>
        <w:t>单日总</w:t>
      </w:r>
      <w:proofErr w:type="gramEnd"/>
      <w:r w:rsidR="009F5B8F">
        <w:rPr>
          <w:rFonts w:hint="eastAsia"/>
          <w:sz w:val="24"/>
          <w:szCs w:val="24"/>
        </w:rPr>
        <w:t>成交额和</w:t>
      </w:r>
      <w:proofErr w:type="gramStart"/>
      <w:r w:rsidR="009F5B8F">
        <w:rPr>
          <w:rFonts w:hint="eastAsia"/>
          <w:sz w:val="24"/>
          <w:szCs w:val="24"/>
        </w:rPr>
        <w:t>单日总</w:t>
      </w:r>
      <w:proofErr w:type="gramEnd"/>
      <w:r w:rsidR="009F5B8F">
        <w:rPr>
          <w:rFonts w:hint="eastAsia"/>
          <w:sz w:val="24"/>
          <w:szCs w:val="24"/>
        </w:rPr>
        <w:t>成交笔数越大，称之为市场比较大。</w:t>
      </w:r>
    </w:p>
    <w:p w:rsidR="009F5B8F" w:rsidRDefault="009F5B8F" w:rsidP="009F5B8F">
      <w:pPr>
        <w:spacing w:line="400" w:lineRule="exact"/>
        <w:ind w:firstLineChars="177" w:firstLine="425"/>
        <w:rPr>
          <w:sz w:val="24"/>
          <w:szCs w:val="24"/>
        </w:rPr>
      </w:pPr>
      <w:r>
        <w:rPr>
          <w:rFonts w:hint="eastAsia"/>
          <w:sz w:val="24"/>
          <w:szCs w:val="24"/>
        </w:rPr>
        <w:t>很显然市场大小</w:t>
      </w:r>
      <w:r w:rsidR="00C708EC">
        <w:rPr>
          <w:rFonts w:hint="eastAsia"/>
          <w:sz w:val="24"/>
          <w:szCs w:val="24"/>
        </w:rPr>
        <w:t>是影响</w:t>
      </w:r>
      <w:r>
        <w:rPr>
          <w:rFonts w:hint="eastAsia"/>
          <w:sz w:val="24"/>
          <w:szCs w:val="24"/>
        </w:rPr>
        <w:t>交易容量</w:t>
      </w:r>
      <w:r w:rsidR="008464FC">
        <w:rPr>
          <w:rFonts w:hint="eastAsia"/>
          <w:sz w:val="24"/>
          <w:szCs w:val="24"/>
        </w:rPr>
        <w:t>大小</w:t>
      </w:r>
      <w:r>
        <w:rPr>
          <w:rFonts w:hint="eastAsia"/>
          <w:sz w:val="24"/>
          <w:szCs w:val="24"/>
        </w:rPr>
        <w:t>的决定性因素</w:t>
      </w:r>
      <w:r w:rsidR="00DF7010">
        <w:rPr>
          <w:rFonts w:hint="eastAsia"/>
          <w:sz w:val="24"/>
          <w:szCs w:val="24"/>
        </w:rPr>
        <w:t>：</w:t>
      </w:r>
    </w:p>
    <w:tbl>
      <w:tblPr>
        <w:tblW w:w="5000" w:type="pct"/>
        <w:tblLook w:val="04A0" w:firstRow="1" w:lastRow="0" w:firstColumn="1" w:lastColumn="0" w:noHBand="0" w:noVBand="1"/>
      </w:tblPr>
      <w:tblGrid>
        <w:gridCol w:w="3181"/>
        <w:gridCol w:w="1176"/>
        <w:gridCol w:w="1359"/>
        <w:gridCol w:w="1360"/>
        <w:gridCol w:w="1360"/>
      </w:tblGrid>
      <w:tr w:rsidR="008A1491" w:rsidRPr="008A1491" w:rsidTr="00A80AE4">
        <w:trPr>
          <w:trHeight w:val="312"/>
        </w:trPr>
        <w:tc>
          <w:tcPr>
            <w:tcW w:w="190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 xml:space="preserve">　</w:t>
            </w:r>
          </w:p>
        </w:tc>
        <w:tc>
          <w:tcPr>
            <w:tcW w:w="635" w:type="pct"/>
            <w:tcBorders>
              <w:top w:val="single" w:sz="8" w:space="0" w:color="auto"/>
              <w:left w:val="nil"/>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今开盘</w:t>
            </w:r>
          </w:p>
        </w:tc>
        <w:tc>
          <w:tcPr>
            <w:tcW w:w="821" w:type="pct"/>
            <w:tcBorders>
              <w:top w:val="single" w:sz="8" w:space="0" w:color="auto"/>
              <w:left w:val="nil"/>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收盘价</w:t>
            </w:r>
          </w:p>
        </w:tc>
        <w:tc>
          <w:tcPr>
            <w:tcW w:w="821" w:type="pct"/>
            <w:tcBorders>
              <w:top w:val="single" w:sz="8" w:space="0" w:color="auto"/>
              <w:left w:val="nil"/>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成交量</w:t>
            </w:r>
          </w:p>
        </w:tc>
        <w:tc>
          <w:tcPr>
            <w:tcW w:w="821" w:type="pct"/>
            <w:tcBorders>
              <w:top w:val="single" w:sz="8" w:space="0" w:color="auto"/>
              <w:left w:val="nil"/>
              <w:bottom w:val="single" w:sz="4" w:space="0" w:color="auto"/>
              <w:right w:val="single" w:sz="8"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持仓手</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沪铜1703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47460.00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48040.00 </w:t>
            </w:r>
          </w:p>
        </w:tc>
        <w:tc>
          <w:tcPr>
            <w:tcW w:w="821" w:type="pct"/>
            <w:tcBorders>
              <w:top w:val="nil"/>
              <w:left w:val="nil"/>
              <w:bottom w:val="single" w:sz="4" w:space="0" w:color="auto"/>
              <w:right w:val="single" w:sz="4" w:space="0" w:color="auto"/>
            </w:tcBorders>
            <w:shd w:val="clear" w:color="auto" w:fill="auto"/>
            <w:noWrap/>
            <w:vAlign w:val="bottom"/>
            <w:hideMark/>
          </w:tcPr>
          <w:p w:rsidR="008A1491" w:rsidRPr="008A1491" w:rsidRDefault="008A1491" w:rsidP="008A1491">
            <w:pPr>
              <w:widowControl/>
              <w:jc w:val="righ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188630</w:t>
            </w:r>
          </w:p>
        </w:tc>
        <w:tc>
          <w:tcPr>
            <w:tcW w:w="821" w:type="pct"/>
            <w:tcBorders>
              <w:top w:val="nil"/>
              <w:left w:val="nil"/>
              <w:bottom w:val="single" w:sz="4" w:space="0" w:color="auto"/>
              <w:right w:val="single" w:sz="8" w:space="0" w:color="auto"/>
            </w:tcBorders>
            <w:shd w:val="clear" w:color="auto" w:fill="auto"/>
            <w:noWrap/>
            <w:vAlign w:val="bottom"/>
            <w:hideMark/>
          </w:tcPr>
          <w:p w:rsidR="008A1491" w:rsidRPr="008A1491" w:rsidRDefault="008A1491" w:rsidP="008A1491">
            <w:pPr>
              <w:widowControl/>
              <w:jc w:val="righ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159580</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proofErr w:type="gramStart"/>
            <w:r w:rsidRPr="008A1491">
              <w:rPr>
                <w:rFonts w:ascii="宋体" w:eastAsia="宋体" w:hAnsi="宋体" w:cs="宋体" w:hint="eastAsia"/>
                <w:color w:val="000000"/>
                <w:kern w:val="0"/>
                <w:sz w:val="24"/>
                <w:szCs w:val="24"/>
              </w:rPr>
              <w:t>沪铝</w:t>
            </w:r>
            <w:proofErr w:type="gramEnd"/>
            <w:r w:rsidRPr="008A1491">
              <w:rPr>
                <w:rFonts w:ascii="宋体" w:eastAsia="宋体" w:hAnsi="宋体" w:cs="宋体" w:hint="eastAsia"/>
                <w:color w:val="000000"/>
                <w:kern w:val="0"/>
                <w:sz w:val="24"/>
                <w:szCs w:val="24"/>
              </w:rPr>
              <w:t>1703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13965.00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13835.00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280242</w:t>
            </w:r>
          </w:p>
        </w:tc>
        <w:tc>
          <w:tcPr>
            <w:tcW w:w="821" w:type="pct"/>
            <w:tcBorders>
              <w:top w:val="nil"/>
              <w:left w:val="nil"/>
              <w:bottom w:val="single" w:sz="4" w:space="0" w:color="auto"/>
              <w:right w:val="single" w:sz="8"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233714</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proofErr w:type="gramStart"/>
            <w:r w:rsidRPr="008A1491">
              <w:rPr>
                <w:rFonts w:ascii="宋体" w:eastAsia="宋体" w:hAnsi="宋体" w:cs="宋体" w:hint="eastAsia"/>
                <w:color w:val="000000"/>
                <w:kern w:val="0"/>
                <w:sz w:val="24"/>
                <w:szCs w:val="24"/>
              </w:rPr>
              <w:t>沪锌</w:t>
            </w:r>
            <w:proofErr w:type="gramEnd"/>
            <w:r w:rsidRPr="008A1491">
              <w:rPr>
                <w:rFonts w:ascii="宋体" w:eastAsia="宋体" w:hAnsi="宋体" w:cs="宋体" w:hint="eastAsia"/>
                <w:color w:val="000000"/>
                <w:kern w:val="0"/>
                <w:sz w:val="24"/>
                <w:szCs w:val="24"/>
              </w:rPr>
              <w:t>1703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22710.00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23205.00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377530</w:t>
            </w:r>
          </w:p>
        </w:tc>
        <w:tc>
          <w:tcPr>
            <w:tcW w:w="821" w:type="pct"/>
            <w:tcBorders>
              <w:top w:val="nil"/>
              <w:left w:val="nil"/>
              <w:bottom w:val="single" w:sz="4" w:space="0" w:color="auto"/>
              <w:right w:val="single" w:sz="8"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159562</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proofErr w:type="gramStart"/>
            <w:r w:rsidRPr="008A1491">
              <w:rPr>
                <w:rFonts w:ascii="宋体" w:eastAsia="宋体" w:hAnsi="宋体" w:cs="宋体" w:hint="eastAsia"/>
                <w:color w:val="000000"/>
                <w:kern w:val="0"/>
                <w:sz w:val="24"/>
                <w:szCs w:val="24"/>
              </w:rPr>
              <w:t>沪铅</w:t>
            </w:r>
            <w:proofErr w:type="gramEnd"/>
            <w:r w:rsidRPr="008A1491">
              <w:rPr>
                <w:rFonts w:ascii="宋体" w:eastAsia="宋体" w:hAnsi="宋体" w:cs="宋体" w:hint="eastAsia"/>
                <w:color w:val="000000"/>
                <w:kern w:val="0"/>
                <w:sz w:val="24"/>
                <w:szCs w:val="24"/>
              </w:rPr>
              <w:t>1703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18750.00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19015.00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63892</w:t>
            </w:r>
          </w:p>
        </w:tc>
        <w:tc>
          <w:tcPr>
            <w:tcW w:w="821" w:type="pct"/>
            <w:tcBorders>
              <w:top w:val="nil"/>
              <w:left w:val="nil"/>
              <w:bottom w:val="single" w:sz="4" w:space="0" w:color="auto"/>
              <w:right w:val="single" w:sz="8"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34952</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沪金1706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269.60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267.60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142822</w:t>
            </w:r>
          </w:p>
        </w:tc>
        <w:tc>
          <w:tcPr>
            <w:tcW w:w="821" w:type="pct"/>
            <w:tcBorders>
              <w:top w:val="nil"/>
              <w:left w:val="nil"/>
              <w:bottom w:val="single" w:sz="4" w:space="0" w:color="auto"/>
              <w:right w:val="single" w:sz="8"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318662</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proofErr w:type="gramStart"/>
            <w:r w:rsidRPr="008A1491">
              <w:rPr>
                <w:rFonts w:ascii="宋体" w:eastAsia="宋体" w:hAnsi="宋体" w:cs="宋体" w:hint="eastAsia"/>
                <w:color w:val="000000"/>
                <w:kern w:val="0"/>
                <w:sz w:val="24"/>
                <w:szCs w:val="24"/>
              </w:rPr>
              <w:t>沪银</w:t>
            </w:r>
            <w:proofErr w:type="gramEnd"/>
            <w:r w:rsidRPr="008A1491">
              <w:rPr>
                <w:rFonts w:ascii="宋体" w:eastAsia="宋体" w:hAnsi="宋体" w:cs="宋体" w:hint="eastAsia"/>
                <w:color w:val="000000"/>
                <w:kern w:val="0"/>
                <w:sz w:val="24"/>
                <w:szCs w:val="24"/>
              </w:rPr>
              <w:t>1706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4073.00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4025.00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396474</w:t>
            </w:r>
          </w:p>
        </w:tc>
        <w:tc>
          <w:tcPr>
            <w:tcW w:w="821" w:type="pct"/>
            <w:tcBorders>
              <w:top w:val="nil"/>
              <w:left w:val="nil"/>
              <w:bottom w:val="single" w:sz="4" w:space="0" w:color="auto"/>
              <w:right w:val="single" w:sz="8"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641770</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沪螺纹钢1705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3292.00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 xml:space="preserve">3369.00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1896002</w:t>
            </w:r>
          </w:p>
        </w:tc>
        <w:tc>
          <w:tcPr>
            <w:tcW w:w="821" w:type="pct"/>
            <w:tcBorders>
              <w:top w:val="nil"/>
              <w:left w:val="nil"/>
              <w:bottom w:val="single" w:sz="4" w:space="0" w:color="auto"/>
              <w:right w:val="single" w:sz="8"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333333"/>
                <w:kern w:val="0"/>
                <w:sz w:val="24"/>
                <w:szCs w:val="24"/>
              </w:rPr>
            </w:pPr>
            <w:r w:rsidRPr="008A1491">
              <w:rPr>
                <w:rFonts w:ascii="宋体" w:eastAsia="宋体" w:hAnsi="宋体" w:cs="宋体" w:hint="eastAsia"/>
                <w:color w:val="333333"/>
                <w:kern w:val="0"/>
                <w:sz w:val="24"/>
                <w:szCs w:val="24"/>
              </w:rPr>
              <w:t>2254872</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proofErr w:type="gramStart"/>
            <w:r w:rsidRPr="008A1491">
              <w:rPr>
                <w:rFonts w:ascii="宋体" w:eastAsia="宋体" w:hAnsi="宋体" w:cs="宋体" w:hint="eastAsia"/>
                <w:color w:val="000000"/>
                <w:kern w:val="0"/>
                <w:sz w:val="24"/>
                <w:szCs w:val="24"/>
              </w:rPr>
              <w:t>郑强麦</w:t>
            </w:r>
            <w:proofErr w:type="gramEnd"/>
            <w:r w:rsidRPr="008A1491">
              <w:rPr>
                <w:rFonts w:ascii="宋体" w:eastAsia="宋体" w:hAnsi="宋体" w:cs="宋体" w:hint="eastAsia"/>
                <w:color w:val="000000"/>
                <w:kern w:val="0"/>
                <w:sz w:val="24"/>
                <w:szCs w:val="24"/>
              </w:rPr>
              <w:t>1705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222222"/>
                <w:kern w:val="0"/>
                <w:sz w:val="24"/>
                <w:szCs w:val="24"/>
              </w:rPr>
            </w:pPr>
            <w:r w:rsidRPr="008A1491">
              <w:rPr>
                <w:rFonts w:ascii="宋体" w:eastAsia="宋体" w:hAnsi="宋体" w:cs="宋体" w:hint="eastAsia"/>
                <w:color w:val="222222"/>
                <w:kern w:val="0"/>
                <w:sz w:val="24"/>
                <w:szCs w:val="24"/>
              </w:rPr>
              <w:t xml:space="preserve">2994.00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222222"/>
                <w:kern w:val="0"/>
                <w:sz w:val="24"/>
                <w:szCs w:val="24"/>
              </w:rPr>
            </w:pPr>
            <w:r w:rsidRPr="008A1491">
              <w:rPr>
                <w:rFonts w:ascii="宋体" w:eastAsia="宋体" w:hAnsi="宋体" w:cs="宋体" w:hint="eastAsia"/>
                <w:color w:val="222222"/>
                <w:kern w:val="0"/>
                <w:sz w:val="24"/>
                <w:szCs w:val="24"/>
              </w:rPr>
              <w:t xml:space="preserve">3006.00 </w:t>
            </w:r>
          </w:p>
        </w:tc>
        <w:tc>
          <w:tcPr>
            <w:tcW w:w="821" w:type="pct"/>
            <w:tcBorders>
              <w:top w:val="nil"/>
              <w:left w:val="nil"/>
              <w:bottom w:val="single" w:sz="4" w:space="0" w:color="auto"/>
              <w:right w:val="single" w:sz="4" w:space="0" w:color="auto"/>
            </w:tcBorders>
            <w:shd w:val="clear" w:color="auto" w:fill="auto"/>
            <w:noWrap/>
            <w:vAlign w:val="bottom"/>
            <w:hideMark/>
          </w:tcPr>
          <w:p w:rsidR="008A1491" w:rsidRPr="008A1491" w:rsidRDefault="00D62EFF" w:rsidP="008A1491">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sidR="008A1491" w:rsidRPr="008A1491">
              <w:rPr>
                <w:rFonts w:ascii="宋体" w:eastAsia="宋体" w:hAnsi="宋体" w:cs="宋体" w:hint="eastAsia"/>
                <w:color w:val="000000"/>
                <w:kern w:val="0"/>
                <w:sz w:val="24"/>
                <w:szCs w:val="24"/>
              </w:rPr>
              <w:t>098</w:t>
            </w:r>
          </w:p>
        </w:tc>
        <w:tc>
          <w:tcPr>
            <w:tcW w:w="821" w:type="pct"/>
            <w:tcBorders>
              <w:top w:val="nil"/>
              <w:left w:val="nil"/>
              <w:bottom w:val="single" w:sz="4" w:space="0" w:color="auto"/>
              <w:right w:val="single" w:sz="8"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w:t>
            </w:r>
          </w:p>
        </w:tc>
      </w:tr>
      <w:tr w:rsidR="008A1491" w:rsidRPr="008A1491" w:rsidTr="00A80AE4">
        <w:trPr>
          <w:trHeight w:val="312"/>
        </w:trPr>
        <w:tc>
          <w:tcPr>
            <w:tcW w:w="1901" w:type="pct"/>
            <w:tcBorders>
              <w:top w:val="nil"/>
              <w:left w:val="single" w:sz="8" w:space="0" w:color="auto"/>
              <w:bottom w:val="single" w:sz="4"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郑棉花1705  2017-01-26</w:t>
            </w:r>
          </w:p>
        </w:tc>
        <w:tc>
          <w:tcPr>
            <w:tcW w:w="635"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222222"/>
                <w:kern w:val="0"/>
                <w:sz w:val="24"/>
                <w:szCs w:val="24"/>
              </w:rPr>
            </w:pPr>
            <w:r w:rsidRPr="008A1491">
              <w:rPr>
                <w:rFonts w:ascii="宋体" w:eastAsia="宋体" w:hAnsi="宋体" w:cs="宋体" w:hint="eastAsia"/>
                <w:color w:val="222222"/>
                <w:kern w:val="0"/>
                <w:sz w:val="24"/>
                <w:szCs w:val="24"/>
              </w:rPr>
              <w:t xml:space="preserve">15620.00 </w:t>
            </w:r>
          </w:p>
        </w:tc>
        <w:tc>
          <w:tcPr>
            <w:tcW w:w="821" w:type="pct"/>
            <w:tcBorders>
              <w:top w:val="nil"/>
              <w:left w:val="nil"/>
              <w:bottom w:val="single" w:sz="4"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222222"/>
                <w:kern w:val="0"/>
                <w:sz w:val="24"/>
                <w:szCs w:val="24"/>
              </w:rPr>
            </w:pPr>
            <w:r w:rsidRPr="008A1491">
              <w:rPr>
                <w:rFonts w:ascii="宋体" w:eastAsia="宋体" w:hAnsi="宋体" w:cs="宋体" w:hint="eastAsia"/>
                <w:color w:val="222222"/>
                <w:kern w:val="0"/>
                <w:sz w:val="24"/>
                <w:szCs w:val="24"/>
              </w:rPr>
              <w:t xml:space="preserve">15665.00 </w:t>
            </w:r>
          </w:p>
        </w:tc>
        <w:tc>
          <w:tcPr>
            <w:tcW w:w="821" w:type="pct"/>
            <w:tcBorders>
              <w:top w:val="nil"/>
              <w:left w:val="nil"/>
              <w:bottom w:val="single" w:sz="4" w:space="0" w:color="auto"/>
              <w:right w:val="single" w:sz="4" w:space="0" w:color="auto"/>
            </w:tcBorders>
            <w:shd w:val="clear" w:color="auto" w:fill="auto"/>
            <w:noWrap/>
            <w:vAlign w:val="bottom"/>
            <w:hideMark/>
          </w:tcPr>
          <w:p w:rsidR="008A1491" w:rsidRPr="008A1491" w:rsidRDefault="00D62EFF" w:rsidP="008A1491">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95</w:t>
            </w:r>
            <w:r w:rsidR="008A1491" w:rsidRPr="008A1491">
              <w:rPr>
                <w:rFonts w:ascii="宋体" w:eastAsia="宋体" w:hAnsi="宋体" w:cs="宋体" w:hint="eastAsia"/>
                <w:color w:val="000000"/>
                <w:kern w:val="0"/>
                <w:sz w:val="24"/>
                <w:szCs w:val="24"/>
              </w:rPr>
              <w:t>640</w:t>
            </w:r>
          </w:p>
        </w:tc>
        <w:tc>
          <w:tcPr>
            <w:tcW w:w="821" w:type="pct"/>
            <w:tcBorders>
              <w:top w:val="nil"/>
              <w:left w:val="nil"/>
              <w:bottom w:val="single" w:sz="4" w:space="0" w:color="auto"/>
              <w:right w:val="single" w:sz="8"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w:t>
            </w:r>
          </w:p>
        </w:tc>
      </w:tr>
      <w:tr w:rsidR="008A1491" w:rsidRPr="008A1491" w:rsidTr="00A80AE4">
        <w:trPr>
          <w:trHeight w:val="324"/>
        </w:trPr>
        <w:tc>
          <w:tcPr>
            <w:tcW w:w="1901" w:type="pct"/>
            <w:tcBorders>
              <w:top w:val="nil"/>
              <w:left w:val="single" w:sz="8" w:space="0" w:color="auto"/>
              <w:bottom w:val="single" w:sz="8" w:space="0" w:color="auto"/>
              <w:right w:val="single" w:sz="4"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郑玻璃1705  2017-01-26</w:t>
            </w:r>
          </w:p>
        </w:tc>
        <w:tc>
          <w:tcPr>
            <w:tcW w:w="635" w:type="pct"/>
            <w:tcBorders>
              <w:top w:val="nil"/>
              <w:left w:val="nil"/>
              <w:bottom w:val="single" w:sz="8"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222222"/>
                <w:kern w:val="0"/>
                <w:sz w:val="24"/>
                <w:szCs w:val="24"/>
              </w:rPr>
            </w:pPr>
            <w:r w:rsidRPr="008A1491">
              <w:rPr>
                <w:rFonts w:ascii="宋体" w:eastAsia="宋体" w:hAnsi="宋体" w:cs="宋体" w:hint="eastAsia"/>
                <w:color w:val="222222"/>
                <w:kern w:val="0"/>
                <w:sz w:val="24"/>
                <w:szCs w:val="24"/>
              </w:rPr>
              <w:t xml:space="preserve">1315.00 </w:t>
            </w:r>
          </w:p>
        </w:tc>
        <w:tc>
          <w:tcPr>
            <w:tcW w:w="821" w:type="pct"/>
            <w:tcBorders>
              <w:top w:val="nil"/>
              <w:left w:val="nil"/>
              <w:bottom w:val="single" w:sz="8" w:space="0" w:color="auto"/>
              <w:right w:val="single" w:sz="4" w:space="0" w:color="auto"/>
            </w:tcBorders>
            <w:shd w:val="clear" w:color="auto" w:fill="auto"/>
            <w:vAlign w:val="center"/>
            <w:hideMark/>
          </w:tcPr>
          <w:p w:rsidR="008A1491" w:rsidRPr="008A1491" w:rsidRDefault="008A1491" w:rsidP="008A1491">
            <w:pPr>
              <w:widowControl/>
              <w:jc w:val="right"/>
              <w:rPr>
                <w:rFonts w:ascii="宋体" w:eastAsia="宋体" w:hAnsi="宋体" w:cs="宋体"/>
                <w:color w:val="222222"/>
                <w:kern w:val="0"/>
                <w:sz w:val="24"/>
                <w:szCs w:val="24"/>
              </w:rPr>
            </w:pPr>
            <w:r w:rsidRPr="008A1491">
              <w:rPr>
                <w:rFonts w:ascii="宋体" w:eastAsia="宋体" w:hAnsi="宋体" w:cs="宋体" w:hint="eastAsia"/>
                <w:color w:val="222222"/>
                <w:kern w:val="0"/>
                <w:sz w:val="24"/>
                <w:szCs w:val="24"/>
              </w:rPr>
              <w:t xml:space="preserve">1323.00 </w:t>
            </w:r>
          </w:p>
        </w:tc>
        <w:tc>
          <w:tcPr>
            <w:tcW w:w="821" w:type="pct"/>
            <w:tcBorders>
              <w:top w:val="nil"/>
              <w:left w:val="nil"/>
              <w:bottom w:val="single" w:sz="8" w:space="0" w:color="auto"/>
              <w:right w:val="single" w:sz="4" w:space="0" w:color="auto"/>
            </w:tcBorders>
            <w:shd w:val="clear" w:color="auto" w:fill="auto"/>
            <w:noWrap/>
            <w:vAlign w:val="bottom"/>
            <w:hideMark/>
          </w:tcPr>
          <w:p w:rsidR="008A1491" w:rsidRPr="008A1491" w:rsidRDefault="00D62EFF" w:rsidP="008A1491">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192</w:t>
            </w:r>
            <w:r w:rsidR="008A1491" w:rsidRPr="008A1491">
              <w:rPr>
                <w:rFonts w:ascii="宋体" w:eastAsia="宋体" w:hAnsi="宋体" w:cs="宋体" w:hint="eastAsia"/>
                <w:color w:val="000000"/>
                <w:kern w:val="0"/>
                <w:sz w:val="24"/>
                <w:szCs w:val="24"/>
              </w:rPr>
              <w:t>204</w:t>
            </w:r>
          </w:p>
        </w:tc>
        <w:tc>
          <w:tcPr>
            <w:tcW w:w="821" w:type="pct"/>
            <w:tcBorders>
              <w:top w:val="nil"/>
              <w:left w:val="nil"/>
              <w:bottom w:val="single" w:sz="8" w:space="0" w:color="auto"/>
              <w:right w:val="single" w:sz="8" w:space="0" w:color="auto"/>
            </w:tcBorders>
            <w:shd w:val="clear" w:color="auto" w:fill="auto"/>
            <w:noWrap/>
            <w:vAlign w:val="bottom"/>
            <w:hideMark/>
          </w:tcPr>
          <w:p w:rsidR="008A1491" w:rsidRPr="008A1491" w:rsidRDefault="008A1491" w:rsidP="008A1491">
            <w:pPr>
              <w:widowControl/>
              <w:jc w:val="left"/>
              <w:rPr>
                <w:rFonts w:ascii="宋体" w:eastAsia="宋体" w:hAnsi="宋体" w:cs="宋体"/>
                <w:color w:val="000000"/>
                <w:kern w:val="0"/>
                <w:sz w:val="24"/>
                <w:szCs w:val="24"/>
              </w:rPr>
            </w:pPr>
            <w:r w:rsidRPr="008A1491">
              <w:rPr>
                <w:rFonts w:ascii="宋体" w:eastAsia="宋体" w:hAnsi="宋体" w:cs="宋体" w:hint="eastAsia"/>
                <w:color w:val="000000"/>
                <w:kern w:val="0"/>
                <w:sz w:val="24"/>
                <w:szCs w:val="24"/>
              </w:rPr>
              <w:t>--</w:t>
            </w:r>
          </w:p>
        </w:tc>
      </w:tr>
    </w:tbl>
    <w:p w:rsidR="00DF7010" w:rsidRDefault="008A1491" w:rsidP="009F5B8F">
      <w:pPr>
        <w:spacing w:line="400" w:lineRule="exact"/>
        <w:ind w:firstLineChars="177" w:firstLine="425"/>
        <w:rPr>
          <w:sz w:val="24"/>
          <w:szCs w:val="24"/>
        </w:rPr>
      </w:pPr>
      <w:r>
        <w:rPr>
          <w:sz w:val="24"/>
          <w:szCs w:val="24"/>
        </w:rPr>
        <w:t>表</w:t>
      </w:r>
      <w:r>
        <w:rPr>
          <w:sz w:val="24"/>
          <w:szCs w:val="24"/>
        </w:rPr>
        <w:t>X</w:t>
      </w:r>
      <w:r>
        <w:rPr>
          <w:sz w:val="24"/>
          <w:szCs w:val="24"/>
        </w:rPr>
        <w:t>：</w:t>
      </w:r>
      <w:r>
        <w:rPr>
          <w:rFonts w:hint="eastAsia"/>
          <w:sz w:val="24"/>
          <w:szCs w:val="24"/>
        </w:rPr>
        <w:t>上期所</w:t>
      </w:r>
      <w:proofErr w:type="gramStart"/>
      <w:r>
        <w:rPr>
          <w:rFonts w:hint="eastAsia"/>
          <w:sz w:val="24"/>
          <w:szCs w:val="24"/>
        </w:rPr>
        <w:t>与郑期所</w:t>
      </w:r>
      <w:proofErr w:type="gramEnd"/>
      <w:r>
        <w:rPr>
          <w:rFonts w:hint="eastAsia"/>
          <w:sz w:val="24"/>
          <w:szCs w:val="24"/>
        </w:rPr>
        <w:t>部分商品主力合约交易情况，数据来源</w:t>
      </w:r>
      <w:r w:rsidR="00B43DB5">
        <w:rPr>
          <w:rFonts w:hint="eastAsia"/>
          <w:sz w:val="24"/>
          <w:szCs w:val="24"/>
        </w:rPr>
        <w:t>《</w:t>
      </w:r>
      <w:r>
        <w:rPr>
          <w:rFonts w:hint="eastAsia"/>
          <w:sz w:val="24"/>
          <w:szCs w:val="24"/>
        </w:rPr>
        <w:t>期货日报</w:t>
      </w:r>
      <w:r w:rsidR="00B43DB5">
        <w:rPr>
          <w:rFonts w:hint="eastAsia"/>
          <w:sz w:val="24"/>
          <w:szCs w:val="24"/>
        </w:rPr>
        <w:t>》</w:t>
      </w:r>
    </w:p>
    <w:p w:rsidR="00D62EFF" w:rsidRDefault="008A1491" w:rsidP="00D62EFF">
      <w:pPr>
        <w:spacing w:line="400" w:lineRule="exact"/>
        <w:ind w:firstLineChars="177" w:firstLine="425"/>
        <w:rPr>
          <w:rFonts w:hint="eastAsia"/>
          <w:sz w:val="24"/>
          <w:szCs w:val="24"/>
        </w:rPr>
      </w:pPr>
      <w:r>
        <w:rPr>
          <w:sz w:val="24"/>
          <w:szCs w:val="24"/>
        </w:rPr>
        <w:t>从成交量分析，商品的成交量</w:t>
      </w:r>
      <w:r w:rsidR="00D62EFF">
        <w:rPr>
          <w:sz w:val="24"/>
          <w:szCs w:val="24"/>
        </w:rPr>
        <w:t>排名前三的商品如下：</w:t>
      </w:r>
    </w:p>
    <w:p w:rsidR="00D62EFF" w:rsidRDefault="00D62EFF" w:rsidP="00D62EFF">
      <w:pPr>
        <w:spacing w:line="400" w:lineRule="exact"/>
        <w:ind w:firstLineChars="177" w:firstLine="425"/>
        <w:rPr>
          <w:rFonts w:hint="eastAsia"/>
          <w:sz w:val="24"/>
          <w:szCs w:val="24"/>
        </w:rPr>
      </w:pPr>
      <w:r>
        <w:rPr>
          <w:rFonts w:hint="eastAsia"/>
          <w:sz w:val="24"/>
          <w:szCs w:val="24"/>
        </w:rPr>
        <w:t>沪螺纹钢</w:t>
      </w:r>
      <w:r>
        <w:rPr>
          <w:rFonts w:hint="eastAsia"/>
          <w:sz w:val="24"/>
          <w:szCs w:val="24"/>
        </w:rPr>
        <w:t>(</w:t>
      </w:r>
      <w:r w:rsidRPr="008A1491">
        <w:rPr>
          <w:rFonts w:ascii="宋体" w:eastAsia="宋体" w:hAnsi="宋体" w:cs="宋体" w:hint="eastAsia"/>
          <w:color w:val="333333"/>
          <w:kern w:val="0"/>
          <w:sz w:val="24"/>
          <w:szCs w:val="24"/>
        </w:rPr>
        <w:t>1896002</w:t>
      </w:r>
      <w:r>
        <w:rPr>
          <w:rFonts w:ascii="宋体" w:eastAsia="宋体" w:hAnsi="宋体" w:cs="宋体" w:hint="eastAsia"/>
          <w:color w:val="333333"/>
          <w:kern w:val="0"/>
          <w:sz w:val="24"/>
          <w:szCs w:val="24"/>
        </w:rPr>
        <w:t>手</w:t>
      </w:r>
      <w:r>
        <w:rPr>
          <w:rFonts w:hint="eastAsia"/>
          <w:sz w:val="24"/>
          <w:szCs w:val="24"/>
        </w:rPr>
        <w:t>)&gt;</w:t>
      </w:r>
      <w:proofErr w:type="gramStart"/>
      <w:r>
        <w:rPr>
          <w:rFonts w:hint="eastAsia"/>
          <w:sz w:val="24"/>
          <w:szCs w:val="24"/>
        </w:rPr>
        <w:t>沪银</w:t>
      </w:r>
      <w:proofErr w:type="gramEnd"/>
      <w:r>
        <w:rPr>
          <w:rFonts w:hint="eastAsia"/>
          <w:sz w:val="24"/>
          <w:szCs w:val="24"/>
        </w:rPr>
        <w:t>(</w:t>
      </w:r>
      <w:r w:rsidRPr="008A1491">
        <w:rPr>
          <w:rFonts w:ascii="宋体" w:eastAsia="宋体" w:hAnsi="宋体" w:cs="宋体" w:hint="eastAsia"/>
          <w:color w:val="333333"/>
          <w:kern w:val="0"/>
          <w:sz w:val="24"/>
          <w:szCs w:val="24"/>
        </w:rPr>
        <w:t>396474</w:t>
      </w:r>
      <w:r>
        <w:rPr>
          <w:rFonts w:ascii="宋体" w:eastAsia="宋体" w:hAnsi="宋体" w:cs="宋体" w:hint="eastAsia"/>
          <w:color w:val="333333"/>
          <w:kern w:val="0"/>
          <w:sz w:val="24"/>
          <w:szCs w:val="24"/>
        </w:rPr>
        <w:t>手</w:t>
      </w:r>
      <w:r>
        <w:rPr>
          <w:rFonts w:hint="eastAsia"/>
          <w:sz w:val="24"/>
          <w:szCs w:val="24"/>
        </w:rPr>
        <w:t>)&gt;</w:t>
      </w:r>
      <w:proofErr w:type="gramStart"/>
      <w:r>
        <w:rPr>
          <w:rFonts w:hint="eastAsia"/>
          <w:sz w:val="24"/>
          <w:szCs w:val="24"/>
        </w:rPr>
        <w:t>沪锌</w:t>
      </w:r>
      <w:proofErr w:type="gramEnd"/>
      <w:r>
        <w:rPr>
          <w:rFonts w:hint="eastAsia"/>
          <w:sz w:val="24"/>
          <w:szCs w:val="24"/>
        </w:rPr>
        <w:t>(</w:t>
      </w:r>
      <w:r w:rsidRPr="008A1491">
        <w:rPr>
          <w:rFonts w:ascii="宋体" w:eastAsia="宋体" w:hAnsi="宋体" w:cs="宋体" w:hint="eastAsia"/>
          <w:color w:val="333333"/>
          <w:kern w:val="0"/>
          <w:sz w:val="24"/>
          <w:szCs w:val="24"/>
        </w:rPr>
        <w:t>377530</w:t>
      </w:r>
      <w:r>
        <w:rPr>
          <w:rFonts w:ascii="宋体" w:eastAsia="宋体" w:hAnsi="宋体" w:cs="宋体" w:hint="eastAsia"/>
          <w:color w:val="333333"/>
          <w:kern w:val="0"/>
          <w:sz w:val="24"/>
          <w:szCs w:val="24"/>
        </w:rPr>
        <w:t>手</w:t>
      </w:r>
      <w:r>
        <w:rPr>
          <w:rFonts w:hint="eastAsia"/>
          <w:sz w:val="24"/>
          <w:szCs w:val="24"/>
        </w:rPr>
        <w:t>)</w:t>
      </w:r>
    </w:p>
    <w:p w:rsidR="000A7CB5" w:rsidRDefault="000A7CB5" w:rsidP="00D62EFF">
      <w:pPr>
        <w:spacing w:line="400" w:lineRule="exact"/>
        <w:ind w:firstLineChars="177" w:firstLine="425"/>
        <w:rPr>
          <w:rFonts w:hint="eastAsia"/>
          <w:sz w:val="24"/>
          <w:szCs w:val="24"/>
        </w:rPr>
      </w:pPr>
      <w:r>
        <w:rPr>
          <w:rFonts w:hint="eastAsia"/>
          <w:sz w:val="24"/>
          <w:szCs w:val="24"/>
        </w:rPr>
        <w:t>成交量代表着市场上的交易活跃程度，成交量大则意味着</w:t>
      </w:r>
      <w:r w:rsidR="004753F0">
        <w:rPr>
          <w:rFonts w:hint="eastAsia"/>
          <w:sz w:val="24"/>
          <w:szCs w:val="24"/>
        </w:rPr>
        <w:t>两点：一是</w:t>
      </w:r>
      <w:r>
        <w:rPr>
          <w:rFonts w:hint="eastAsia"/>
          <w:sz w:val="24"/>
          <w:szCs w:val="24"/>
        </w:rPr>
        <w:t>买方和卖方</w:t>
      </w:r>
      <w:r w:rsidR="004753F0">
        <w:rPr>
          <w:rFonts w:hint="eastAsia"/>
          <w:sz w:val="24"/>
          <w:szCs w:val="24"/>
        </w:rPr>
        <w:t>数量</w:t>
      </w:r>
      <w:r>
        <w:rPr>
          <w:rFonts w:hint="eastAsia"/>
          <w:sz w:val="24"/>
          <w:szCs w:val="24"/>
        </w:rPr>
        <w:t>众多</w:t>
      </w:r>
      <w:r w:rsidR="004753F0">
        <w:rPr>
          <w:rFonts w:hint="eastAsia"/>
          <w:sz w:val="24"/>
          <w:szCs w:val="24"/>
        </w:rPr>
        <w:t>；二是此时的商品价格与双方的心理预期一致</w:t>
      </w:r>
      <w:r w:rsidR="007552D5">
        <w:rPr>
          <w:rFonts w:hint="eastAsia"/>
          <w:sz w:val="24"/>
          <w:szCs w:val="24"/>
        </w:rPr>
        <w:t>。</w:t>
      </w:r>
      <w:r w:rsidR="00A80AE4">
        <w:rPr>
          <w:rFonts w:hint="eastAsia"/>
          <w:sz w:val="24"/>
          <w:szCs w:val="24"/>
        </w:rPr>
        <w:t>由于这两个因素，</w:t>
      </w:r>
      <w:r>
        <w:rPr>
          <w:rFonts w:hint="eastAsia"/>
          <w:sz w:val="24"/>
          <w:szCs w:val="24"/>
        </w:rPr>
        <w:t>投资者在一个成交量大的商品中寻找交易对手方显然要容易的多</w:t>
      </w:r>
      <w:r w:rsidR="00A80AE4">
        <w:rPr>
          <w:rFonts w:hint="eastAsia"/>
          <w:sz w:val="24"/>
          <w:szCs w:val="24"/>
        </w:rPr>
        <w:t>，并且在成交量大的商品中交易意味着投资者面对的是一个“大致达成一致的价格”</w:t>
      </w:r>
      <w:r w:rsidR="00755FD2">
        <w:rPr>
          <w:rFonts w:hint="eastAsia"/>
          <w:sz w:val="24"/>
          <w:szCs w:val="24"/>
        </w:rPr>
        <w:t>。</w:t>
      </w:r>
    </w:p>
    <w:p w:rsidR="00A80AE4" w:rsidRDefault="00A80AE4" w:rsidP="00D62EFF">
      <w:pPr>
        <w:spacing w:line="400" w:lineRule="exact"/>
        <w:ind w:firstLineChars="177" w:firstLine="425"/>
        <w:rPr>
          <w:rFonts w:hint="eastAsia"/>
          <w:sz w:val="24"/>
          <w:szCs w:val="24"/>
        </w:rPr>
      </w:pPr>
      <w:r>
        <w:rPr>
          <w:rFonts w:hint="eastAsia"/>
          <w:sz w:val="24"/>
          <w:szCs w:val="24"/>
        </w:rPr>
        <w:t>成交额也是不得不考虑的一个方面。由于上期所和</w:t>
      </w:r>
      <w:proofErr w:type="gramStart"/>
      <w:r>
        <w:rPr>
          <w:rFonts w:hint="eastAsia"/>
          <w:sz w:val="24"/>
          <w:szCs w:val="24"/>
        </w:rPr>
        <w:t>郑期</w:t>
      </w:r>
      <w:proofErr w:type="gramEnd"/>
      <w:r>
        <w:rPr>
          <w:rFonts w:hint="eastAsia"/>
          <w:sz w:val="24"/>
          <w:szCs w:val="24"/>
        </w:rPr>
        <w:t>所并未正式公布单日成交额，因此我们采用如下公式来计算成交额：</w:t>
      </w:r>
    </w:p>
    <w:p w:rsidR="00A80AE4" w:rsidRDefault="00A80AE4" w:rsidP="00D62EFF">
      <w:pPr>
        <w:spacing w:line="400" w:lineRule="exact"/>
        <w:ind w:firstLineChars="177" w:firstLine="425"/>
        <w:rPr>
          <w:rFonts w:hint="eastAsia"/>
          <w:sz w:val="24"/>
          <w:szCs w:val="24"/>
        </w:rPr>
      </w:pPr>
      <w:r>
        <w:rPr>
          <w:rFonts w:hint="eastAsia"/>
          <w:sz w:val="24"/>
          <w:szCs w:val="24"/>
        </w:rPr>
        <w:t>成交额</w:t>
      </w:r>
      <w:r>
        <w:rPr>
          <w:rFonts w:hint="eastAsia"/>
          <w:sz w:val="24"/>
          <w:szCs w:val="24"/>
        </w:rPr>
        <w:t>=</w:t>
      </w:r>
      <w:r>
        <w:rPr>
          <w:rFonts w:hint="eastAsia"/>
          <w:sz w:val="24"/>
          <w:szCs w:val="24"/>
        </w:rPr>
        <w:t>交易单位</w:t>
      </w:r>
      <w:r>
        <w:rPr>
          <w:rFonts w:hint="eastAsia"/>
          <w:sz w:val="24"/>
          <w:szCs w:val="24"/>
        </w:rPr>
        <w:t>*</w:t>
      </w:r>
      <w:r>
        <w:rPr>
          <w:rFonts w:hint="eastAsia"/>
          <w:sz w:val="24"/>
          <w:szCs w:val="24"/>
        </w:rPr>
        <w:t>合约报价单位</w:t>
      </w:r>
      <w:r>
        <w:rPr>
          <w:rFonts w:hint="eastAsia"/>
          <w:sz w:val="24"/>
          <w:szCs w:val="24"/>
        </w:rPr>
        <w:t>*</w:t>
      </w:r>
      <w:r>
        <w:rPr>
          <w:rFonts w:hint="eastAsia"/>
          <w:sz w:val="24"/>
          <w:szCs w:val="24"/>
        </w:rPr>
        <w:t>成交量</w:t>
      </w:r>
      <w:r>
        <w:rPr>
          <w:rFonts w:hint="eastAsia"/>
          <w:sz w:val="24"/>
          <w:szCs w:val="24"/>
        </w:rPr>
        <w:t>*</w:t>
      </w:r>
      <w:r>
        <w:rPr>
          <w:rFonts w:hint="eastAsia"/>
          <w:sz w:val="24"/>
          <w:szCs w:val="24"/>
        </w:rPr>
        <w:t>收盘价</w:t>
      </w:r>
      <w:r>
        <w:rPr>
          <w:rFonts w:hint="eastAsia"/>
          <w:sz w:val="24"/>
          <w:szCs w:val="24"/>
        </w:rPr>
        <w:t>*</w:t>
      </w:r>
      <w:r>
        <w:rPr>
          <w:rFonts w:hint="eastAsia"/>
          <w:sz w:val="24"/>
          <w:szCs w:val="24"/>
        </w:rPr>
        <w:t>最低保证金比例</w:t>
      </w:r>
    </w:p>
    <w:p w:rsidR="00A80AE4" w:rsidRDefault="00A80AE4" w:rsidP="00D62EFF">
      <w:pPr>
        <w:spacing w:line="400" w:lineRule="exact"/>
        <w:ind w:firstLineChars="177" w:firstLine="425"/>
        <w:rPr>
          <w:rFonts w:hint="eastAsia"/>
          <w:sz w:val="24"/>
          <w:szCs w:val="24"/>
        </w:rPr>
      </w:pPr>
      <w:r>
        <w:rPr>
          <w:rFonts w:hint="eastAsia"/>
          <w:sz w:val="24"/>
          <w:szCs w:val="24"/>
        </w:rPr>
        <w:t>对上表进行调整后计算结果如下：</w:t>
      </w:r>
    </w:p>
    <w:p w:rsidR="00A80AE4" w:rsidRDefault="00A80AE4" w:rsidP="00D62EFF">
      <w:pPr>
        <w:spacing w:line="400" w:lineRule="exact"/>
        <w:ind w:firstLineChars="177" w:firstLine="425"/>
        <w:rPr>
          <w:rFonts w:hint="eastAsia"/>
          <w:sz w:val="24"/>
          <w:szCs w:val="24"/>
        </w:rPr>
      </w:pPr>
    </w:p>
    <w:tbl>
      <w:tblPr>
        <w:tblW w:w="5000" w:type="pct"/>
        <w:tblLook w:val="04A0" w:firstRow="1" w:lastRow="0" w:firstColumn="1" w:lastColumn="0" w:noHBand="0" w:noVBand="1"/>
      </w:tblPr>
      <w:tblGrid>
        <w:gridCol w:w="2088"/>
        <w:gridCol w:w="909"/>
        <w:gridCol w:w="1311"/>
        <w:gridCol w:w="773"/>
        <w:gridCol w:w="853"/>
        <w:gridCol w:w="1331"/>
        <w:gridCol w:w="1171"/>
      </w:tblGrid>
      <w:tr w:rsidR="00A80AE4" w:rsidRPr="00A80AE4" w:rsidTr="00A80AE4">
        <w:trPr>
          <w:trHeight w:val="312"/>
        </w:trPr>
        <w:tc>
          <w:tcPr>
            <w:tcW w:w="139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 xml:space="preserve">　</w:t>
            </w:r>
          </w:p>
        </w:tc>
        <w:tc>
          <w:tcPr>
            <w:tcW w:w="460" w:type="pct"/>
            <w:tcBorders>
              <w:top w:val="single" w:sz="8" w:space="0" w:color="auto"/>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交易单位</w:t>
            </w:r>
          </w:p>
        </w:tc>
        <w:tc>
          <w:tcPr>
            <w:tcW w:w="667" w:type="pct"/>
            <w:tcBorders>
              <w:top w:val="single" w:sz="8" w:space="0" w:color="auto"/>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合约报价单位</w:t>
            </w:r>
          </w:p>
        </w:tc>
        <w:tc>
          <w:tcPr>
            <w:tcW w:w="603" w:type="pct"/>
            <w:tcBorders>
              <w:top w:val="single" w:sz="8" w:space="0" w:color="auto"/>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成交量</w:t>
            </w:r>
          </w:p>
        </w:tc>
        <w:tc>
          <w:tcPr>
            <w:tcW w:w="603" w:type="pct"/>
            <w:tcBorders>
              <w:top w:val="single" w:sz="8" w:space="0" w:color="auto"/>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收盘价</w:t>
            </w:r>
          </w:p>
        </w:tc>
        <w:tc>
          <w:tcPr>
            <w:tcW w:w="603" w:type="pct"/>
            <w:tcBorders>
              <w:top w:val="single" w:sz="8" w:space="0" w:color="auto"/>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最低保证金比例</w:t>
            </w:r>
          </w:p>
        </w:tc>
        <w:tc>
          <w:tcPr>
            <w:tcW w:w="667" w:type="pct"/>
            <w:tcBorders>
              <w:top w:val="single" w:sz="8" w:space="0" w:color="auto"/>
              <w:left w:val="nil"/>
              <w:bottom w:val="single" w:sz="4" w:space="0" w:color="auto"/>
              <w:right w:val="single" w:sz="8"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成交</w:t>
            </w:r>
            <w:r w:rsidRPr="00A80AE4">
              <w:rPr>
                <w:rFonts w:ascii="宋体" w:eastAsia="宋体" w:hAnsi="宋体" w:cs="宋体" w:hint="eastAsia"/>
                <w:color w:val="000000"/>
                <w:kern w:val="0"/>
                <w:sz w:val="24"/>
                <w:szCs w:val="24"/>
              </w:rPr>
              <w:t>额(万</w:t>
            </w:r>
            <w:r>
              <w:rPr>
                <w:rFonts w:ascii="宋体" w:eastAsia="宋体" w:hAnsi="宋体" w:cs="宋体" w:hint="eastAsia"/>
                <w:color w:val="000000"/>
                <w:kern w:val="0"/>
                <w:sz w:val="24"/>
                <w:szCs w:val="24"/>
              </w:rPr>
              <w:t>元</w:t>
            </w:r>
            <w:r w:rsidRPr="00A80AE4">
              <w:rPr>
                <w:rFonts w:ascii="宋体" w:eastAsia="宋体" w:hAnsi="宋体" w:cs="宋体" w:hint="eastAsia"/>
                <w:color w:val="000000"/>
                <w:kern w:val="0"/>
                <w:sz w:val="24"/>
                <w:szCs w:val="24"/>
              </w:rPr>
              <w:t>)</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沪铜1703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5吨/手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righ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188630</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48040.00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6728AF"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noWrap/>
            <w:vAlign w:val="bottom"/>
            <w:hideMark/>
          </w:tcPr>
          <w:p w:rsidR="00A80AE4" w:rsidRPr="00A80AE4" w:rsidRDefault="00394187" w:rsidP="00394187">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498</w:t>
            </w:r>
            <w:r w:rsidR="00A80AE4" w:rsidRPr="00A80AE4">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391</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proofErr w:type="gramStart"/>
            <w:r w:rsidRPr="00A80AE4">
              <w:rPr>
                <w:rFonts w:ascii="宋体" w:eastAsia="宋体" w:hAnsi="宋体" w:cs="宋体" w:hint="eastAsia"/>
                <w:color w:val="000000"/>
                <w:kern w:val="0"/>
                <w:sz w:val="24"/>
                <w:szCs w:val="24"/>
              </w:rPr>
              <w:t>沪铝</w:t>
            </w:r>
            <w:proofErr w:type="gramEnd"/>
            <w:r w:rsidRPr="00A80AE4">
              <w:rPr>
                <w:rFonts w:ascii="宋体" w:eastAsia="宋体" w:hAnsi="宋体" w:cs="宋体" w:hint="eastAsia"/>
                <w:color w:val="000000"/>
                <w:kern w:val="0"/>
                <w:sz w:val="24"/>
                <w:szCs w:val="24"/>
              </w:rPr>
              <w:t>1703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5吨/手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280242</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13835.00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2D5689"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vAlign w:val="center"/>
            <w:hideMark/>
          </w:tcPr>
          <w:p w:rsidR="00A80AE4" w:rsidRPr="00A80AE4" w:rsidRDefault="002B532A" w:rsidP="002B532A">
            <w:pPr>
              <w:widowControl/>
              <w:jc w:val="right"/>
              <w:rPr>
                <w:rFonts w:ascii="宋体" w:eastAsia="宋体" w:hAnsi="宋体" w:cs="宋体"/>
                <w:color w:val="333333"/>
                <w:kern w:val="0"/>
                <w:sz w:val="24"/>
                <w:szCs w:val="24"/>
              </w:rPr>
            </w:pPr>
            <w:r>
              <w:rPr>
                <w:rFonts w:ascii="宋体" w:eastAsia="宋体" w:hAnsi="宋体" w:cs="宋体" w:hint="eastAsia"/>
                <w:color w:val="333333"/>
                <w:kern w:val="0"/>
                <w:sz w:val="24"/>
                <w:szCs w:val="24"/>
              </w:rPr>
              <w:t>213</w:t>
            </w:r>
            <w:r w:rsidR="00A80AE4" w:rsidRPr="00A80AE4">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243</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proofErr w:type="gramStart"/>
            <w:r w:rsidRPr="00A80AE4">
              <w:rPr>
                <w:rFonts w:ascii="宋体" w:eastAsia="宋体" w:hAnsi="宋体" w:cs="宋体" w:hint="eastAsia"/>
                <w:color w:val="000000"/>
                <w:kern w:val="0"/>
                <w:sz w:val="24"/>
                <w:szCs w:val="24"/>
              </w:rPr>
              <w:t>沪锌</w:t>
            </w:r>
            <w:proofErr w:type="gramEnd"/>
            <w:r w:rsidRPr="00A80AE4">
              <w:rPr>
                <w:rFonts w:ascii="宋体" w:eastAsia="宋体" w:hAnsi="宋体" w:cs="宋体" w:hint="eastAsia"/>
                <w:color w:val="000000"/>
                <w:kern w:val="0"/>
                <w:sz w:val="24"/>
                <w:szCs w:val="24"/>
              </w:rPr>
              <w:t>1703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5吨/手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377530</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23205.00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16545B"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vAlign w:val="center"/>
            <w:hideMark/>
          </w:tcPr>
          <w:p w:rsidR="00A80AE4" w:rsidRPr="00A80AE4" w:rsidRDefault="006B4E46" w:rsidP="006B4E46">
            <w:pPr>
              <w:widowControl/>
              <w:jc w:val="right"/>
              <w:rPr>
                <w:rFonts w:ascii="宋体" w:eastAsia="宋体" w:hAnsi="宋体" w:cs="宋体"/>
                <w:color w:val="333333"/>
                <w:kern w:val="0"/>
                <w:sz w:val="24"/>
                <w:szCs w:val="24"/>
              </w:rPr>
            </w:pPr>
            <w:r>
              <w:rPr>
                <w:rFonts w:ascii="宋体" w:eastAsia="宋体" w:hAnsi="宋体" w:cs="宋体" w:hint="eastAsia"/>
                <w:color w:val="333333"/>
                <w:kern w:val="0"/>
                <w:sz w:val="24"/>
                <w:szCs w:val="24"/>
              </w:rPr>
              <w:t>481</w:t>
            </w:r>
            <w:r w:rsidR="00A80AE4" w:rsidRPr="00A80AE4">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832</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proofErr w:type="gramStart"/>
            <w:r w:rsidRPr="00A80AE4">
              <w:rPr>
                <w:rFonts w:ascii="宋体" w:eastAsia="宋体" w:hAnsi="宋体" w:cs="宋体" w:hint="eastAsia"/>
                <w:color w:val="000000"/>
                <w:kern w:val="0"/>
                <w:sz w:val="24"/>
                <w:szCs w:val="24"/>
              </w:rPr>
              <w:lastRenderedPageBreak/>
              <w:t>沪铅</w:t>
            </w:r>
            <w:proofErr w:type="gramEnd"/>
            <w:r w:rsidRPr="00A80AE4">
              <w:rPr>
                <w:rFonts w:ascii="宋体" w:eastAsia="宋体" w:hAnsi="宋体" w:cs="宋体" w:hint="eastAsia"/>
                <w:color w:val="000000"/>
                <w:kern w:val="0"/>
                <w:sz w:val="24"/>
                <w:szCs w:val="24"/>
              </w:rPr>
              <w:t>1703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25吨/手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63892</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19015.00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944878"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vAlign w:val="center"/>
            <w:hideMark/>
          </w:tcPr>
          <w:p w:rsidR="00A80AE4" w:rsidRPr="00A80AE4" w:rsidRDefault="0077114C" w:rsidP="0077114C">
            <w:pPr>
              <w:widowControl/>
              <w:jc w:val="right"/>
              <w:rPr>
                <w:rFonts w:ascii="宋体" w:eastAsia="宋体" w:hAnsi="宋体" w:cs="宋体"/>
                <w:color w:val="333333"/>
                <w:kern w:val="0"/>
                <w:sz w:val="24"/>
                <w:szCs w:val="24"/>
              </w:rPr>
            </w:pPr>
            <w:r>
              <w:rPr>
                <w:rFonts w:ascii="宋体" w:eastAsia="宋体" w:hAnsi="宋体" w:cs="宋体" w:hint="eastAsia"/>
                <w:color w:val="333333"/>
                <w:kern w:val="0"/>
                <w:sz w:val="24"/>
                <w:szCs w:val="24"/>
              </w:rPr>
              <w:t>334</w:t>
            </w:r>
            <w:r w:rsidR="00A80AE4" w:rsidRPr="00A80AE4">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099</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沪金1706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1000克/手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元(人民币)/克</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142822</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267.60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134DB0"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10</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vAlign w:val="center"/>
            <w:hideMark/>
          </w:tcPr>
          <w:p w:rsidR="00A80AE4" w:rsidRPr="00A80AE4" w:rsidRDefault="001669A0" w:rsidP="001669A0">
            <w:pPr>
              <w:widowControl/>
              <w:jc w:val="right"/>
              <w:rPr>
                <w:rFonts w:ascii="宋体" w:eastAsia="宋体" w:hAnsi="宋体" w:cs="宋体"/>
                <w:color w:val="333333"/>
                <w:kern w:val="0"/>
                <w:sz w:val="24"/>
                <w:szCs w:val="24"/>
              </w:rPr>
            </w:pPr>
            <w:r>
              <w:rPr>
                <w:rFonts w:ascii="宋体" w:eastAsia="宋体" w:hAnsi="宋体" w:cs="宋体" w:hint="eastAsia"/>
                <w:color w:val="333333"/>
                <w:kern w:val="0"/>
                <w:sz w:val="24"/>
                <w:szCs w:val="24"/>
              </w:rPr>
              <w:t>382</w:t>
            </w:r>
            <w:r w:rsidR="00A80AE4" w:rsidRPr="00A80AE4">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191</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proofErr w:type="gramStart"/>
            <w:r w:rsidRPr="00A80AE4">
              <w:rPr>
                <w:rFonts w:ascii="宋体" w:eastAsia="宋体" w:hAnsi="宋体" w:cs="宋体" w:hint="eastAsia"/>
                <w:color w:val="000000"/>
                <w:kern w:val="0"/>
                <w:sz w:val="24"/>
                <w:szCs w:val="24"/>
              </w:rPr>
              <w:t>沪银</w:t>
            </w:r>
            <w:proofErr w:type="gramEnd"/>
            <w:r w:rsidRPr="00A80AE4">
              <w:rPr>
                <w:rFonts w:ascii="宋体" w:eastAsia="宋体" w:hAnsi="宋体" w:cs="宋体" w:hint="eastAsia"/>
                <w:color w:val="000000"/>
                <w:kern w:val="0"/>
                <w:sz w:val="24"/>
                <w:szCs w:val="24"/>
              </w:rPr>
              <w:t>1706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15千克/手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元(人民币)/千克</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396474</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4025.00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49074D"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vAlign w:val="center"/>
            <w:hideMark/>
          </w:tcPr>
          <w:p w:rsidR="00A80AE4" w:rsidRPr="00A80AE4" w:rsidRDefault="005D3FA1" w:rsidP="005D3FA1">
            <w:pPr>
              <w:widowControl/>
              <w:jc w:val="right"/>
              <w:rPr>
                <w:rFonts w:ascii="宋体" w:eastAsia="宋体" w:hAnsi="宋体" w:cs="宋体"/>
                <w:color w:val="333333"/>
                <w:kern w:val="0"/>
                <w:sz w:val="24"/>
                <w:szCs w:val="24"/>
              </w:rPr>
            </w:pPr>
            <w:r>
              <w:rPr>
                <w:rFonts w:ascii="宋体" w:eastAsia="宋体" w:hAnsi="宋体" w:cs="宋体" w:hint="eastAsia"/>
                <w:color w:val="333333"/>
                <w:kern w:val="0"/>
                <w:sz w:val="24"/>
                <w:szCs w:val="24"/>
              </w:rPr>
              <w:t>263</w:t>
            </w:r>
            <w:r w:rsidR="00A80AE4" w:rsidRPr="00A80AE4">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308</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沪螺纹钢1705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10吨/手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1896002</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333333"/>
                <w:kern w:val="0"/>
                <w:sz w:val="24"/>
                <w:szCs w:val="24"/>
              </w:rPr>
            </w:pPr>
            <w:r w:rsidRPr="00A80AE4">
              <w:rPr>
                <w:rFonts w:ascii="宋体" w:eastAsia="宋体" w:hAnsi="宋体" w:cs="宋体" w:hint="eastAsia"/>
                <w:color w:val="333333"/>
                <w:kern w:val="0"/>
                <w:sz w:val="24"/>
                <w:szCs w:val="24"/>
              </w:rPr>
              <w:t xml:space="preserve">3369.00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6559C1"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vAlign w:val="center"/>
            <w:hideMark/>
          </w:tcPr>
          <w:p w:rsidR="00A80AE4" w:rsidRPr="00A80AE4" w:rsidRDefault="00081206" w:rsidP="00081206">
            <w:pPr>
              <w:widowControl/>
              <w:jc w:val="right"/>
              <w:rPr>
                <w:rFonts w:ascii="宋体" w:eastAsia="宋体" w:hAnsi="宋体" w:cs="宋体"/>
                <w:color w:val="333333"/>
                <w:kern w:val="0"/>
                <w:sz w:val="24"/>
                <w:szCs w:val="24"/>
              </w:rPr>
            </w:pPr>
            <w:r>
              <w:rPr>
                <w:rFonts w:ascii="宋体" w:eastAsia="宋体" w:hAnsi="宋体" w:cs="宋体" w:hint="eastAsia"/>
                <w:color w:val="333333"/>
                <w:kern w:val="0"/>
                <w:sz w:val="24"/>
                <w:szCs w:val="24"/>
              </w:rPr>
              <w:t>702</w:t>
            </w:r>
            <w:r w:rsidR="00A80AE4" w:rsidRPr="00A80AE4">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639</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5E25A5" w:rsidP="00A80AE4">
            <w:pPr>
              <w:widowControl/>
              <w:jc w:val="left"/>
              <w:rPr>
                <w:rFonts w:ascii="宋体" w:eastAsia="宋体" w:hAnsi="宋体" w:cs="宋体"/>
                <w:color w:val="000000"/>
                <w:kern w:val="0"/>
                <w:sz w:val="24"/>
                <w:szCs w:val="24"/>
              </w:rPr>
            </w:pPr>
            <w:proofErr w:type="gramStart"/>
            <w:r>
              <w:rPr>
                <w:rFonts w:ascii="宋体" w:eastAsia="宋体" w:hAnsi="宋体" w:cs="宋体" w:hint="eastAsia"/>
                <w:color w:val="000000"/>
                <w:kern w:val="0"/>
                <w:sz w:val="24"/>
                <w:szCs w:val="24"/>
              </w:rPr>
              <w:t>郑</w:t>
            </w:r>
            <w:r w:rsidR="00A80AE4" w:rsidRPr="00A80AE4">
              <w:rPr>
                <w:rFonts w:ascii="宋体" w:eastAsia="宋体" w:hAnsi="宋体" w:cs="宋体" w:hint="eastAsia"/>
                <w:color w:val="000000"/>
                <w:kern w:val="0"/>
                <w:sz w:val="24"/>
                <w:szCs w:val="24"/>
              </w:rPr>
              <w:t>麦</w:t>
            </w:r>
            <w:proofErr w:type="gramEnd"/>
            <w:r w:rsidR="00A80AE4" w:rsidRPr="00A80AE4">
              <w:rPr>
                <w:rFonts w:ascii="宋体" w:eastAsia="宋体" w:hAnsi="宋体" w:cs="宋体" w:hint="eastAsia"/>
                <w:color w:val="000000"/>
                <w:kern w:val="0"/>
                <w:sz w:val="24"/>
                <w:szCs w:val="24"/>
              </w:rPr>
              <w:t>1705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20吨/手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righ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2,098</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222222"/>
                <w:kern w:val="0"/>
                <w:sz w:val="24"/>
                <w:szCs w:val="24"/>
              </w:rPr>
            </w:pPr>
            <w:r w:rsidRPr="00A80AE4">
              <w:rPr>
                <w:rFonts w:ascii="宋体" w:eastAsia="宋体" w:hAnsi="宋体" w:cs="宋体" w:hint="eastAsia"/>
                <w:color w:val="222222"/>
                <w:kern w:val="0"/>
                <w:sz w:val="24"/>
                <w:szCs w:val="24"/>
              </w:rPr>
              <w:t xml:space="preserve">3006.00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B15BD8"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10</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noWrap/>
            <w:vAlign w:val="bottom"/>
            <w:hideMark/>
          </w:tcPr>
          <w:p w:rsidR="00A80AE4" w:rsidRPr="00A80AE4" w:rsidRDefault="00D8151B" w:rsidP="00A80AE4">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1261</w:t>
            </w:r>
          </w:p>
        </w:tc>
      </w:tr>
      <w:tr w:rsidR="00A80AE4" w:rsidRPr="00A80AE4" w:rsidTr="00A80AE4">
        <w:trPr>
          <w:trHeight w:val="312"/>
        </w:trPr>
        <w:tc>
          <w:tcPr>
            <w:tcW w:w="1397" w:type="pct"/>
            <w:tcBorders>
              <w:top w:val="nil"/>
              <w:left w:val="single" w:sz="8" w:space="0" w:color="auto"/>
              <w:bottom w:val="single" w:sz="4" w:space="0" w:color="auto"/>
              <w:right w:val="single" w:sz="4" w:space="0" w:color="auto"/>
            </w:tcBorders>
            <w:shd w:val="clear" w:color="auto" w:fill="auto"/>
            <w:noWrap/>
            <w:vAlign w:val="bottom"/>
            <w:hideMark/>
          </w:tcPr>
          <w:p w:rsidR="00A80AE4" w:rsidRPr="00A80AE4" w:rsidRDefault="005E25A5" w:rsidP="00A80AE4">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郑棉</w:t>
            </w:r>
            <w:r w:rsidR="00A80AE4" w:rsidRPr="00A80AE4">
              <w:rPr>
                <w:rFonts w:ascii="宋体" w:eastAsia="宋体" w:hAnsi="宋体" w:cs="宋体" w:hint="eastAsia"/>
                <w:color w:val="000000"/>
                <w:kern w:val="0"/>
                <w:sz w:val="24"/>
                <w:szCs w:val="24"/>
              </w:rPr>
              <w:t>1705  2017-01-26</w:t>
            </w:r>
          </w:p>
        </w:tc>
        <w:tc>
          <w:tcPr>
            <w:tcW w:w="460"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5吨/手</w:t>
            </w:r>
          </w:p>
        </w:tc>
        <w:tc>
          <w:tcPr>
            <w:tcW w:w="667"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A80AE4" w:rsidP="00A80AE4">
            <w:pPr>
              <w:widowControl/>
              <w:jc w:val="righ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95,640</w:t>
            </w:r>
          </w:p>
        </w:tc>
        <w:tc>
          <w:tcPr>
            <w:tcW w:w="603" w:type="pct"/>
            <w:tcBorders>
              <w:top w:val="nil"/>
              <w:left w:val="nil"/>
              <w:bottom w:val="single" w:sz="4"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222222"/>
                <w:kern w:val="0"/>
                <w:sz w:val="24"/>
                <w:szCs w:val="24"/>
              </w:rPr>
            </w:pPr>
            <w:r w:rsidRPr="00A80AE4">
              <w:rPr>
                <w:rFonts w:ascii="宋体" w:eastAsia="宋体" w:hAnsi="宋体" w:cs="宋体" w:hint="eastAsia"/>
                <w:color w:val="222222"/>
                <w:kern w:val="0"/>
                <w:sz w:val="24"/>
                <w:szCs w:val="24"/>
              </w:rPr>
              <w:t xml:space="preserve">15665.00 </w:t>
            </w:r>
          </w:p>
        </w:tc>
        <w:tc>
          <w:tcPr>
            <w:tcW w:w="603" w:type="pct"/>
            <w:tcBorders>
              <w:top w:val="nil"/>
              <w:left w:val="nil"/>
              <w:bottom w:val="single" w:sz="4" w:space="0" w:color="auto"/>
              <w:right w:val="single" w:sz="4" w:space="0" w:color="auto"/>
            </w:tcBorders>
            <w:shd w:val="clear" w:color="auto" w:fill="auto"/>
            <w:noWrap/>
            <w:vAlign w:val="bottom"/>
            <w:hideMark/>
          </w:tcPr>
          <w:p w:rsidR="00A80AE4" w:rsidRPr="00A80AE4" w:rsidRDefault="00EF3278"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10</w:t>
            </w:r>
            <w:r w:rsidR="00A80AE4" w:rsidRPr="00A80AE4">
              <w:rPr>
                <w:rFonts w:ascii="宋体" w:eastAsia="宋体" w:hAnsi="宋体" w:cs="宋体" w:hint="eastAsia"/>
                <w:color w:val="000000"/>
                <w:kern w:val="0"/>
                <w:sz w:val="22"/>
              </w:rPr>
              <w:t>%</w:t>
            </w:r>
          </w:p>
        </w:tc>
        <w:tc>
          <w:tcPr>
            <w:tcW w:w="667" w:type="pct"/>
            <w:tcBorders>
              <w:top w:val="nil"/>
              <w:left w:val="nil"/>
              <w:bottom w:val="single" w:sz="4" w:space="0" w:color="auto"/>
              <w:right w:val="single" w:sz="8" w:space="0" w:color="auto"/>
            </w:tcBorders>
            <w:shd w:val="clear" w:color="auto" w:fill="auto"/>
            <w:noWrap/>
            <w:vAlign w:val="bottom"/>
            <w:hideMark/>
          </w:tcPr>
          <w:p w:rsidR="00A80AE4" w:rsidRPr="00A80AE4" w:rsidRDefault="00CC2939" w:rsidP="00CC2939">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74</w:t>
            </w:r>
            <w:r w:rsidR="00A80AE4" w:rsidRPr="00A80AE4">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910</w:t>
            </w:r>
          </w:p>
        </w:tc>
      </w:tr>
      <w:tr w:rsidR="00A80AE4" w:rsidRPr="00A80AE4" w:rsidTr="00A80AE4">
        <w:trPr>
          <w:trHeight w:val="324"/>
        </w:trPr>
        <w:tc>
          <w:tcPr>
            <w:tcW w:w="1397" w:type="pct"/>
            <w:tcBorders>
              <w:top w:val="nil"/>
              <w:left w:val="single" w:sz="8" w:space="0" w:color="auto"/>
              <w:bottom w:val="single" w:sz="8"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郑玻璃1705  2017-01-26</w:t>
            </w:r>
          </w:p>
        </w:tc>
        <w:tc>
          <w:tcPr>
            <w:tcW w:w="460" w:type="pct"/>
            <w:tcBorders>
              <w:top w:val="nil"/>
              <w:left w:val="nil"/>
              <w:bottom w:val="single" w:sz="8"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20吨/手</w:t>
            </w:r>
          </w:p>
        </w:tc>
        <w:tc>
          <w:tcPr>
            <w:tcW w:w="667" w:type="pct"/>
            <w:tcBorders>
              <w:top w:val="nil"/>
              <w:left w:val="nil"/>
              <w:bottom w:val="single" w:sz="8" w:space="0" w:color="auto"/>
              <w:right w:val="single" w:sz="4" w:space="0" w:color="auto"/>
            </w:tcBorders>
            <w:shd w:val="clear" w:color="auto" w:fill="auto"/>
            <w:noWrap/>
            <w:vAlign w:val="bottom"/>
            <w:hideMark/>
          </w:tcPr>
          <w:p w:rsidR="00A80AE4" w:rsidRPr="00A80AE4" w:rsidRDefault="00A80AE4" w:rsidP="00A80AE4">
            <w:pPr>
              <w:widowControl/>
              <w:jc w:val="left"/>
              <w:rPr>
                <w:rFonts w:ascii="宋体" w:eastAsia="宋体" w:hAnsi="宋体" w:cs="宋体"/>
                <w:color w:val="000000"/>
                <w:kern w:val="0"/>
                <w:sz w:val="22"/>
              </w:rPr>
            </w:pPr>
            <w:r w:rsidRPr="00A80AE4">
              <w:rPr>
                <w:rFonts w:ascii="宋体" w:eastAsia="宋体" w:hAnsi="宋体" w:cs="宋体" w:hint="eastAsia"/>
                <w:color w:val="000000"/>
                <w:kern w:val="0"/>
                <w:sz w:val="22"/>
              </w:rPr>
              <w:t>元(人民币/吨)</w:t>
            </w:r>
          </w:p>
        </w:tc>
        <w:tc>
          <w:tcPr>
            <w:tcW w:w="603" w:type="pct"/>
            <w:tcBorders>
              <w:top w:val="nil"/>
              <w:left w:val="nil"/>
              <w:bottom w:val="single" w:sz="8" w:space="0" w:color="auto"/>
              <w:right w:val="single" w:sz="4" w:space="0" w:color="auto"/>
            </w:tcBorders>
            <w:shd w:val="clear" w:color="auto" w:fill="auto"/>
            <w:noWrap/>
            <w:vAlign w:val="bottom"/>
            <w:hideMark/>
          </w:tcPr>
          <w:p w:rsidR="00A80AE4" w:rsidRPr="00A80AE4" w:rsidRDefault="00A80AE4" w:rsidP="00A80AE4">
            <w:pPr>
              <w:widowControl/>
              <w:jc w:val="right"/>
              <w:rPr>
                <w:rFonts w:ascii="宋体" w:eastAsia="宋体" w:hAnsi="宋体" w:cs="宋体"/>
                <w:color w:val="000000"/>
                <w:kern w:val="0"/>
                <w:sz w:val="24"/>
                <w:szCs w:val="24"/>
              </w:rPr>
            </w:pPr>
            <w:r w:rsidRPr="00A80AE4">
              <w:rPr>
                <w:rFonts w:ascii="宋体" w:eastAsia="宋体" w:hAnsi="宋体" w:cs="宋体" w:hint="eastAsia"/>
                <w:color w:val="000000"/>
                <w:kern w:val="0"/>
                <w:sz w:val="24"/>
                <w:szCs w:val="24"/>
              </w:rPr>
              <w:t>192,204</w:t>
            </w:r>
          </w:p>
        </w:tc>
        <w:tc>
          <w:tcPr>
            <w:tcW w:w="603" w:type="pct"/>
            <w:tcBorders>
              <w:top w:val="nil"/>
              <w:left w:val="nil"/>
              <w:bottom w:val="single" w:sz="8" w:space="0" w:color="auto"/>
              <w:right w:val="single" w:sz="4" w:space="0" w:color="auto"/>
            </w:tcBorders>
            <w:shd w:val="clear" w:color="auto" w:fill="auto"/>
            <w:vAlign w:val="center"/>
            <w:hideMark/>
          </w:tcPr>
          <w:p w:rsidR="00A80AE4" w:rsidRPr="00A80AE4" w:rsidRDefault="00A80AE4" w:rsidP="00A80AE4">
            <w:pPr>
              <w:widowControl/>
              <w:jc w:val="right"/>
              <w:rPr>
                <w:rFonts w:ascii="宋体" w:eastAsia="宋体" w:hAnsi="宋体" w:cs="宋体"/>
                <w:color w:val="222222"/>
                <w:kern w:val="0"/>
                <w:sz w:val="24"/>
                <w:szCs w:val="24"/>
              </w:rPr>
            </w:pPr>
            <w:r w:rsidRPr="00A80AE4">
              <w:rPr>
                <w:rFonts w:ascii="宋体" w:eastAsia="宋体" w:hAnsi="宋体" w:cs="宋体" w:hint="eastAsia"/>
                <w:color w:val="222222"/>
                <w:kern w:val="0"/>
                <w:sz w:val="24"/>
                <w:szCs w:val="24"/>
              </w:rPr>
              <w:t xml:space="preserve">1323.00 </w:t>
            </w:r>
          </w:p>
        </w:tc>
        <w:tc>
          <w:tcPr>
            <w:tcW w:w="603" w:type="pct"/>
            <w:tcBorders>
              <w:top w:val="nil"/>
              <w:left w:val="nil"/>
              <w:bottom w:val="single" w:sz="8" w:space="0" w:color="auto"/>
              <w:right w:val="single" w:sz="4" w:space="0" w:color="auto"/>
            </w:tcBorders>
            <w:shd w:val="clear" w:color="auto" w:fill="auto"/>
            <w:noWrap/>
            <w:vAlign w:val="bottom"/>
            <w:hideMark/>
          </w:tcPr>
          <w:p w:rsidR="00A80AE4" w:rsidRPr="00A80AE4" w:rsidRDefault="00B15BD8" w:rsidP="00A80AE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10</w:t>
            </w:r>
            <w:r w:rsidR="00A80AE4" w:rsidRPr="00A80AE4">
              <w:rPr>
                <w:rFonts w:ascii="宋体" w:eastAsia="宋体" w:hAnsi="宋体" w:cs="宋体" w:hint="eastAsia"/>
                <w:color w:val="000000"/>
                <w:kern w:val="0"/>
                <w:sz w:val="22"/>
              </w:rPr>
              <w:t>%</w:t>
            </w:r>
          </w:p>
        </w:tc>
        <w:tc>
          <w:tcPr>
            <w:tcW w:w="667" w:type="pct"/>
            <w:tcBorders>
              <w:top w:val="nil"/>
              <w:left w:val="nil"/>
              <w:bottom w:val="single" w:sz="8" w:space="0" w:color="auto"/>
              <w:right w:val="single" w:sz="8" w:space="0" w:color="auto"/>
            </w:tcBorders>
            <w:shd w:val="clear" w:color="auto" w:fill="auto"/>
            <w:noWrap/>
            <w:vAlign w:val="bottom"/>
            <w:hideMark/>
          </w:tcPr>
          <w:p w:rsidR="00A80AE4" w:rsidRPr="00A80AE4" w:rsidRDefault="00A8679F" w:rsidP="00A8679F">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50</w:t>
            </w:r>
            <w:r w:rsidR="00A80AE4" w:rsidRPr="00A80AE4">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857</w:t>
            </w:r>
          </w:p>
        </w:tc>
      </w:tr>
    </w:tbl>
    <w:p w:rsidR="00A80AE4" w:rsidRDefault="00A80AE4" w:rsidP="00D62EFF">
      <w:pPr>
        <w:spacing w:line="400" w:lineRule="exact"/>
        <w:ind w:firstLineChars="177" w:firstLine="425"/>
        <w:rPr>
          <w:rFonts w:hint="eastAsia"/>
          <w:sz w:val="24"/>
          <w:szCs w:val="24"/>
        </w:rPr>
      </w:pPr>
      <w:r>
        <w:rPr>
          <w:rFonts w:hint="eastAsia"/>
          <w:sz w:val="24"/>
          <w:szCs w:val="24"/>
        </w:rPr>
        <w:t>表</w:t>
      </w:r>
      <w:r>
        <w:rPr>
          <w:rFonts w:hint="eastAsia"/>
          <w:sz w:val="24"/>
          <w:szCs w:val="24"/>
        </w:rPr>
        <w:t>X</w:t>
      </w:r>
      <w:r>
        <w:rPr>
          <w:rFonts w:hint="eastAsia"/>
          <w:sz w:val="24"/>
          <w:szCs w:val="24"/>
        </w:rPr>
        <w:t>：</w:t>
      </w:r>
      <w:r w:rsidR="000B34A3">
        <w:rPr>
          <w:rFonts w:hint="eastAsia"/>
          <w:sz w:val="24"/>
          <w:szCs w:val="24"/>
        </w:rPr>
        <w:t>上期所</w:t>
      </w:r>
      <w:proofErr w:type="gramStart"/>
      <w:r w:rsidR="000B34A3">
        <w:rPr>
          <w:rFonts w:hint="eastAsia"/>
          <w:sz w:val="24"/>
          <w:szCs w:val="24"/>
        </w:rPr>
        <w:t>与郑期所</w:t>
      </w:r>
      <w:proofErr w:type="gramEnd"/>
      <w:r w:rsidR="000B34A3">
        <w:rPr>
          <w:rFonts w:hint="eastAsia"/>
          <w:sz w:val="24"/>
          <w:szCs w:val="24"/>
        </w:rPr>
        <w:t>部分商品主力合约成交额，数据来源作者计算</w:t>
      </w:r>
    </w:p>
    <w:p w:rsidR="00A80AE4" w:rsidRDefault="000B34A3" w:rsidP="00D62EFF">
      <w:pPr>
        <w:spacing w:line="400" w:lineRule="exact"/>
        <w:ind w:firstLineChars="177" w:firstLine="425"/>
        <w:rPr>
          <w:rFonts w:hint="eastAsia"/>
          <w:sz w:val="24"/>
          <w:szCs w:val="24"/>
        </w:rPr>
      </w:pPr>
      <w:r>
        <w:rPr>
          <w:rFonts w:hint="eastAsia"/>
          <w:sz w:val="24"/>
          <w:szCs w:val="24"/>
        </w:rPr>
        <w:t>从成交额分析</w:t>
      </w:r>
      <w:r>
        <w:rPr>
          <w:sz w:val="24"/>
          <w:szCs w:val="24"/>
        </w:rPr>
        <w:t>，商品的成交量排名前三的商品如下：</w:t>
      </w:r>
    </w:p>
    <w:p w:rsidR="00A80AE4" w:rsidRDefault="000B34A3" w:rsidP="00D62EFF">
      <w:pPr>
        <w:spacing w:line="400" w:lineRule="exact"/>
        <w:ind w:firstLineChars="177" w:firstLine="425"/>
        <w:rPr>
          <w:sz w:val="24"/>
          <w:szCs w:val="24"/>
        </w:rPr>
      </w:pPr>
      <w:r w:rsidRPr="00A80AE4">
        <w:rPr>
          <w:rFonts w:ascii="宋体" w:eastAsia="宋体" w:hAnsi="宋体" w:cs="宋体" w:hint="eastAsia"/>
          <w:color w:val="000000"/>
          <w:kern w:val="0"/>
          <w:sz w:val="24"/>
          <w:szCs w:val="24"/>
        </w:rPr>
        <w:t>沪螺纹钢</w:t>
      </w:r>
      <w:r>
        <w:rPr>
          <w:rFonts w:ascii="宋体" w:eastAsia="宋体" w:hAnsi="宋体" w:cs="宋体" w:hint="eastAsia"/>
          <w:color w:val="000000"/>
          <w:kern w:val="0"/>
          <w:sz w:val="24"/>
          <w:szCs w:val="24"/>
        </w:rPr>
        <w:t>（</w:t>
      </w:r>
      <w:r w:rsidR="00801BA2">
        <w:rPr>
          <w:rFonts w:ascii="宋体" w:eastAsia="宋体" w:hAnsi="宋体" w:cs="宋体" w:hint="eastAsia"/>
          <w:color w:val="333333"/>
          <w:kern w:val="0"/>
          <w:sz w:val="24"/>
          <w:szCs w:val="24"/>
        </w:rPr>
        <w:t>702639</w:t>
      </w:r>
      <w:r>
        <w:rPr>
          <w:rFonts w:ascii="宋体" w:eastAsia="宋体" w:hAnsi="宋体" w:cs="宋体" w:hint="eastAsia"/>
          <w:color w:val="333333"/>
          <w:kern w:val="0"/>
          <w:sz w:val="24"/>
          <w:szCs w:val="24"/>
        </w:rPr>
        <w:t>万元</w:t>
      </w:r>
      <w:r>
        <w:rPr>
          <w:rFonts w:ascii="宋体" w:eastAsia="宋体" w:hAnsi="宋体" w:cs="宋体" w:hint="eastAsia"/>
          <w:color w:val="000000"/>
          <w:kern w:val="0"/>
          <w:sz w:val="24"/>
          <w:szCs w:val="24"/>
        </w:rPr>
        <w:t>）</w:t>
      </w:r>
      <w:r w:rsidR="00801BA2">
        <w:rPr>
          <w:rFonts w:ascii="宋体" w:eastAsia="宋体" w:hAnsi="宋体" w:cs="宋体" w:hint="eastAsia"/>
          <w:color w:val="000000"/>
          <w:kern w:val="0"/>
          <w:sz w:val="24"/>
          <w:szCs w:val="24"/>
        </w:rPr>
        <w:t>&gt;</w:t>
      </w:r>
      <w:r w:rsidR="00801BA2" w:rsidRPr="00A80AE4">
        <w:rPr>
          <w:rFonts w:ascii="宋体" w:eastAsia="宋体" w:hAnsi="宋体" w:cs="宋体" w:hint="eastAsia"/>
          <w:color w:val="000000"/>
          <w:kern w:val="0"/>
          <w:sz w:val="24"/>
          <w:szCs w:val="24"/>
        </w:rPr>
        <w:t>沪铜</w:t>
      </w:r>
      <w:r w:rsidR="00801BA2">
        <w:rPr>
          <w:rFonts w:ascii="宋体" w:eastAsia="宋体" w:hAnsi="宋体" w:cs="宋体" w:hint="eastAsia"/>
          <w:color w:val="000000"/>
          <w:kern w:val="0"/>
          <w:sz w:val="24"/>
          <w:szCs w:val="24"/>
        </w:rPr>
        <w:t>(498391万元)</w:t>
      </w:r>
      <w:r>
        <w:rPr>
          <w:rFonts w:ascii="宋体" w:eastAsia="宋体" w:hAnsi="宋体" w:cs="宋体" w:hint="eastAsia"/>
          <w:color w:val="000000"/>
          <w:kern w:val="0"/>
          <w:sz w:val="24"/>
          <w:szCs w:val="24"/>
        </w:rPr>
        <w:t>&gt;</w:t>
      </w:r>
      <w:proofErr w:type="gramStart"/>
      <w:r>
        <w:rPr>
          <w:rFonts w:ascii="宋体" w:eastAsia="宋体" w:hAnsi="宋体" w:cs="宋体" w:hint="eastAsia"/>
          <w:color w:val="000000"/>
          <w:kern w:val="0"/>
          <w:sz w:val="24"/>
          <w:szCs w:val="24"/>
        </w:rPr>
        <w:t>沪</w:t>
      </w:r>
      <w:r w:rsidR="007955B7" w:rsidRPr="00A80AE4">
        <w:rPr>
          <w:rFonts w:ascii="宋体" w:eastAsia="宋体" w:hAnsi="宋体" w:cs="宋体" w:hint="eastAsia"/>
          <w:color w:val="000000"/>
          <w:kern w:val="0"/>
          <w:sz w:val="24"/>
          <w:szCs w:val="24"/>
        </w:rPr>
        <w:t>锌</w:t>
      </w:r>
      <w:proofErr w:type="gramEnd"/>
      <w:r>
        <w:rPr>
          <w:rFonts w:ascii="宋体" w:eastAsia="宋体" w:hAnsi="宋体" w:cs="宋体" w:hint="eastAsia"/>
          <w:color w:val="000000"/>
          <w:kern w:val="0"/>
          <w:sz w:val="24"/>
          <w:szCs w:val="24"/>
        </w:rPr>
        <w:t>(</w:t>
      </w:r>
      <w:r w:rsidR="007955B7">
        <w:rPr>
          <w:rFonts w:ascii="宋体" w:eastAsia="宋体" w:hAnsi="宋体" w:cs="宋体" w:hint="eastAsia"/>
          <w:color w:val="333333"/>
          <w:kern w:val="0"/>
          <w:sz w:val="24"/>
          <w:szCs w:val="24"/>
        </w:rPr>
        <w:t>481832</w:t>
      </w:r>
      <w:r>
        <w:rPr>
          <w:rFonts w:ascii="宋体" w:eastAsia="宋体" w:hAnsi="宋体" w:cs="宋体" w:hint="eastAsia"/>
          <w:color w:val="333333"/>
          <w:kern w:val="0"/>
          <w:sz w:val="24"/>
          <w:szCs w:val="24"/>
        </w:rPr>
        <w:t>万元</w:t>
      </w:r>
      <w:r>
        <w:rPr>
          <w:rFonts w:ascii="宋体" w:eastAsia="宋体" w:hAnsi="宋体" w:cs="宋体" w:hint="eastAsia"/>
          <w:color w:val="000000"/>
          <w:kern w:val="0"/>
          <w:sz w:val="24"/>
          <w:szCs w:val="24"/>
        </w:rPr>
        <w:t>)</w:t>
      </w:r>
    </w:p>
    <w:p w:rsidR="00852475" w:rsidRDefault="00852475" w:rsidP="00852475">
      <w:pPr>
        <w:spacing w:line="400" w:lineRule="exact"/>
        <w:ind w:firstLineChars="177" w:firstLine="425"/>
        <w:rPr>
          <w:rFonts w:hint="eastAsia"/>
          <w:sz w:val="24"/>
          <w:szCs w:val="24"/>
        </w:rPr>
      </w:pPr>
      <w:r>
        <w:rPr>
          <w:rFonts w:hint="eastAsia"/>
          <w:sz w:val="24"/>
          <w:szCs w:val="24"/>
        </w:rPr>
        <w:t>成交额可以直观的体现出该商品可以容纳的资金容量。如果我们假设对某个商品投入的资金量对大盘的扰动是下图的假设关系：</w:t>
      </w:r>
    </w:p>
    <w:p w:rsidR="00852475" w:rsidRDefault="00852475" w:rsidP="00852475">
      <w:pPr>
        <w:spacing w:line="400" w:lineRule="exact"/>
        <w:ind w:firstLineChars="177" w:firstLine="372"/>
        <w:rPr>
          <w:rFonts w:hint="eastAsia"/>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25pt;margin-top:16.8pt;width:364.2pt;height:165.6pt;z-index:251659264;mso-position-horizontal-relative:text;mso-position-vertical-relative:text">
            <v:imagedata r:id="rId13" o:title=""/>
            <w10:wrap type="square"/>
          </v:shape>
          <o:OLEObject Type="Embed" ProgID="Visio.Drawing.11" ShapeID="_x0000_s1027" DrawAspect="Content" ObjectID="_1547328431" r:id="rId14"/>
        </w:pict>
      </w:r>
    </w:p>
    <w:p w:rsidR="00852475" w:rsidRDefault="00852475" w:rsidP="00852475">
      <w:pPr>
        <w:spacing w:line="400" w:lineRule="exact"/>
        <w:ind w:firstLineChars="177" w:firstLine="425"/>
        <w:rPr>
          <w:rFonts w:hint="eastAsia"/>
          <w:sz w:val="24"/>
          <w:szCs w:val="24"/>
        </w:rPr>
      </w:pPr>
      <w:r>
        <w:rPr>
          <w:rFonts w:hint="eastAsia"/>
          <w:sz w:val="24"/>
          <w:szCs w:val="24"/>
        </w:rPr>
        <w:t>图</w:t>
      </w:r>
      <w:r>
        <w:rPr>
          <w:rFonts w:hint="eastAsia"/>
          <w:sz w:val="24"/>
          <w:szCs w:val="24"/>
        </w:rPr>
        <w:t>X:</w:t>
      </w:r>
      <w:r>
        <w:rPr>
          <w:rFonts w:hint="eastAsia"/>
          <w:sz w:val="24"/>
          <w:szCs w:val="24"/>
        </w:rPr>
        <w:t>对单个商品投入的资金占该商品当日成交额的比率与市场扰动关系</w:t>
      </w:r>
    </w:p>
    <w:p w:rsidR="00852475" w:rsidRDefault="006C479F" w:rsidP="009F5B8F">
      <w:pPr>
        <w:spacing w:line="400" w:lineRule="exact"/>
        <w:ind w:firstLineChars="177" w:firstLine="425"/>
        <w:rPr>
          <w:rFonts w:hint="eastAsia"/>
          <w:sz w:val="24"/>
          <w:szCs w:val="24"/>
        </w:rPr>
      </w:pPr>
      <w:r>
        <w:rPr>
          <w:rFonts w:hint="eastAsia"/>
          <w:sz w:val="24"/>
          <w:szCs w:val="24"/>
        </w:rPr>
        <w:t>我们简单假设存在一个临界点</w:t>
      </w:r>
      <w:r>
        <w:rPr>
          <w:rFonts w:hint="eastAsia"/>
          <w:sz w:val="24"/>
          <w:szCs w:val="24"/>
        </w:rPr>
        <w:t>P</w:t>
      </w:r>
      <w:r>
        <w:rPr>
          <w:rFonts w:hint="eastAsia"/>
          <w:sz w:val="24"/>
          <w:szCs w:val="24"/>
        </w:rPr>
        <w:t>，如果单个商品投入的资金占该商品当日成交额的比率在此比率之下，则市场不会收到扰动，则既定的交易策略可以不受</w:t>
      </w:r>
      <w:r>
        <w:rPr>
          <w:rFonts w:hint="eastAsia"/>
          <w:sz w:val="24"/>
          <w:szCs w:val="24"/>
        </w:rPr>
        <w:lastRenderedPageBreak/>
        <w:t>阻碍的实现；如果单个商品投入的资金占该商品当日成交额的比率超过了</w:t>
      </w:r>
      <w:proofErr w:type="spellStart"/>
      <w:r>
        <w:rPr>
          <w:rFonts w:hint="eastAsia"/>
          <w:sz w:val="24"/>
          <w:szCs w:val="24"/>
        </w:rPr>
        <w:t>P</w:t>
      </w:r>
      <w:proofErr w:type="spellEnd"/>
      <w:r>
        <w:rPr>
          <w:rFonts w:hint="eastAsia"/>
          <w:sz w:val="24"/>
          <w:szCs w:val="24"/>
        </w:rPr>
        <w:t>点则市场会受到扰动，使原本符合既定交易策略的市场环境不复存在，进而造成亏损。</w:t>
      </w:r>
    </w:p>
    <w:p w:rsidR="006C479F" w:rsidRPr="006C479F" w:rsidRDefault="006C479F" w:rsidP="006C479F">
      <w:pPr>
        <w:spacing w:line="400" w:lineRule="exact"/>
        <w:ind w:firstLineChars="177" w:firstLine="425"/>
        <w:rPr>
          <w:rFonts w:hint="eastAsia"/>
          <w:sz w:val="24"/>
          <w:szCs w:val="24"/>
        </w:rPr>
      </w:pPr>
      <w:r>
        <w:rPr>
          <w:rFonts w:hint="eastAsia"/>
          <w:sz w:val="24"/>
          <w:szCs w:val="24"/>
        </w:rPr>
        <w:t>关于此</w:t>
      </w:r>
      <w:r>
        <w:rPr>
          <w:rFonts w:hint="eastAsia"/>
          <w:sz w:val="24"/>
          <w:szCs w:val="24"/>
        </w:rPr>
        <w:t>P</w:t>
      </w:r>
      <w:r>
        <w:rPr>
          <w:rFonts w:hint="eastAsia"/>
          <w:sz w:val="24"/>
          <w:szCs w:val="24"/>
        </w:rPr>
        <w:t>点的值是一个偏实践性的数值，并没有精确的方法可以去计算出一个标准</w:t>
      </w:r>
      <w:proofErr w:type="gramStart"/>
      <w:r>
        <w:rPr>
          <w:rFonts w:hint="eastAsia"/>
          <w:sz w:val="24"/>
          <w:szCs w:val="24"/>
        </w:rPr>
        <w:t>的值供大家</w:t>
      </w:r>
      <w:proofErr w:type="gramEnd"/>
      <w:r>
        <w:rPr>
          <w:rFonts w:hint="eastAsia"/>
          <w:sz w:val="24"/>
          <w:szCs w:val="24"/>
        </w:rPr>
        <w:t>参考。并且对此</w:t>
      </w:r>
      <w:r>
        <w:rPr>
          <w:rFonts w:hint="eastAsia"/>
          <w:sz w:val="24"/>
          <w:szCs w:val="24"/>
        </w:rPr>
        <w:t>P</w:t>
      </w:r>
      <w:r>
        <w:rPr>
          <w:rFonts w:hint="eastAsia"/>
          <w:sz w:val="24"/>
          <w:szCs w:val="24"/>
        </w:rPr>
        <w:t>点的见解有很大的争论，部分投资者的投资策略是力争对市场无扰动，使得投资策略可以在市场稳定的情况下获得应有收益；而另一部分投资者会考虑如何突破</w:t>
      </w:r>
      <w:proofErr w:type="spellStart"/>
      <w:r>
        <w:rPr>
          <w:rFonts w:hint="eastAsia"/>
          <w:sz w:val="24"/>
          <w:szCs w:val="24"/>
        </w:rPr>
        <w:t>P</w:t>
      </w:r>
      <w:proofErr w:type="spellEnd"/>
      <w:r>
        <w:rPr>
          <w:rFonts w:hint="eastAsia"/>
          <w:sz w:val="24"/>
          <w:szCs w:val="24"/>
        </w:rPr>
        <w:t>点，对市场进行充分的扰动，然后在扰动中进行获利。这也可以从另一方面</w:t>
      </w:r>
      <w:r w:rsidR="008726AA">
        <w:rPr>
          <w:rFonts w:hint="eastAsia"/>
          <w:sz w:val="24"/>
          <w:szCs w:val="24"/>
        </w:rPr>
        <w:t>解释</w:t>
      </w:r>
      <w:r>
        <w:rPr>
          <w:rFonts w:hint="eastAsia"/>
          <w:sz w:val="24"/>
          <w:szCs w:val="24"/>
        </w:rPr>
        <w:t>在中国股票市场或者其他市场尚未发展完全的时代，为什么</w:t>
      </w:r>
      <w:r w:rsidR="004E0F3A">
        <w:rPr>
          <w:rFonts w:hint="eastAsia"/>
          <w:sz w:val="24"/>
          <w:szCs w:val="24"/>
        </w:rPr>
        <w:t>价值投资</w:t>
      </w:r>
      <w:r>
        <w:rPr>
          <w:rFonts w:hint="eastAsia"/>
          <w:sz w:val="24"/>
          <w:szCs w:val="24"/>
        </w:rPr>
        <w:t>性的股票偏向与大盘股，而游资性的资金喜欢小盘股</w:t>
      </w:r>
      <w:r w:rsidR="005B383F">
        <w:rPr>
          <w:rFonts w:hint="eastAsia"/>
          <w:sz w:val="24"/>
          <w:szCs w:val="24"/>
        </w:rPr>
        <w:t>。</w:t>
      </w:r>
    </w:p>
    <w:p w:rsidR="009F5B8F" w:rsidRPr="009F5B8F" w:rsidRDefault="00F252C5" w:rsidP="009F5B8F">
      <w:pPr>
        <w:spacing w:line="400" w:lineRule="exact"/>
        <w:ind w:firstLineChars="177" w:firstLine="425"/>
        <w:rPr>
          <w:sz w:val="24"/>
          <w:szCs w:val="24"/>
        </w:rPr>
      </w:pPr>
      <w:r>
        <w:rPr>
          <w:sz w:val="24"/>
          <w:szCs w:val="24"/>
        </w:rPr>
        <w:t>以上的数据来源于期货市场，</w:t>
      </w:r>
      <w:r w:rsidR="00F6525D">
        <w:rPr>
          <w:sz w:val="24"/>
          <w:szCs w:val="24"/>
        </w:rPr>
        <w:t>但是得出的结论</w:t>
      </w:r>
      <w:r>
        <w:rPr>
          <w:sz w:val="24"/>
          <w:szCs w:val="24"/>
        </w:rPr>
        <w:t>也适用于其他的市场</w:t>
      </w:r>
      <w:r w:rsidR="00276B71">
        <w:rPr>
          <w:sz w:val="24"/>
          <w:szCs w:val="24"/>
        </w:rPr>
        <w:t>，如股票市场、外汇市场、期权市场等</w:t>
      </w:r>
      <w:r>
        <w:rPr>
          <w:sz w:val="24"/>
          <w:szCs w:val="24"/>
        </w:rPr>
        <w:t>。</w:t>
      </w:r>
    </w:p>
    <w:p w:rsidR="0021076A" w:rsidRPr="00581A00" w:rsidRDefault="00581A00" w:rsidP="00581A00">
      <w:pPr>
        <w:pStyle w:val="2"/>
        <w:numPr>
          <w:ilvl w:val="2"/>
          <w:numId w:val="3"/>
        </w:numPr>
        <w:spacing w:line="400" w:lineRule="exact"/>
        <w:jc w:val="center"/>
        <w:rPr>
          <w:rFonts w:ascii="黑体" w:eastAsia="黑体" w:hAnsi="黑体"/>
          <w:sz w:val="30"/>
          <w:szCs w:val="30"/>
        </w:rPr>
      </w:pPr>
      <w:r w:rsidRPr="00581A00">
        <w:rPr>
          <w:rFonts w:ascii="黑体" w:eastAsia="黑体" w:hAnsi="黑体" w:hint="eastAsia"/>
          <w:sz w:val="30"/>
          <w:szCs w:val="30"/>
        </w:rPr>
        <w:t>交易成本对于高频交易的影响</w:t>
      </w:r>
    </w:p>
    <w:p w:rsidR="00581A00" w:rsidRDefault="00A74366" w:rsidP="00F6525D">
      <w:pPr>
        <w:spacing w:line="400" w:lineRule="exact"/>
        <w:ind w:firstLineChars="177" w:firstLine="425"/>
        <w:rPr>
          <w:rFonts w:hint="eastAsia"/>
          <w:sz w:val="24"/>
          <w:szCs w:val="24"/>
        </w:rPr>
      </w:pPr>
      <w:r w:rsidRPr="00F6525D">
        <w:rPr>
          <w:rFonts w:hint="eastAsia"/>
          <w:sz w:val="24"/>
          <w:szCs w:val="24"/>
        </w:rPr>
        <w:t>交易成本</w:t>
      </w:r>
      <w:r w:rsidR="00AF782D">
        <w:rPr>
          <w:rFonts w:hint="eastAsia"/>
          <w:sz w:val="24"/>
          <w:szCs w:val="24"/>
        </w:rPr>
        <w:t>（</w:t>
      </w:r>
      <w:r w:rsidR="00AF782D">
        <w:rPr>
          <w:rFonts w:hint="eastAsia"/>
          <w:sz w:val="24"/>
          <w:szCs w:val="24"/>
        </w:rPr>
        <w:t>T</w:t>
      </w:r>
      <w:r w:rsidR="00AF782D" w:rsidRPr="00AF782D">
        <w:rPr>
          <w:sz w:val="24"/>
          <w:szCs w:val="24"/>
        </w:rPr>
        <w:t xml:space="preserve">ransaction </w:t>
      </w:r>
      <w:r w:rsidR="00AF782D">
        <w:rPr>
          <w:sz w:val="24"/>
          <w:szCs w:val="24"/>
        </w:rPr>
        <w:t>C</w:t>
      </w:r>
      <w:r w:rsidR="00AF782D" w:rsidRPr="00AF782D">
        <w:rPr>
          <w:sz w:val="24"/>
          <w:szCs w:val="24"/>
        </w:rPr>
        <w:t>ost</w:t>
      </w:r>
      <w:r w:rsidR="00AF782D">
        <w:rPr>
          <w:rFonts w:hint="eastAsia"/>
          <w:sz w:val="24"/>
          <w:szCs w:val="24"/>
        </w:rPr>
        <w:t>）</w:t>
      </w:r>
      <w:r w:rsidR="00F6525D" w:rsidRPr="00F6525D">
        <w:rPr>
          <w:rFonts w:hint="eastAsia"/>
          <w:sz w:val="24"/>
          <w:szCs w:val="24"/>
        </w:rPr>
        <w:t>又称为交易费用</w:t>
      </w:r>
      <w:r w:rsidR="009447C8">
        <w:rPr>
          <w:rFonts w:hint="eastAsia"/>
          <w:sz w:val="24"/>
          <w:szCs w:val="24"/>
        </w:rPr>
        <w:t>，是指在完成一笔交易时，交易双方在买卖前后所产生的各种与此交易相关的成本。</w:t>
      </w:r>
      <w:r w:rsidR="00AF782D">
        <w:rPr>
          <w:rFonts w:hint="eastAsia"/>
          <w:sz w:val="24"/>
          <w:szCs w:val="24"/>
        </w:rPr>
        <w:t>此成本并非仅仅指与货币有关的成本，而且也包含了时间成本、机会成本等。</w:t>
      </w:r>
      <w:r w:rsidR="00AF782D">
        <w:rPr>
          <w:sz w:val="24"/>
          <w:szCs w:val="24"/>
        </w:rPr>
        <w:t>在</w:t>
      </w:r>
      <w:r w:rsidR="00AF782D">
        <w:rPr>
          <w:rFonts w:hint="eastAsia"/>
          <w:sz w:val="24"/>
          <w:szCs w:val="24"/>
        </w:rPr>
        <w:t>1975</w:t>
      </w:r>
      <w:r w:rsidR="00AF782D">
        <w:rPr>
          <w:rFonts w:hint="eastAsia"/>
          <w:sz w:val="24"/>
          <w:szCs w:val="24"/>
        </w:rPr>
        <w:t>年</w:t>
      </w:r>
      <w:r w:rsidR="00AF782D" w:rsidRPr="00AF782D">
        <w:rPr>
          <w:sz w:val="24"/>
          <w:szCs w:val="24"/>
        </w:rPr>
        <w:t>Williamson</w:t>
      </w:r>
      <w:r w:rsidR="00AF782D">
        <w:rPr>
          <w:rFonts w:hint="eastAsia"/>
          <w:sz w:val="24"/>
          <w:szCs w:val="24"/>
        </w:rPr>
        <w:t>指出交易成本可以区分为如下几项内容：搜寻成本、信息成本、议价成本、决策成本、监督成本。</w:t>
      </w:r>
      <w:r w:rsidR="00AF782D">
        <w:rPr>
          <w:rFonts w:hint="eastAsia"/>
          <w:sz w:val="24"/>
          <w:szCs w:val="24"/>
        </w:rPr>
        <w:t>1985</w:t>
      </w:r>
      <w:r w:rsidR="00AF782D">
        <w:rPr>
          <w:rFonts w:hint="eastAsia"/>
          <w:sz w:val="24"/>
          <w:szCs w:val="24"/>
        </w:rPr>
        <w:t>年</w:t>
      </w:r>
      <w:r w:rsidR="00AF782D" w:rsidRPr="00AF782D">
        <w:rPr>
          <w:sz w:val="24"/>
          <w:szCs w:val="24"/>
        </w:rPr>
        <w:t>Williamson</w:t>
      </w:r>
      <w:r w:rsidR="00AF782D">
        <w:rPr>
          <w:sz w:val="24"/>
          <w:szCs w:val="24"/>
        </w:rPr>
        <w:t>进一步将交易成本加以整理区分为事前时候两个大类，事前交易成本含签约、谈判、保障契约等成本，事后成本含契约不能适用而导致的成本。</w:t>
      </w:r>
    </w:p>
    <w:p w:rsidR="00AF782D" w:rsidRDefault="00AF782D" w:rsidP="00F6525D">
      <w:pPr>
        <w:spacing w:line="400" w:lineRule="exact"/>
        <w:ind w:firstLineChars="177" w:firstLine="425"/>
        <w:rPr>
          <w:rFonts w:hint="eastAsia"/>
          <w:sz w:val="24"/>
          <w:szCs w:val="24"/>
        </w:rPr>
      </w:pPr>
      <w:r>
        <w:rPr>
          <w:rFonts w:hint="eastAsia"/>
          <w:sz w:val="24"/>
          <w:szCs w:val="24"/>
        </w:rPr>
        <w:t>高频交易的交易成本种类比较多，我们可以总结为如下几类：准入资格成本、交易费用成本、软硬件设备成本、附属运营成本。</w:t>
      </w:r>
    </w:p>
    <w:p w:rsidR="00AF782D" w:rsidRDefault="00AF782D" w:rsidP="00F6525D">
      <w:pPr>
        <w:spacing w:line="400" w:lineRule="exact"/>
        <w:ind w:firstLineChars="177" w:firstLine="425"/>
        <w:rPr>
          <w:rFonts w:hint="eastAsia"/>
          <w:sz w:val="24"/>
          <w:szCs w:val="24"/>
        </w:rPr>
      </w:pPr>
      <w:r>
        <w:rPr>
          <w:rFonts w:hint="eastAsia"/>
          <w:sz w:val="24"/>
          <w:szCs w:val="24"/>
        </w:rPr>
        <w:t>准入资格成本是指获得高频交易准入资格的成本。高频交易有多种形式，初级的可以采用第三方系统的方式，例如交易开拓者、金字塔、文</w:t>
      </w:r>
      <w:proofErr w:type="gramStart"/>
      <w:r>
        <w:rPr>
          <w:rFonts w:hint="eastAsia"/>
          <w:sz w:val="24"/>
          <w:szCs w:val="24"/>
        </w:rPr>
        <w:t>华赢顺</w:t>
      </w:r>
      <w:proofErr w:type="gramEnd"/>
      <w:r>
        <w:rPr>
          <w:rFonts w:hint="eastAsia"/>
          <w:sz w:val="24"/>
          <w:szCs w:val="24"/>
        </w:rPr>
        <w:t>等软件，较高级的方式可以直连上期所</w:t>
      </w:r>
      <w:r>
        <w:rPr>
          <w:rFonts w:hint="eastAsia"/>
          <w:sz w:val="24"/>
          <w:szCs w:val="24"/>
        </w:rPr>
        <w:t>CTP</w:t>
      </w:r>
      <w:r>
        <w:rPr>
          <w:rFonts w:hint="eastAsia"/>
          <w:sz w:val="24"/>
          <w:szCs w:val="24"/>
        </w:rPr>
        <w:t>接口，当前最新的模式是</w:t>
      </w:r>
      <w:proofErr w:type="gramStart"/>
      <w:r>
        <w:rPr>
          <w:rFonts w:hint="eastAsia"/>
          <w:sz w:val="24"/>
          <w:szCs w:val="24"/>
        </w:rPr>
        <w:t>采用优矿等</w:t>
      </w:r>
      <w:proofErr w:type="gramEnd"/>
      <w:r>
        <w:rPr>
          <w:rFonts w:hint="eastAsia"/>
          <w:sz w:val="24"/>
          <w:szCs w:val="24"/>
        </w:rPr>
        <w:t>互联网量化交易平台。仅从费用方面</w:t>
      </w:r>
      <w:proofErr w:type="gramStart"/>
      <w:r>
        <w:rPr>
          <w:rFonts w:hint="eastAsia"/>
          <w:sz w:val="24"/>
          <w:szCs w:val="24"/>
        </w:rPr>
        <w:t>考量</w:t>
      </w:r>
      <w:proofErr w:type="gramEnd"/>
      <w:r>
        <w:rPr>
          <w:rFonts w:hint="eastAsia"/>
          <w:sz w:val="24"/>
          <w:szCs w:val="24"/>
        </w:rPr>
        <w:t>：</w:t>
      </w:r>
    </w:p>
    <w:tbl>
      <w:tblPr>
        <w:tblW w:w="5000" w:type="pct"/>
        <w:tblLook w:val="04A0" w:firstRow="1" w:lastRow="0" w:firstColumn="1" w:lastColumn="0" w:noHBand="0" w:noVBand="1"/>
      </w:tblPr>
      <w:tblGrid>
        <w:gridCol w:w="2063"/>
        <w:gridCol w:w="6373"/>
      </w:tblGrid>
      <w:tr w:rsidR="00AF782D" w:rsidRPr="00AF782D" w:rsidTr="00AF782D">
        <w:trPr>
          <w:trHeight w:val="288"/>
        </w:trPr>
        <w:tc>
          <w:tcPr>
            <w:tcW w:w="1188"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 xml:space="preserve">　</w:t>
            </w:r>
          </w:p>
        </w:tc>
        <w:tc>
          <w:tcPr>
            <w:tcW w:w="3812" w:type="pct"/>
            <w:tcBorders>
              <w:top w:val="single" w:sz="8" w:space="0" w:color="auto"/>
              <w:left w:val="nil"/>
              <w:bottom w:val="single" w:sz="4" w:space="0" w:color="auto"/>
              <w:right w:val="single" w:sz="8"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准入费用</w:t>
            </w:r>
          </w:p>
        </w:tc>
      </w:tr>
      <w:tr w:rsidR="00AF782D" w:rsidRPr="00AF782D" w:rsidTr="00AF782D">
        <w:trPr>
          <w:trHeight w:val="288"/>
        </w:trPr>
        <w:tc>
          <w:tcPr>
            <w:tcW w:w="1188" w:type="pct"/>
            <w:tcBorders>
              <w:top w:val="nil"/>
              <w:left w:val="single" w:sz="8" w:space="0" w:color="auto"/>
              <w:bottom w:val="single" w:sz="4" w:space="0" w:color="auto"/>
              <w:right w:val="single" w:sz="4"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交易开拓者</w:t>
            </w:r>
          </w:p>
        </w:tc>
        <w:tc>
          <w:tcPr>
            <w:tcW w:w="3812" w:type="pct"/>
            <w:tcBorders>
              <w:top w:val="nil"/>
              <w:left w:val="nil"/>
              <w:bottom w:val="single" w:sz="4" w:space="0" w:color="auto"/>
              <w:right w:val="single" w:sz="8"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期货账户入金10万，交易费用按交易所费用的25%比例收费</w:t>
            </w:r>
          </w:p>
        </w:tc>
      </w:tr>
      <w:tr w:rsidR="00AF782D" w:rsidRPr="00AF782D" w:rsidTr="00AF782D">
        <w:trPr>
          <w:trHeight w:val="288"/>
        </w:trPr>
        <w:tc>
          <w:tcPr>
            <w:tcW w:w="1188" w:type="pct"/>
            <w:tcBorders>
              <w:top w:val="nil"/>
              <w:left w:val="single" w:sz="8" w:space="0" w:color="auto"/>
              <w:bottom w:val="single" w:sz="4" w:space="0" w:color="auto"/>
              <w:right w:val="single" w:sz="4"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proofErr w:type="gramStart"/>
            <w:r w:rsidRPr="00AF782D">
              <w:rPr>
                <w:rFonts w:ascii="宋体" w:eastAsia="宋体" w:hAnsi="宋体" w:cs="宋体" w:hint="eastAsia"/>
                <w:color w:val="000000"/>
                <w:kern w:val="0"/>
                <w:sz w:val="22"/>
              </w:rPr>
              <w:t>文华盈智</w:t>
            </w:r>
            <w:proofErr w:type="gramEnd"/>
          </w:p>
        </w:tc>
        <w:tc>
          <w:tcPr>
            <w:tcW w:w="3812" w:type="pct"/>
            <w:tcBorders>
              <w:top w:val="nil"/>
              <w:left w:val="nil"/>
              <w:bottom w:val="single" w:sz="4" w:space="0" w:color="auto"/>
              <w:right w:val="single" w:sz="8"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按年收费，1800元/年</w:t>
            </w:r>
          </w:p>
        </w:tc>
      </w:tr>
      <w:tr w:rsidR="00AF782D" w:rsidRPr="00AF782D" w:rsidTr="00AF782D">
        <w:trPr>
          <w:trHeight w:val="288"/>
        </w:trPr>
        <w:tc>
          <w:tcPr>
            <w:tcW w:w="1188" w:type="pct"/>
            <w:tcBorders>
              <w:top w:val="nil"/>
              <w:left w:val="single" w:sz="8" w:space="0" w:color="auto"/>
              <w:bottom w:val="single" w:sz="4" w:space="0" w:color="auto"/>
              <w:right w:val="single" w:sz="4"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lastRenderedPageBreak/>
              <w:t>金字塔决策交易系统</w:t>
            </w:r>
          </w:p>
        </w:tc>
        <w:tc>
          <w:tcPr>
            <w:tcW w:w="3812" w:type="pct"/>
            <w:tcBorders>
              <w:top w:val="nil"/>
              <w:left w:val="nil"/>
              <w:bottom w:val="single" w:sz="4" w:space="0" w:color="auto"/>
              <w:right w:val="single" w:sz="8"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按年与模块收费，标准版2800元/年，机构版28000元/年</w:t>
            </w:r>
          </w:p>
        </w:tc>
      </w:tr>
      <w:tr w:rsidR="00AF782D" w:rsidRPr="00AF782D" w:rsidTr="00AF782D">
        <w:trPr>
          <w:trHeight w:val="300"/>
        </w:trPr>
        <w:tc>
          <w:tcPr>
            <w:tcW w:w="1188" w:type="pct"/>
            <w:tcBorders>
              <w:top w:val="nil"/>
              <w:left w:val="single" w:sz="8" w:space="0" w:color="auto"/>
              <w:bottom w:val="single" w:sz="8" w:space="0" w:color="auto"/>
              <w:right w:val="single" w:sz="4"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 xml:space="preserve">上期所CTP </w:t>
            </w:r>
          </w:p>
        </w:tc>
        <w:tc>
          <w:tcPr>
            <w:tcW w:w="3812" w:type="pct"/>
            <w:tcBorders>
              <w:top w:val="nil"/>
              <w:left w:val="nil"/>
              <w:bottom w:val="single" w:sz="8" w:space="0" w:color="auto"/>
              <w:right w:val="single" w:sz="8" w:space="0" w:color="auto"/>
            </w:tcBorders>
            <w:shd w:val="clear" w:color="auto" w:fill="auto"/>
            <w:noWrap/>
            <w:vAlign w:val="bottom"/>
            <w:hideMark/>
          </w:tcPr>
          <w:p w:rsidR="00AF782D" w:rsidRPr="00AF782D" w:rsidRDefault="00AF782D" w:rsidP="00AF782D">
            <w:pPr>
              <w:widowControl/>
              <w:jc w:val="left"/>
              <w:rPr>
                <w:rFonts w:ascii="宋体" w:eastAsia="宋体" w:hAnsi="宋体" w:cs="宋体"/>
                <w:color w:val="000000"/>
                <w:kern w:val="0"/>
                <w:sz w:val="22"/>
              </w:rPr>
            </w:pPr>
            <w:r w:rsidRPr="00AF782D">
              <w:rPr>
                <w:rFonts w:ascii="宋体" w:eastAsia="宋体" w:hAnsi="宋体" w:cs="宋体" w:hint="eastAsia"/>
                <w:color w:val="000000"/>
                <w:kern w:val="0"/>
                <w:sz w:val="22"/>
              </w:rPr>
              <w:t>不同期货公司的价格不同，笔者所在的期货公司要求账户入金100万</w:t>
            </w:r>
          </w:p>
        </w:tc>
      </w:tr>
    </w:tbl>
    <w:p w:rsidR="003B6D46" w:rsidRDefault="003B6D46" w:rsidP="00F6525D">
      <w:pPr>
        <w:spacing w:line="400" w:lineRule="exact"/>
        <w:ind w:firstLineChars="177" w:firstLine="425"/>
        <w:rPr>
          <w:rFonts w:hint="eastAsia"/>
          <w:sz w:val="24"/>
          <w:szCs w:val="24"/>
        </w:rPr>
      </w:pPr>
      <w:r>
        <w:rPr>
          <w:rFonts w:hint="eastAsia"/>
          <w:sz w:val="24"/>
          <w:szCs w:val="24"/>
        </w:rPr>
        <w:t>表</w:t>
      </w:r>
      <w:r>
        <w:rPr>
          <w:rFonts w:hint="eastAsia"/>
          <w:sz w:val="24"/>
          <w:szCs w:val="24"/>
        </w:rPr>
        <w:t>X</w:t>
      </w:r>
      <w:r>
        <w:rPr>
          <w:rFonts w:hint="eastAsia"/>
          <w:sz w:val="24"/>
          <w:szCs w:val="24"/>
        </w:rPr>
        <w:t>：不同接入方式的准入费用，数据来源相关公司询价</w:t>
      </w:r>
    </w:p>
    <w:p w:rsidR="00AF782D" w:rsidRPr="00AF782D" w:rsidRDefault="00AF782D" w:rsidP="00F6525D">
      <w:pPr>
        <w:spacing w:line="400" w:lineRule="exact"/>
        <w:ind w:firstLineChars="177" w:firstLine="425"/>
        <w:rPr>
          <w:rFonts w:hint="eastAsia"/>
          <w:sz w:val="24"/>
          <w:szCs w:val="24"/>
        </w:rPr>
      </w:pPr>
      <w:r>
        <w:rPr>
          <w:rFonts w:hint="eastAsia"/>
          <w:sz w:val="24"/>
          <w:szCs w:val="24"/>
        </w:rPr>
        <w:t>在费用方面，不同的接入方式费用差距很大，这是在进入高频交易领域时不得不考虑的一点。可以从投资者的多个方面来综合</w:t>
      </w:r>
      <w:proofErr w:type="gramStart"/>
      <w:r>
        <w:rPr>
          <w:rFonts w:hint="eastAsia"/>
          <w:sz w:val="24"/>
          <w:szCs w:val="24"/>
        </w:rPr>
        <w:t>考量</w:t>
      </w:r>
      <w:proofErr w:type="gramEnd"/>
      <w:r>
        <w:rPr>
          <w:rFonts w:hint="eastAsia"/>
          <w:sz w:val="24"/>
          <w:szCs w:val="24"/>
        </w:rPr>
        <w:t>：初始资金是否充足</w:t>
      </w:r>
      <w:r w:rsidR="00074783">
        <w:rPr>
          <w:rFonts w:hint="eastAsia"/>
          <w:sz w:val="24"/>
          <w:szCs w:val="24"/>
        </w:rPr>
        <w:t>、</w:t>
      </w:r>
      <w:r>
        <w:rPr>
          <w:rFonts w:hint="eastAsia"/>
          <w:sz w:val="24"/>
          <w:szCs w:val="24"/>
        </w:rPr>
        <w:t>收费方式倾向于按年收费或者按交易收费</w:t>
      </w:r>
      <w:r w:rsidR="00074783">
        <w:rPr>
          <w:rFonts w:hint="eastAsia"/>
          <w:sz w:val="24"/>
          <w:szCs w:val="24"/>
        </w:rPr>
        <w:t>、</w:t>
      </w:r>
      <w:r>
        <w:rPr>
          <w:rFonts w:hint="eastAsia"/>
          <w:sz w:val="24"/>
          <w:szCs w:val="24"/>
        </w:rPr>
        <w:t>是否有独立模块需求</w:t>
      </w:r>
      <w:r w:rsidR="00074783">
        <w:rPr>
          <w:rFonts w:hint="eastAsia"/>
          <w:sz w:val="24"/>
          <w:szCs w:val="24"/>
        </w:rPr>
        <w:t>、</w:t>
      </w:r>
      <w:r>
        <w:rPr>
          <w:rFonts w:hint="eastAsia"/>
          <w:sz w:val="24"/>
          <w:szCs w:val="24"/>
        </w:rPr>
        <w:t>是否有自行研发交易系统的能力</w:t>
      </w:r>
      <w:r w:rsidR="00074783">
        <w:rPr>
          <w:rFonts w:hint="eastAsia"/>
          <w:sz w:val="24"/>
          <w:szCs w:val="24"/>
        </w:rPr>
        <w:t>、学习并掌握此系统所需的时间成本等</w:t>
      </w:r>
      <w:r>
        <w:rPr>
          <w:rFonts w:hint="eastAsia"/>
          <w:sz w:val="24"/>
          <w:szCs w:val="24"/>
        </w:rPr>
        <w:t>。</w:t>
      </w:r>
    </w:p>
    <w:p w:rsidR="00AF782D" w:rsidRDefault="00AF782D" w:rsidP="00F6525D">
      <w:pPr>
        <w:spacing w:line="400" w:lineRule="exact"/>
        <w:ind w:firstLineChars="177" w:firstLine="425"/>
        <w:rPr>
          <w:rFonts w:hint="eastAsia"/>
          <w:sz w:val="24"/>
          <w:szCs w:val="24"/>
        </w:rPr>
      </w:pPr>
    </w:p>
    <w:p w:rsidR="00074783" w:rsidRDefault="00074783" w:rsidP="00F6525D">
      <w:pPr>
        <w:spacing w:line="400" w:lineRule="exact"/>
        <w:ind w:firstLineChars="177" w:firstLine="425"/>
        <w:rPr>
          <w:rFonts w:hint="eastAsia"/>
          <w:sz w:val="24"/>
          <w:szCs w:val="24"/>
        </w:rPr>
      </w:pPr>
      <w:r>
        <w:rPr>
          <w:rFonts w:hint="eastAsia"/>
          <w:sz w:val="24"/>
          <w:szCs w:val="24"/>
        </w:rPr>
        <w:t>交易费用成本是指每进行一次交易所需要付出的成本</w:t>
      </w:r>
      <w:r w:rsidR="004701A6">
        <w:rPr>
          <w:rFonts w:hint="eastAsia"/>
          <w:sz w:val="24"/>
          <w:szCs w:val="24"/>
        </w:rPr>
        <w:t>，此成本与多个因素</w:t>
      </w:r>
      <w:r w:rsidR="00253FE4">
        <w:rPr>
          <w:rFonts w:hint="eastAsia"/>
          <w:sz w:val="24"/>
          <w:szCs w:val="24"/>
        </w:rPr>
        <w:t>相关</w:t>
      </w:r>
      <w:r w:rsidR="004701A6">
        <w:rPr>
          <w:rFonts w:hint="eastAsia"/>
          <w:sz w:val="24"/>
          <w:szCs w:val="24"/>
        </w:rPr>
        <w:t>：商品种类、期货公司或证券公司优惠、</w:t>
      </w:r>
      <w:r w:rsidR="00253FE4">
        <w:rPr>
          <w:rFonts w:hint="eastAsia"/>
          <w:sz w:val="24"/>
          <w:szCs w:val="24"/>
        </w:rPr>
        <w:t>交易系统成本等方面构成</w:t>
      </w:r>
      <w:r w:rsidR="00A74A87">
        <w:rPr>
          <w:rFonts w:hint="eastAsia"/>
          <w:sz w:val="24"/>
          <w:szCs w:val="24"/>
        </w:rPr>
        <w:t>。</w:t>
      </w:r>
    </w:p>
    <w:p w:rsidR="00AF782D" w:rsidRDefault="00A74A87" w:rsidP="00F6525D">
      <w:pPr>
        <w:spacing w:line="400" w:lineRule="exact"/>
        <w:ind w:firstLineChars="177" w:firstLine="425"/>
        <w:rPr>
          <w:rFonts w:hint="eastAsia"/>
          <w:sz w:val="24"/>
          <w:szCs w:val="24"/>
        </w:rPr>
      </w:pPr>
      <w:r>
        <w:rPr>
          <w:rFonts w:hint="eastAsia"/>
          <w:sz w:val="24"/>
          <w:szCs w:val="24"/>
        </w:rPr>
        <w:t>我们假设所有投资者的议价能力是一致的，可以从期货公司以及软件提供商处得到一致的最低的优惠（</w:t>
      </w:r>
      <w:r w:rsidR="006B7437">
        <w:rPr>
          <w:rFonts w:hint="eastAsia"/>
          <w:sz w:val="24"/>
          <w:szCs w:val="24"/>
        </w:rPr>
        <w:t>实际操作中</w:t>
      </w:r>
      <w:r w:rsidR="00403B35">
        <w:rPr>
          <w:rFonts w:hint="eastAsia"/>
          <w:sz w:val="24"/>
          <w:szCs w:val="24"/>
        </w:rPr>
        <w:t>上</w:t>
      </w:r>
      <w:r w:rsidR="006B7437">
        <w:rPr>
          <w:rFonts w:hint="eastAsia"/>
          <w:sz w:val="24"/>
          <w:szCs w:val="24"/>
        </w:rPr>
        <w:t>一般</w:t>
      </w:r>
      <w:r w:rsidR="00403B35">
        <w:rPr>
          <w:rFonts w:hint="eastAsia"/>
          <w:sz w:val="24"/>
          <w:szCs w:val="24"/>
        </w:rPr>
        <w:t>是交易费用的</w:t>
      </w:r>
      <w:r w:rsidR="00403B35">
        <w:rPr>
          <w:rFonts w:hint="eastAsia"/>
          <w:sz w:val="24"/>
          <w:szCs w:val="24"/>
        </w:rPr>
        <w:t>25%</w:t>
      </w:r>
      <w:r w:rsidR="001F611F">
        <w:rPr>
          <w:rFonts w:hint="eastAsia"/>
          <w:sz w:val="24"/>
          <w:szCs w:val="24"/>
        </w:rPr>
        <w:t>左右，即实际付出成本</w:t>
      </w:r>
      <w:r w:rsidR="001F611F">
        <w:rPr>
          <w:rFonts w:hint="eastAsia"/>
          <w:sz w:val="24"/>
          <w:szCs w:val="24"/>
        </w:rPr>
        <w:t>=</w:t>
      </w:r>
      <w:r w:rsidR="001F611F">
        <w:rPr>
          <w:rFonts w:hint="eastAsia"/>
          <w:sz w:val="24"/>
          <w:szCs w:val="24"/>
        </w:rPr>
        <w:t>期货公司收取佣金</w:t>
      </w:r>
      <w:r w:rsidR="001F611F">
        <w:rPr>
          <w:rFonts w:hint="eastAsia"/>
          <w:sz w:val="24"/>
          <w:szCs w:val="24"/>
        </w:rPr>
        <w:t>+</w:t>
      </w:r>
      <w:r w:rsidR="001F611F">
        <w:rPr>
          <w:rFonts w:hint="eastAsia"/>
          <w:sz w:val="24"/>
          <w:szCs w:val="24"/>
        </w:rPr>
        <w:t>软件供应商佣金</w:t>
      </w:r>
      <w:r w:rsidR="001F611F">
        <w:rPr>
          <w:rFonts w:hint="eastAsia"/>
          <w:sz w:val="24"/>
          <w:szCs w:val="24"/>
        </w:rPr>
        <w:t>+</w:t>
      </w:r>
      <w:r w:rsidR="001F611F">
        <w:rPr>
          <w:rFonts w:hint="eastAsia"/>
          <w:sz w:val="24"/>
          <w:szCs w:val="24"/>
        </w:rPr>
        <w:t>交易费用</w:t>
      </w:r>
      <w:r w:rsidR="001F611F">
        <w:rPr>
          <w:rFonts w:hint="eastAsia"/>
          <w:sz w:val="24"/>
          <w:szCs w:val="24"/>
        </w:rPr>
        <w:t>=1.</w:t>
      </w:r>
      <w:r w:rsidR="00BA664C">
        <w:rPr>
          <w:rFonts w:hint="eastAsia"/>
          <w:sz w:val="24"/>
          <w:szCs w:val="24"/>
        </w:rPr>
        <w:t>5</w:t>
      </w:r>
      <w:r w:rsidR="001F611F">
        <w:rPr>
          <w:rFonts w:hint="eastAsia"/>
          <w:sz w:val="24"/>
          <w:szCs w:val="24"/>
        </w:rPr>
        <w:t>*</w:t>
      </w:r>
      <w:r w:rsidR="001F611F">
        <w:rPr>
          <w:rFonts w:hint="eastAsia"/>
          <w:sz w:val="24"/>
          <w:szCs w:val="24"/>
        </w:rPr>
        <w:t>交易费用，此处的参数</w:t>
      </w:r>
      <w:r w:rsidR="001F611F">
        <w:rPr>
          <w:rFonts w:hint="eastAsia"/>
          <w:sz w:val="24"/>
          <w:szCs w:val="24"/>
        </w:rPr>
        <w:t>1.</w:t>
      </w:r>
      <w:r w:rsidR="00BA664C">
        <w:rPr>
          <w:rFonts w:hint="eastAsia"/>
          <w:sz w:val="24"/>
          <w:szCs w:val="24"/>
        </w:rPr>
        <w:t>5</w:t>
      </w:r>
      <w:r w:rsidR="001F611F">
        <w:rPr>
          <w:rFonts w:hint="eastAsia"/>
          <w:sz w:val="24"/>
          <w:szCs w:val="24"/>
        </w:rPr>
        <w:t>会随着期货公司不同而不同</w:t>
      </w:r>
      <w:r>
        <w:rPr>
          <w:rFonts w:hint="eastAsia"/>
          <w:sz w:val="24"/>
          <w:szCs w:val="24"/>
        </w:rPr>
        <w:t>），</w:t>
      </w:r>
      <w:r w:rsidR="001F611F">
        <w:rPr>
          <w:rFonts w:hint="eastAsia"/>
          <w:sz w:val="24"/>
          <w:szCs w:val="24"/>
        </w:rPr>
        <w:t>那么</w:t>
      </w:r>
      <w:r>
        <w:rPr>
          <w:rFonts w:hint="eastAsia"/>
          <w:sz w:val="24"/>
          <w:szCs w:val="24"/>
        </w:rPr>
        <w:t>交易成本主要</w:t>
      </w:r>
      <w:r w:rsidR="001F611F">
        <w:rPr>
          <w:rFonts w:hint="eastAsia"/>
          <w:sz w:val="24"/>
          <w:szCs w:val="24"/>
        </w:rPr>
        <w:t>体现</w:t>
      </w:r>
      <w:r>
        <w:rPr>
          <w:rFonts w:hint="eastAsia"/>
          <w:sz w:val="24"/>
          <w:szCs w:val="24"/>
        </w:rPr>
        <w:t>在交易费用</w:t>
      </w:r>
      <w:r w:rsidR="001F611F">
        <w:rPr>
          <w:rFonts w:hint="eastAsia"/>
          <w:sz w:val="24"/>
          <w:szCs w:val="24"/>
        </w:rPr>
        <w:t>上</w:t>
      </w:r>
      <w:r>
        <w:rPr>
          <w:rFonts w:hint="eastAsia"/>
          <w:sz w:val="24"/>
          <w:szCs w:val="24"/>
        </w:rPr>
        <w:t>：</w:t>
      </w:r>
    </w:p>
    <w:tbl>
      <w:tblPr>
        <w:tblW w:w="5000" w:type="pct"/>
        <w:tblLook w:val="04A0" w:firstRow="1" w:lastRow="0" w:firstColumn="1" w:lastColumn="0" w:noHBand="0" w:noVBand="1"/>
      </w:tblPr>
      <w:tblGrid>
        <w:gridCol w:w="3036"/>
        <w:gridCol w:w="5400"/>
      </w:tblGrid>
      <w:tr w:rsidR="007F5DFF" w:rsidRPr="007F5DFF" w:rsidTr="007F5DFF">
        <w:trPr>
          <w:trHeight w:val="288"/>
        </w:trPr>
        <w:tc>
          <w:tcPr>
            <w:tcW w:w="1526"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 xml:space="preserve">　</w:t>
            </w:r>
          </w:p>
        </w:tc>
        <w:tc>
          <w:tcPr>
            <w:tcW w:w="3474" w:type="pct"/>
            <w:tcBorders>
              <w:top w:val="single" w:sz="8" w:space="0" w:color="auto"/>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交易所交易手续费</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r w:rsidRPr="007F5DFF">
              <w:rPr>
                <w:rFonts w:ascii="宋体" w:eastAsia="宋体" w:hAnsi="宋体" w:cs="宋体" w:hint="eastAsia"/>
                <w:color w:val="000000"/>
                <w:kern w:val="0"/>
                <w:sz w:val="24"/>
                <w:szCs w:val="24"/>
              </w:rPr>
              <w:t>沪铜1703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0.5%%</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proofErr w:type="gramStart"/>
            <w:r w:rsidRPr="007F5DFF">
              <w:rPr>
                <w:rFonts w:ascii="宋体" w:eastAsia="宋体" w:hAnsi="宋体" w:cs="宋体" w:hint="eastAsia"/>
                <w:color w:val="000000"/>
                <w:kern w:val="0"/>
                <w:sz w:val="24"/>
                <w:szCs w:val="24"/>
              </w:rPr>
              <w:t>沪铝</w:t>
            </w:r>
            <w:proofErr w:type="gramEnd"/>
            <w:r w:rsidRPr="007F5DFF">
              <w:rPr>
                <w:rFonts w:ascii="宋体" w:eastAsia="宋体" w:hAnsi="宋体" w:cs="宋体" w:hint="eastAsia"/>
                <w:color w:val="000000"/>
                <w:kern w:val="0"/>
                <w:sz w:val="24"/>
                <w:szCs w:val="24"/>
              </w:rPr>
              <w:t>1703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3元/手</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proofErr w:type="gramStart"/>
            <w:r w:rsidRPr="007F5DFF">
              <w:rPr>
                <w:rFonts w:ascii="宋体" w:eastAsia="宋体" w:hAnsi="宋体" w:cs="宋体" w:hint="eastAsia"/>
                <w:color w:val="000000"/>
                <w:kern w:val="0"/>
                <w:sz w:val="24"/>
                <w:szCs w:val="24"/>
              </w:rPr>
              <w:t>沪锌</w:t>
            </w:r>
            <w:proofErr w:type="gramEnd"/>
            <w:r w:rsidRPr="007F5DFF">
              <w:rPr>
                <w:rFonts w:ascii="宋体" w:eastAsia="宋体" w:hAnsi="宋体" w:cs="宋体" w:hint="eastAsia"/>
                <w:color w:val="000000"/>
                <w:kern w:val="0"/>
                <w:sz w:val="24"/>
                <w:szCs w:val="24"/>
              </w:rPr>
              <w:t>1703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3元/手</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proofErr w:type="gramStart"/>
            <w:r w:rsidRPr="007F5DFF">
              <w:rPr>
                <w:rFonts w:ascii="宋体" w:eastAsia="宋体" w:hAnsi="宋体" w:cs="宋体" w:hint="eastAsia"/>
                <w:color w:val="000000"/>
                <w:kern w:val="0"/>
                <w:sz w:val="24"/>
                <w:szCs w:val="24"/>
              </w:rPr>
              <w:t>沪铅</w:t>
            </w:r>
            <w:proofErr w:type="gramEnd"/>
            <w:r w:rsidRPr="007F5DFF">
              <w:rPr>
                <w:rFonts w:ascii="宋体" w:eastAsia="宋体" w:hAnsi="宋体" w:cs="宋体" w:hint="eastAsia"/>
                <w:color w:val="000000"/>
                <w:kern w:val="0"/>
                <w:sz w:val="24"/>
                <w:szCs w:val="24"/>
              </w:rPr>
              <w:t>1703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0.4%%，</w:t>
            </w:r>
            <w:proofErr w:type="gramStart"/>
            <w:r w:rsidRPr="007F5DFF">
              <w:rPr>
                <w:rFonts w:ascii="宋体" w:eastAsia="宋体" w:hAnsi="宋体" w:cs="宋体" w:hint="eastAsia"/>
                <w:color w:val="000000"/>
                <w:kern w:val="0"/>
                <w:sz w:val="22"/>
              </w:rPr>
              <w:t>平今仓</w:t>
            </w:r>
            <w:proofErr w:type="gramEnd"/>
            <w:r w:rsidRPr="007F5DFF">
              <w:rPr>
                <w:rFonts w:ascii="宋体" w:eastAsia="宋体" w:hAnsi="宋体" w:cs="宋体" w:hint="eastAsia"/>
                <w:color w:val="000000"/>
                <w:kern w:val="0"/>
                <w:sz w:val="22"/>
              </w:rPr>
              <w:t>免费</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r w:rsidRPr="007F5DFF">
              <w:rPr>
                <w:rFonts w:ascii="宋体" w:eastAsia="宋体" w:hAnsi="宋体" w:cs="宋体" w:hint="eastAsia"/>
                <w:color w:val="000000"/>
                <w:kern w:val="0"/>
                <w:sz w:val="24"/>
                <w:szCs w:val="24"/>
              </w:rPr>
              <w:t>沪金1706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10元/手</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proofErr w:type="gramStart"/>
            <w:r w:rsidRPr="007F5DFF">
              <w:rPr>
                <w:rFonts w:ascii="宋体" w:eastAsia="宋体" w:hAnsi="宋体" w:cs="宋体" w:hint="eastAsia"/>
                <w:color w:val="000000"/>
                <w:kern w:val="0"/>
                <w:sz w:val="24"/>
                <w:szCs w:val="24"/>
              </w:rPr>
              <w:t>沪银</w:t>
            </w:r>
            <w:proofErr w:type="gramEnd"/>
            <w:r w:rsidRPr="007F5DFF">
              <w:rPr>
                <w:rFonts w:ascii="宋体" w:eastAsia="宋体" w:hAnsi="宋体" w:cs="宋体" w:hint="eastAsia"/>
                <w:color w:val="000000"/>
                <w:kern w:val="0"/>
                <w:sz w:val="24"/>
                <w:szCs w:val="24"/>
              </w:rPr>
              <w:t>1706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0.5%%</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r w:rsidRPr="007F5DFF">
              <w:rPr>
                <w:rFonts w:ascii="宋体" w:eastAsia="宋体" w:hAnsi="宋体" w:cs="宋体" w:hint="eastAsia"/>
                <w:color w:val="000000"/>
                <w:kern w:val="0"/>
                <w:sz w:val="24"/>
                <w:szCs w:val="24"/>
              </w:rPr>
              <w:t>沪螺纹钢1705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1%%</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proofErr w:type="gramStart"/>
            <w:r w:rsidRPr="007F5DFF">
              <w:rPr>
                <w:rFonts w:ascii="宋体" w:eastAsia="宋体" w:hAnsi="宋体" w:cs="宋体" w:hint="eastAsia"/>
                <w:color w:val="000000"/>
                <w:kern w:val="0"/>
                <w:sz w:val="24"/>
                <w:szCs w:val="24"/>
              </w:rPr>
              <w:t>郑强麦</w:t>
            </w:r>
            <w:proofErr w:type="gramEnd"/>
            <w:r w:rsidRPr="007F5DFF">
              <w:rPr>
                <w:rFonts w:ascii="宋体" w:eastAsia="宋体" w:hAnsi="宋体" w:cs="宋体" w:hint="eastAsia"/>
                <w:color w:val="000000"/>
                <w:kern w:val="0"/>
                <w:sz w:val="24"/>
                <w:szCs w:val="24"/>
              </w:rPr>
              <w:t>1705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2.5元/手</w:t>
            </w:r>
          </w:p>
        </w:tc>
      </w:tr>
      <w:tr w:rsidR="007F5DFF" w:rsidRPr="007F5DFF" w:rsidTr="007F5DFF">
        <w:trPr>
          <w:trHeight w:val="312"/>
        </w:trPr>
        <w:tc>
          <w:tcPr>
            <w:tcW w:w="1526" w:type="pct"/>
            <w:tcBorders>
              <w:top w:val="nil"/>
              <w:left w:val="single" w:sz="8" w:space="0" w:color="auto"/>
              <w:bottom w:val="single" w:sz="4"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r w:rsidRPr="007F5DFF">
              <w:rPr>
                <w:rFonts w:ascii="宋体" w:eastAsia="宋体" w:hAnsi="宋体" w:cs="宋体" w:hint="eastAsia"/>
                <w:color w:val="000000"/>
                <w:kern w:val="0"/>
                <w:sz w:val="24"/>
                <w:szCs w:val="24"/>
              </w:rPr>
              <w:t>郑棉花1705  2017-01-26</w:t>
            </w:r>
          </w:p>
        </w:tc>
        <w:tc>
          <w:tcPr>
            <w:tcW w:w="3474" w:type="pct"/>
            <w:tcBorders>
              <w:top w:val="nil"/>
              <w:left w:val="nil"/>
              <w:bottom w:val="single" w:sz="4"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6元/手</w:t>
            </w:r>
          </w:p>
        </w:tc>
      </w:tr>
      <w:tr w:rsidR="007F5DFF" w:rsidRPr="007F5DFF" w:rsidTr="007F5DFF">
        <w:trPr>
          <w:trHeight w:val="324"/>
        </w:trPr>
        <w:tc>
          <w:tcPr>
            <w:tcW w:w="1526" w:type="pct"/>
            <w:tcBorders>
              <w:top w:val="nil"/>
              <w:left w:val="single" w:sz="8" w:space="0" w:color="auto"/>
              <w:bottom w:val="single" w:sz="8" w:space="0" w:color="auto"/>
              <w:right w:val="single" w:sz="4" w:space="0" w:color="auto"/>
            </w:tcBorders>
            <w:shd w:val="clear" w:color="auto" w:fill="auto"/>
            <w:noWrap/>
            <w:vAlign w:val="center"/>
            <w:hideMark/>
          </w:tcPr>
          <w:p w:rsidR="007F5DFF" w:rsidRPr="007F5DFF" w:rsidRDefault="007F5DFF" w:rsidP="007F5DFF">
            <w:pPr>
              <w:widowControl/>
              <w:jc w:val="left"/>
              <w:rPr>
                <w:rFonts w:ascii="宋体" w:eastAsia="宋体" w:hAnsi="宋体" w:cs="宋体"/>
                <w:color w:val="000000"/>
                <w:kern w:val="0"/>
                <w:sz w:val="24"/>
                <w:szCs w:val="24"/>
              </w:rPr>
            </w:pPr>
            <w:r w:rsidRPr="007F5DFF">
              <w:rPr>
                <w:rFonts w:ascii="宋体" w:eastAsia="宋体" w:hAnsi="宋体" w:cs="宋体" w:hint="eastAsia"/>
                <w:color w:val="000000"/>
                <w:kern w:val="0"/>
                <w:sz w:val="24"/>
                <w:szCs w:val="24"/>
              </w:rPr>
              <w:t>郑玻璃1705  2017-01-26</w:t>
            </w:r>
          </w:p>
        </w:tc>
        <w:tc>
          <w:tcPr>
            <w:tcW w:w="3474" w:type="pct"/>
            <w:tcBorders>
              <w:top w:val="nil"/>
              <w:left w:val="nil"/>
              <w:bottom w:val="single" w:sz="8" w:space="0" w:color="auto"/>
              <w:right w:val="single" w:sz="8" w:space="0" w:color="auto"/>
            </w:tcBorders>
            <w:shd w:val="clear" w:color="auto" w:fill="auto"/>
            <w:noWrap/>
            <w:vAlign w:val="bottom"/>
            <w:hideMark/>
          </w:tcPr>
          <w:p w:rsidR="007F5DFF" w:rsidRPr="007F5DFF" w:rsidRDefault="007F5DFF" w:rsidP="007F5DFF">
            <w:pPr>
              <w:widowControl/>
              <w:jc w:val="left"/>
              <w:rPr>
                <w:rFonts w:ascii="宋体" w:eastAsia="宋体" w:hAnsi="宋体" w:cs="宋体"/>
                <w:color w:val="000000"/>
                <w:kern w:val="0"/>
                <w:sz w:val="22"/>
              </w:rPr>
            </w:pPr>
            <w:r w:rsidRPr="007F5DFF">
              <w:rPr>
                <w:rFonts w:ascii="宋体" w:eastAsia="宋体" w:hAnsi="宋体" w:cs="宋体" w:hint="eastAsia"/>
                <w:color w:val="000000"/>
                <w:kern w:val="0"/>
                <w:sz w:val="22"/>
              </w:rPr>
              <w:t>3元/手</w:t>
            </w:r>
          </w:p>
        </w:tc>
      </w:tr>
    </w:tbl>
    <w:p w:rsidR="007F5DFF" w:rsidRDefault="007F5DFF" w:rsidP="00F6525D">
      <w:pPr>
        <w:spacing w:line="400" w:lineRule="exact"/>
        <w:ind w:firstLineChars="177" w:firstLine="425"/>
        <w:rPr>
          <w:rFonts w:hint="eastAsia"/>
          <w:sz w:val="24"/>
          <w:szCs w:val="24"/>
        </w:rPr>
      </w:pPr>
      <w:r>
        <w:rPr>
          <w:rFonts w:hint="eastAsia"/>
          <w:sz w:val="24"/>
          <w:szCs w:val="24"/>
        </w:rPr>
        <w:t>表</w:t>
      </w:r>
      <w:r>
        <w:rPr>
          <w:rFonts w:hint="eastAsia"/>
          <w:sz w:val="24"/>
          <w:szCs w:val="24"/>
        </w:rPr>
        <w:t>X</w:t>
      </w:r>
      <w:r>
        <w:rPr>
          <w:rFonts w:hint="eastAsia"/>
          <w:sz w:val="24"/>
          <w:szCs w:val="24"/>
        </w:rPr>
        <w:t>：不同商品的交易所交易手续费，此手续费会由各交易所随时调整</w:t>
      </w:r>
    </w:p>
    <w:p w:rsidR="00AF782D" w:rsidRDefault="007F5DFF" w:rsidP="00F6525D">
      <w:pPr>
        <w:spacing w:line="400" w:lineRule="exact"/>
        <w:ind w:firstLineChars="177" w:firstLine="425"/>
        <w:rPr>
          <w:rFonts w:hint="eastAsia"/>
          <w:sz w:val="24"/>
          <w:szCs w:val="24"/>
        </w:rPr>
      </w:pPr>
      <w:r>
        <w:rPr>
          <w:rFonts w:hint="eastAsia"/>
          <w:sz w:val="24"/>
          <w:szCs w:val="24"/>
        </w:rPr>
        <w:t>可以看到不同种类的商品的交易所交易手续费是不同的，我们可以根据投资者的实际计划投资金额来计算，如果可投资金额为</w:t>
      </w:r>
      <w:r>
        <w:rPr>
          <w:rFonts w:hint="eastAsia"/>
          <w:sz w:val="24"/>
          <w:szCs w:val="24"/>
        </w:rPr>
        <w:t>40</w:t>
      </w:r>
      <w:r>
        <w:rPr>
          <w:rFonts w:hint="eastAsia"/>
          <w:sz w:val="24"/>
          <w:szCs w:val="24"/>
        </w:rPr>
        <w:t>万，计划投资</w:t>
      </w:r>
      <w:r>
        <w:rPr>
          <w:rFonts w:hint="eastAsia"/>
          <w:sz w:val="24"/>
          <w:szCs w:val="24"/>
        </w:rPr>
        <w:t>25%</w:t>
      </w:r>
      <w:r>
        <w:rPr>
          <w:rFonts w:hint="eastAsia"/>
          <w:sz w:val="24"/>
          <w:szCs w:val="24"/>
        </w:rPr>
        <w:t>到市场中，即购买</w:t>
      </w:r>
      <w:r>
        <w:rPr>
          <w:rFonts w:hint="eastAsia"/>
          <w:sz w:val="24"/>
          <w:szCs w:val="24"/>
        </w:rPr>
        <w:t>10</w:t>
      </w:r>
      <w:r>
        <w:rPr>
          <w:rFonts w:hint="eastAsia"/>
          <w:sz w:val="24"/>
          <w:szCs w:val="24"/>
        </w:rPr>
        <w:t>万元保证金的商品，则需要付出的手续费如下：</w:t>
      </w:r>
    </w:p>
    <w:p w:rsidR="00355BC4" w:rsidRDefault="00355BC4" w:rsidP="00F6525D">
      <w:pPr>
        <w:spacing w:line="400" w:lineRule="exact"/>
        <w:ind w:firstLineChars="177" w:firstLine="425"/>
        <w:rPr>
          <w:rFonts w:hint="eastAsia"/>
          <w:sz w:val="24"/>
          <w:szCs w:val="24"/>
        </w:rPr>
      </w:pPr>
    </w:p>
    <w:tbl>
      <w:tblPr>
        <w:tblW w:w="4769" w:type="pct"/>
        <w:tblLayout w:type="fixed"/>
        <w:tblLook w:val="04A0" w:firstRow="1" w:lastRow="0" w:firstColumn="1" w:lastColumn="0" w:noHBand="0" w:noVBand="1"/>
      </w:tblPr>
      <w:tblGrid>
        <w:gridCol w:w="1811"/>
        <w:gridCol w:w="1280"/>
        <w:gridCol w:w="851"/>
        <w:gridCol w:w="706"/>
        <w:gridCol w:w="566"/>
        <w:gridCol w:w="1279"/>
        <w:gridCol w:w="703"/>
        <w:gridCol w:w="850"/>
      </w:tblGrid>
      <w:tr w:rsidR="005455B2" w:rsidRPr="00355BC4" w:rsidTr="00403198">
        <w:trPr>
          <w:trHeight w:val="288"/>
        </w:trPr>
        <w:tc>
          <w:tcPr>
            <w:tcW w:w="112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 xml:space="preserve">　</w:t>
            </w:r>
          </w:p>
        </w:tc>
        <w:tc>
          <w:tcPr>
            <w:tcW w:w="795" w:type="pct"/>
            <w:tcBorders>
              <w:top w:val="single" w:sz="8" w:space="0" w:color="auto"/>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交易所交易手续费</w:t>
            </w:r>
          </w:p>
        </w:tc>
        <w:tc>
          <w:tcPr>
            <w:tcW w:w="529" w:type="pct"/>
            <w:tcBorders>
              <w:top w:val="single" w:sz="8" w:space="0" w:color="auto"/>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收盘价</w:t>
            </w:r>
          </w:p>
        </w:tc>
        <w:tc>
          <w:tcPr>
            <w:tcW w:w="439" w:type="pct"/>
            <w:tcBorders>
              <w:top w:val="single" w:sz="8" w:space="0" w:color="auto"/>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交易单位</w:t>
            </w:r>
          </w:p>
        </w:tc>
        <w:tc>
          <w:tcPr>
            <w:tcW w:w="352" w:type="pct"/>
            <w:tcBorders>
              <w:top w:val="single" w:sz="8" w:space="0" w:color="auto"/>
              <w:left w:val="nil"/>
              <w:bottom w:val="single" w:sz="4" w:space="0" w:color="auto"/>
              <w:right w:val="single" w:sz="4" w:space="0" w:color="auto"/>
            </w:tcBorders>
            <w:shd w:val="clear" w:color="auto" w:fill="auto"/>
            <w:noWrap/>
            <w:vAlign w:val="bottom"/>
            <w:hideMark/>
          </w:tcPr>
          <w:p w:rsidR="00355BC4" w:rsidRPr="00355BC4" w:rsidRDefault="00355BC4" w:rsidP="005455B2">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保证金</w:t>
            </w:r>
          </w:p>
        </w:tc>
        <w:tc>
          <w:tcPr>
            <w:tcW w:w="795" w:type="pct"/>
            <w:tcBorders>
              <w:top w:val="single" w:sz="8" w:space="0" w:color="auto"/>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每手金额</w:t>
            </w:r>
          </w:p>
        </w:tc>
        <w:tc>
          <w:tcPr>
            <w:tcW w:w="437" w:type="pct"/>
            <w:tcBorders>
              <w:top w:val="single" w:sz="8" w:space="0" w:color="auto"/>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可购买手数</w:t>
            </w:r>
          </w:p>
        </w:tc>
        <w:tc>
          <w:tcPr>
            <w:tcW w:w="528" w:type="pct"/>
            <w:tcBorders>
              <w:top w:val="single" w:sz="8" w:space="0" w:color="auto"/>
              <w:left w:val="nil"/>
              <w:bottom w:val="single" w:sz="4" w:space="0" w:color="auto"/>
              <w:right w:val="single" w:sz="8"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手续费</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r w:rsidRPr="00355BC4">
              <w:rPr>
                <w:rFonts w:ascii="宋体" w:eastAsia="宋体" w:hAnsi="宋体" w:cs="宋体" w:hint="eastAsia"/>
                <w:color w:val="000000"/>
                <w:kern w:val="0"/>
                <w:sz w:val="24"/>
                <w:szCs w:val="24"/>
              </w:rPr>
              <w:t>沪铜1703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0.5%%</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48040</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5</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26422</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3</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403198" w:rsidP="00355BC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36.03</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proofErr w:type="gramStart"/>
            <w:r w:rsidRPr="00355BC4">
              <w:rPr>
                <w:rFonts w:ascii="宋体" w:eastAsia="宋体" w:hAnsi="宋体" w:cs="宋体" w:hint="eastAsia"/>
                <w:color w:val="000000"/>
                <w:kern w:val="0"/>
                <w:sz w:val="24"/>
                <w:szCs w:val="24"/>
              </w:rPr>
              <w:t>沪铝</w:t>
            </w:r>
            <w:proofErr w:type="gramEnd"/>
            <w:r w:rsidRPr="00355BC4">
              <w:rPr>
                <w:rFonts w:ascii="宋体" w:eastAsia="宋体" w:hAnsi="宋体" w:cs="宋体" w:hint="eastAsia"/>
                <w:color w:val="000000"/>
                <w:kern w:val="0"/>
                <w:sz w:val="24"/>
                <w:szCs w:val="24"/>
              </w:rPr>
              <w:t>1703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3元/手</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13835</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5</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7609.25</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13</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39</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proofErr w:type="gramStart"/>
            <w:r w:rsidRPr="00355BC4">
              <w:rPr>
                <w:rFonts w:ascii="宋体" w:eastAsia="宋体" w:hAnsi="宋体" w:cs="宋体" w:hint="eastAsia"/>
                <w:color w:val="000000"/>
                <w:kern w:val="0"/>
                <w:sz w:val="24"/>
                <w:szCs w:val="24"/>
              </w:rPr>
              <w:t>沪锌</w:t>
            </w:r>
            <w:proofErr w:type="gramEnd"/>
            <w:r w:rsidRPr="00355BC4">
              <w:rPr>
                <w:rFonts w:ascii="宋体" w:eastAsia="宋体" w:hAnsi="宋体" w:cs="宋体" w:hint="eastAsia"/>
                <w:color w:val="000000"/>
                <w:kern w:val="0"/>
                <w:sz w:val="24"/>
                <w:szCs w:val="24"/>
              </w:rPr>
              <w:t>1703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3元/手</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23205</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5</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12762.75</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7</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21</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proofErr w:type="gramStart"/>
            <w:r w:rsidRPr="00355BC4">
              <w:rPr>
                <w:rFonts w:ascii="宋体" w:eastAsia="宋体" w:hAnsi="宋体" w:cs="宋体" w:hint="eastAsia"/>
                <w:color w:val="000000"/>
                <w:kern w:val="0"/>
                <w:sz w:val="24"/>
                <w:szCs w:val="24"/>
              </w:rPr>
              <w:t>沪铅</w:t>
            </w:r>
            <w:proofErr w:type="gramEnd"/>
            <w:r w:rsidRPr="00355BC4">
              <w:rPr>
                <w:rFonts w:ascii="宋体" w:eastAsia="宋体" w:hAnsi="宋体" w:cs="宋体" w:hint="eastAsia"/>
                <w:color w:val="000000"/>
                <w:kern w:val="0"/>
                <w:sz w:val="24"/>
                <w:szCs w:val="24"/>
              </w:rPr>
              <w:t>1703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0.4%%</w:t>
            </w:r>
            <w:r w:rsidRPr="00355BC4">
              <w:rPr>
                <w:rFonts w:ascii="宋体" w:eastAsia="宋体" w:hAnsi="宋体" w:cs="宋体"/>
                <w:color w:val="000000"/>
                <w:kern w:val="0"/>
                <w:sz w:val="22"/>
              </w:rPr>
              <w:t xml:space="preserve"> </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19015</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25</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52291.25</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403198" w:rsidP="00355BC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19.02</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r w:rsidRPr="00355BC4">
              <w:rPr>
                <w:rFonts w:ascii="宋体" w:eastAsia="宋体" w:hAnsi="宋体" w:cs="宋体" w:hint="eastAsia"/>
                <w:color w:val="000000"/>
                <w:kern w:val="0"/>
                <w:sz w:val="24"/>
                <w:szCs w:val="24"/>
              </w:rPr>
              <w:t>沪金1706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10元/手</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267.6</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1000</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10%</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26760</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3</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30</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proofErr w:type="gramStart"/>
            <w:r w:rsidRPr="00355BC4">
              <w:rPr>
                <w:rFonts w:ascii="宋体" w:eastAsia="宋体" w:hAnsi="宋体" w:cs="宋体" w:hint="eastAsia"/>
                <w:color w:val="000000"/>
                <w:kern w:val="0"/>
                <w:sz w:val="24"/>
                <w:szCs w:val="24"/>
              </w:rPr>
              <w:t>沪银</w:t>
            </w:r>
            <w:proofErr w:type="gramEnd"/>
            <w:r w:rsidRPr="00355BC4">
              <w:rPr>
                <w:rFonts w:ascii="宋体" w:eastAsia="宋体" w:hAnsi="宋体" w:cs="宋体" w:hint="eastAsia"/>
                <w:color w:val="000000"/>
                <w:kern w:val="0"/>
                <w:sz w:val="24"/>
                <w:szCs w:val="24"/>
              </w:rPr>
              <w:t>1706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0.5%%</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4025</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15</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6641.25</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15</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744B21" w:rsidP="00355BC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45.28</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r w:rsidRPr="00355BC4">
              <w:rPr>
                <w:rFonts w:ascii="宋体" w:eastAsia="宋体" w:hAnsi="宋体" w:cs="宋体" w:hint="eastAsia"/>
                <w:color w:val="000000"/>
                <w:kern w:val="0"/>
                <w:sz w:val="24"/>
                <w:szCs w:val="24"/>
              </w:rPr>
              <w:t>沪螺纹钢1705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1%%</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333333"/>
                <w:kern w:val="0"/>
                <w:sz w:val="24"/>
                <w:szCs w:val="24"/>
              </w:rPr>
            </w:pPr>
            <w:r w:rsidRPr="00355BC4">
              <w:rPr>
                <w:rFonts w:ascii="宋体" w:eastAsia="宋体" w:hAnsi="宋体" w:cs="宋体" w:hint="eastAsia"/>
                <w:color w:val="333333"/>
                <w:kern w:val="0"/>
                <w:sz w:val="24"/>
                <w:szCs w:val="24"/>
              </w:rPr>
              <w:t>3369</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10</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3705.9</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26</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2429CE" w:rsidP="00355BC4">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87.59</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proofErr w:type="gramStart"/>
            <w:r w:rsidRPr="00355BC4">
              <w:rPr>
                <w:rFonts w:ascii="宋体" w:eastAsia="宋体" w:hAnsi="宋体" w:cs="宋体" w:hint="eastAsia"/>
                <w:color w:val="000000"/>
                <w:kern w:val="0"/>
                <w:sz w:val="24"/>
                <w:szCs w:val="24"/>
              </w:rPr>
              <w:t>郑强麦</w:t>
            </w:r>
            <w:proofErr w:type="gramEnd"/>
            <w:r w:rsidRPr="00355BC4">
              <w:rPr>
                <w:rFonts w:ascii="宋体" w:eastAsia="宋体" w:hAnsi="宋体" w:cs="宋体" w:hint="eastAsia"/>
                <w:color w:val="000000"/>
                <w:kern w:val="0"/>
                <w:sz w:val="24"/>
                <w:szCs w:val="24"/>
              </w:rPr>
              <w:t>1705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2.5元/手</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222222"/>
                <w:kern w:val="0"/>
                <w:sz w:val="24"/>
                <w:szCs w:val="24"/>
              </w:rPr>
            </w:pPr>
            <w:r w:rsidRPr="00355BC4">
              <w:rPr>
                <w:rFonts w:ascii="宋体" w:eastAsia="宋体" w:hAnsi="宋体" w:cs="宋体" w:hint="eastAsia"/>
                <w:color w:val="222222"/>
                <w:kern w:val="0"/>
                <w:sz w:val="24"/>
                <w:szCs w:val="24"/>
              </w:rPr>
              <w:t>3006</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20</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10%</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6012</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16</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40</w:t>
            </w:r>
          </w:p>
        </w:tc>
      </w:tr>
      <w:tr w:rsidR="005455B2" w:rsidRPr="00355BC4" w:rsidTr="00403198">
        <w:trPr>
          <w:trHeight w:val="312"/>
        </w:trPr>
        <w:tc>
          <w:tcPr>
            <w:tcW w:w="1125" w:type="pct"/>
            <w:tcBorders>
              <w:top w:val="nil"/>
              <w:left w:val="single" w:sz="8" w:space="0" w:color="auto"/>
              <w:bottom w:val="single" w:sz="4"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r w:rsidRPr="00355BC4">
              <w:rPr>
                <w:rFonts w:ascii="宋体" w:eastAsia="宋体" w:hAnsi="宋体" w:cs="宋体" w:hint="eastAsia"/>
                <w:color w:val="000000"/>
                <w:kern w:val="0"/>
                <w:sz w:val="24"/>
                <w:szCs w:val="24"/>
              </w:rPr>
              <w:t>郑棉花1705  2017-01-26</w:t>
            </w:r>
          </w:p>
        </w:tc>
        <w:tc>
          <w:tcPr>
            <w:tcW w:w="795"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6元/手</w:t>
            </w:r>
          </w:p>
        </w:tc>
        <w:tc>
          <w:tcPr>
            <w:tcW w:w="529" w:type="pct"/>
            <w:tcBorders>
              <w:top w:val="nil"/>
              <w:left w:val="nil"/>
              <w:bottom w:val="single" w:sz="4"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222222"/>
                <w:kern w:val="0"/>
                <w:sz w:val="24"/>
                <w:szCs w:val="24"/>
              </w:rPr>
            </w:pPr>
            <w:r w:rsidRPr="00355BC4">
              <w:rPr>
                <w:rFonts w:ascii="宋体" w:eastAsia="宋体" w:hAnsi="宋体" w:cs="宋体" w:hint="eastAsia"/>
                <w:color w:val="222222"/>
                <w:kern w:val="0"/>
                <w:sz w:val="24"/>
                <w:szCs w:val="24"/>
              </w:rPr>
              <w:t>15665</w:t>
            </w:r>
          </w:p>
        </w:tc>
        <w:tc>
          <w:tcPr>
            <w:tcW w:w="439"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5</w:t>
            </w:r>
          </w:p>
        </w:tc>
        <w:tc>
          <w:tcPr>
            <w:tcW w:w="352"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10%</w:t>
            </w:r>
          </w:p>
        </w:tc>
        <w:tc>
          <w:tcPr>
            <w:tcW w:w="795" w:type="pct"/>
            <w:tcBorders>
              <w:top w:val="nil"/>
              <w:left w:val="nil"/>
              <w:bottom w:val="single" w:sz="4"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7832.5</w:t>
            </w:r>
          </w:p>
        </w:tc>
        <w:tc>
          <w:tcPr>
            <w:tcW w:w="437" w:type="pct"/>
            <w:tcBorders>
              <w:top w:val="nil"/>
              <w:left w:val="nil"/>
              <w:bottom w:val="single" w:sz="4"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12</w:t>
            </w:r>
          </w:p>
        </w:tc>
        <w:tc>
          <w:tcPr>
            <w:tcW w:w="528" w:type="pct"/>
            <w:tcBorders>
              <w:top w:val="nil"/>
              <w:left w:val="nil"/>
              <w:bottom w:val="single" w:sz="4" w:space="0" w:color="auto"/>
              <w:right w:val="single" w:sz="8"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72</w:t>
            </w:r>
          </w:p>
        </w:tc>
      </w:tr>
      <w:tr w:rsidR="005455B2" w:rsidRPr="00355BC4" w:rsidTr="00403198">
        <w:trPr>
          <w:trHeight w:val="324"/>
        </w:trPr>
        <w:tc>
          <w:tcPr>
            <w:tcW w:w="1125" w:type="pct"/>
            <w:tcBorders>
              <w:top w:val="nil"/>
              <w:left w:val="single" w:sz="8" w:space="0" w:color="auto"/>
              <w:bottom w:val="single" w:sz="8" w:space="0" w:color="auto"/>
              <w:right w:val="single" w:sz="4" w:space="0" w:color="auto"/>
            </w:tcBorders>
            <w:shd w:val="clear" w:color="auto" w:fill="auto"/>
            <w:noWrap/>
            <w:vAlign w:val="center"/>
            <w:hideMark/>
          </w:tcPr>
          <w:p w:rsidR="00355BC4" w:rsidRPr="00355BC4" w:rsidRDefault="00355BC4" w:rsidP="00355BC4">
            <w:pPr>
              <w:widowControl/>
              <w:jc w:val="left"/>
              <w:rPr>
                <w:rFonts w:ascii="宋体" w:eastAsia="宋体" w:hAnsi="宋体" w:cs="宋体"/>
                <w:color w:val="000000"/>
                <w:kern w:val="0"/>
                <w:sz w:val="24"/>
                <w:szCs w:val="24"/>
              </w:rPr>
            </w:pPr>
            <w:r w:rsidRPr="00355BC4">
              <w:rPr>
                <w:rFonts w:ascii="宋体" w:eastAsia="宋体" w:hAnsi="宋体" w:cs="宋体" w:hint="eastAsia"/>
                <w:color w:val="000000"/>
                <w:kern w:val="0"/>
                <w:sz w:val="24"/>
                <w:szCs w:val="24"/>
              </w:rPr>
              <w:t>郑玻璃1705  2017-01-26</w:t>
            </w:r>
          </w:p>
        </w:tc>
        <w:tc>
          <w:tcPr>
            <w:tcW w:w="795" w:type="pct"/>
            <w:tcBorders>
              <w:top w:val="nil"/>
              <w:left w:val="nil"/>
              <w:bottom w:val="single" w:sz="8" w:space="0" w:color="auto"/>
              <w:right w:val="single" w:sz="4" w:space="0" w:color="auto"/>
            </w:tcBorders>
            <w:shd w:val="clear" w:color="auto" w:fill="auto"/>
            <w:noWrap/>
            <w:vAlign w:val="bottom"/>
            <w:hideMark/>
          </w:tcPr>
          <w:p w:rsidR="00355BC4" w:rsidRPr="00355BC4" w:rsidRDefault="00355BC4" w:rsidP="00355BC4">
            <w:pPr>
              <w:widowControl/>
              <w:jc w:val="left"/>
              <w:rPr>
                <w:rFonts w:ascii="宋体" w:eastAsia="宋体" w:hAnsi="宋体" w:cs="宋体"/>
                <w:color w:val="000000"/>
                <w:kern w:val="0"/>
                <w:sz w:val="22"/>
              </w:rPr>
            </w:pPr>
            <w:r w:rsidRPr="00355BC4">
              <w:rPr>
                <w:rFonts w:ascii="宋体" w:eastAsia="宋体" w:hAnsi="宋体" w:cs="宋体" w:hint="eastAsia"/>
                <w:color w:val="000000"/>
                <w:kern w:val="0"/>
                <w:sz w:val="22"/>
              </w:rPr>
              <w:t>3元/手</w:t>
            </w:r>
          </w:p>
        </w:tc>
        <w:tc>
          <w:tcPr>
            <w:tcW w:w="529" w:type="pct"/>
            <w:tcBorders>
              <w:top w:val="nil"/>
              <w:left w:val="nil"/>
              <w:bottom w:val="single" w:sz="8" w:space="0" w:color="auto"/>
              <w:right w:val="single" w:sz="4" w:space="0" w:color="auto"/>
            </w:tcBorders>
            <w:shd w:val="clear" w:color="auto" w:fill="auto"/>
            <w:vAlign w:val="center"/>
            <w:hideMark/>
          </w:tcPr>
          <w:p w:rsidR="00355BC4" w:rsidRPr="00355BC4" w:rsidRDefault="00355BC4" w:rsidP="00355BC4">
            <w:pPr>
              <w:widowControl/>
              <w:jc w:val="right"/>
              <w:rPr>
                <w:rFonts w:ascii="宋体" w:eastAsia="宋体" w:hAnsi="宋体" w:cs="宋体"/>
                <w:color w:val="222222"/>
                <w:kern w:val="0"/>
                <w:sz w:val="24"/>
                <w:szCs w:val="24"/>
              </w:rPr>
            </w:pPr>
            <w:r w:rsidRPr="00355BC4">
              <w:rPr>
                <w:rFonts w:ascii="宋体" w:eastAsia="宋体" w:hAnsi="宋体" w:cs="宋体" w:hint="eastAsia"/>
                <w:color w:val="222222"/>
                <w:kern w:val="0"/>
                <w:sz w:val="24"/>
                <w:szCs w:val="24"/>
              </w:rPr>
              <w:t>1323</w:t>
            </w:r>
          </w:p>
        </w:tc>
        <w:tc>
          <w:tcPr>
            <w:tcW w:w="439" w:type="pct"/>
            <w:tcBorders>
              <w:top w:val="nil"/>
              <w:left w:val="nil"/>
              <w:bottom w:val="single" w:sz="8"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20</w:t>
            </w:r>
          </w:p>
        </w:tc>
        <w:tc>
          <w:tcPr>
            <w:tcW w:w="352" w:type="pct"/>
            <w:tcBorders>
              <w:top w:val="nil"/>
              <w:left w:val="nil"/>
              <w:bottom w:val="single" w:sz="8"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10%</w:t>
            </w:r>
          </w:p>
        </w:tc>
        <w:tc>
          <w:tcPr>
            <w:tcW w:w="795" w:type="pct"/>
            <w:tcBorders>
              <w:top w:val="nil"/>
              <w:left w:val="nil"/>
              <w:bottom w:val="single" w:sz="8" w:space="0" w:color="auto"/>
              <w:right w:val="single" w:sz="4" w:space="0" w:color="auto"/>
            </w:tcBorders>
            <w:shd w:val="clear" w:color="auto" w:fill="auto"/>
            <w:noWrap/>
            <w:vAlign w:val="center"/>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2646</w:t>
            </w:r>
          </w:p>
        </w:tc>
        <w:tc>
          <w:tcPr>
            <w:tcW w:w="437" w:type="pct"/>
            <w:tcBorders>
              <w:top w:val="nil"/>
              <w:left w:val="nil"/>
              <w:bottom w:val="single" w:sz="8" w:space="0" w:color="auto"/>
              <w:right w:val="single" w:sz="4"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37</w:t>
            </w:r>
          </w:p>
        </w:tc>
        <w:tc>
          <w:tcPr>
            <w:tcW w:w="528" w:type="pct"/>
            <w:tcBorders>
              <w:top w:val="nil"/>
              <w:left w:val="nil"/>
              <w:bottom w:val="single" w:sz="8" w:space="0" w:color="auto"/>
              <w:right w:val="single" w:sz="8" w:space="0" w:color="auto"/>
            </w:tcBorders>
            <w:shd w:val="clear" w:color="auto" w:fill="auto"/>
            <w:noWrap/>
            <w:vAlign w:val="bottom"/>
            <w:hideMark/>
          </w:tcPr>
          <w:p w:rsidR="00355BC4" w:rsidRPr="00355BC4" w:rsidRDefault="00355BC4" w:rsidP="00355BC4">
            <w:pPr>
              <w:widowControl/>
              <w:jc w:val="right"/>
              <w:rPr>
                <w:rFonts w:ascii="宋体" w:eastAsia="宋体" w:hAnsi="宋体" w:cs="宋体"/>
                <w:color w:val="000000"/>
                <w:kern w:val="0"/>
                <w:sz w:val="22"/>
              </w:rPr>
            </w:pPr>
            <w:r w:rsidRPr="00355BC4">
              <w:rPr>
                <w:rFonts w:ascii="宋体" w:eastAsia="宋体" w:hAnsi="宋体" w:cs="宋体" w:hint="eastAsia"/>
                <w:color w:val="000000"/>
                <w:kern w:val="0"/>
                <w:sz w:val="22"/>
              </w:rPr>
              <w:t>111</w:t>
            </w:r>
          </w:p>
        </w:tc>
      </w:tr>
    </w:tbl>
    <w:p w:rsidR="007F5DFF" w:rsidRDefault="00CA3423" w:rsidP="00F6525D">
      <w:pPr>
        <w:spacing w:line="400" w:lineRule="exact"/>
        <w:ind w:firstLineChars="177" w:firstLine="425"/>
        <w:rPr>
          <w:rFonts w:hint="eastAsia"/>
          <w:sz w:val="24"/>
          <w:szCs w:val="24"/>
        </w:rPr>
      </w:pPr>
      <w:r>
        <w:rPr>
          <w:rFonts w:hint="eastAsia"/>
          <w:sz w:val="24"/>
          <w:szCs w:val="24"/>
        </w:rPr>
        <w:t>表</w:t>
      </w:r>
      <w:r>
        <w:rPr>
          <w:rFonts w:hint="eastAsia"/>
          <w:sz w:val="24"/>
          <w:szCs w:val="24"/>
        </w:rPr>
        <w:t>X</w:t>
      </w:r>
      <w:r>
        <w:rPr>
          <w:rFonts w:hint="eastAsia"/>
          <w:sz w:val="24"/>
          <w:szCs w:val="24"/>
        </w:rPr>
        <w:t>：</w:t>
      </w:r>
      <w:r w:rsidR="00C509DC">
        <w:rPr>
          <w:rFonts w:hint="eastAsia"/>
          <w:sz w:val="24"/>
          <w:szCs w:val="24"/>
        </w:rPr>
        <w:t>投资金额为</w:t>
      </w:r>
      <w:r>
        <w:rPr>
          <w:rFonts w:hint="eastAsia"/>
          <w:sz w:val="24"/>
          <w:szCs w:val="24"/>
        </w:rPr>
        <w:t>100000</w:t>
      </w:r>
      <w:r>
        <w:rPr>
          <w:rFonts w:hint="eastAsia"/>
          <w:sz w:val="24"/>
          <w:szCs w:val="24"/>
        </w:rPr>
        <w:t>元，最终付出的手续费</w:t>
      </w:r>
    </w:p>
    <w:p w:rsidR="00CA3423" w:rsidRPr="00CA3423" w:rsidRDefault="00CA3423" w:rsidP="00F6525D">
      <w:pPr>
        <w:spacing w:line="400" w:lineRule="exact"/>
        <w:ind w:firstLineChars="177" w:firstLine="425"/>
        <w:rPr>
          <w:rFonts w:hint="eastAsia"/>
          <w:sz w:val="24"/>
          <w:szCs w:val="24"/>
        </w:rPr>
      </w:pPr>
      <w:r>
        <w:rPr>
          <w:rFonts w:hint="eastAsia"/>
          <w:sz w:val="24"/>
          <w:szCs w:val="24"/>
        </w:rPr>
        <w:t>从表中可以看到，</w:t>
      </w:r>
      <w:r w:rsidR="00F44304">
        <w:rPr>
          <w:rFonts w:hint="eastAsia"/>
          <w:sz w:val="24"/>
          <w:szCs w:val="24"/>
        </w:rPr>
        <w:t>使用同等量的资金购买</w:t>
      </w:r>
      <w:r w:rsidR="005455B2">
        <w:rPr>
          <w:rFonts w:hint="eastAsia"/>
          <w:sz w:val="24"/>
          <w:szCs w:val="24"/>
        </w:rPr>
        <w:t>不同商品的手续费千差万别，甚至会有</w:t>
      </w:r>
      <w:r w:rsidR="008D16D1">
        <w:rPr>
          <w:rFonts w:hint="eastAsia"/>
          <w:sz w:val="24"/>
          <w:szCs w:val="24"/>
        </w:rPr>
        <w:t>5</w:t>
      </w:r>
      <w:r w:rsidR="005455B2">
        <w:rPr>
          <w:rFonts w:hint="eastAsia"/>
          <w:sz w:val="24"/>
          <w:szCs w:val="24"/>
        </w:rPr>
        <w:t>倍的差距</w:t>
      </w:r>
      <w:r w:rsidR="00F44304">
        <w:rPr>
          <w:rFonts w:hint="eastAsia"/>
          <w:sz w:val="24"/>
          <w:szCs w:val="24"/>
        </w:rPr>
        <w:t>（郑玻璃与沪铅）</w:t>
      </w:r>
      <w:r w:rsidR="00292C7D">
        <w:rPr>
          <w:rFonts w:hint="eastAsia"/>
          <w:sz w:val="24"/>
          <w:szCs w:val="24"/>
        </w:rPr>
        <w:t>，在</w:t>
      </w:r>
      <w:r w:rsidR="008A2268">
        <w:rPr>
          <w:rFonts w:hint="eastAsia"/>
          <w:sz w:val="24"/>
          <w:szCs w:val="24"/>
        </w:rPr>
        <w:t>高频交易中，交易费用由于高频率的交易单而成为一个天文数字。</w:t>
      </w:r>
      <w:r w:rsidR="00292C7D">
        <w:rPr>
          <w:rFonts w:hint="eastAsia"/>
          <w:sz w:val="24"/>
          <w:szCs w:val="24"/>
        </w:rPr>
        <w:t>因此</w:t>
      </w:r>
      <w:r w:rsidR="008A2268">
        <w:rPr>
          <w:rFonts w:hint="eastAsia"/>
          <w:sz w:val="24"/>
          <w:szCs w:val="24"/>
        </w:rPr>
        <w:t>投资者</w:t>
      </w:r>
      <w:r w:rsidR="00292C7D">
        <w:rPr>
          <w:rFonts w:hint="eastAsia"/>
          <w:sz w:val="24"/>
          <w:szCs w:val="24"/>
        </w:rPr>
        <w:t>在做交易时必须考虑手续费</w:t>
      </w:r>
      <w:r w:rsidR="00E01554">
        <w:rPr>
          <w:rFonts w:hint="eastAsia"/>
          <w:sz w:val="24"/>
          <w:szCs w:val="24"/>
        </w:rPr>
        <w:t>对交易</w:t>
      </w:r>
      <w:r w:rsidR="00636C7F">
        <w:rPr>
          <w:rFonts w:hint="eastAsia"/>
          <w:sz w:val="24"/>
          <w:szCs w:val="24"/>
        </w:rPr>
        <w:t>利润</w:t>
      </w:r>
      <w:r w:rsidR="00E01554">
        <w:rPr>
          <w:rFonts w:hint="eastAsia"/>
          <w:sz w:val="24"/>
          <w:szCs w:val="24"/>
        </w:rPr>
        <w:t>的影响，</w:t>
      </w:r>
      <w:r w:rsidR="00292C7D">
        <w:rPr>
          <w:rFonts w:hint="eastAsia"/>
          <w:sz w:val="24"/>
          <w:szCs w:val="24"/>
        </w:rPr>
        <w:t>目前业内对手续费有如下处理方式：</w:t>
      </w:r>
      <w:r w:rsidR="00292C7D">
        <w:rPr>
          <w:rFonts w:hint="eastAsia"/>
          <w:sz w:val="24"/>
          <w:szCs w:val="24"/>
        </w:rPr>
        <w:t>a)</w:t>
      </w:r>
      <w:r w:rsidR="00BA1C65">
        <w:rPr>
          <w:rFonts w:hint="eastAsia"/>
          <w:sz w:val="24"/>
          <w:szCs w:val="24"/>
        </w:rPr>
        <w:t>认可</w:t>
      </w:r>
      <w:r w:rsidR="00292C7D">
        <w:rPr>
          <w:rFonts w:hint="eastAsia"/>
          <w:sz w:val="24"/>
          <w:szCs w:val="24"/>
        </w:rPr>
        <w:t>交易手续费为必须成本；</w:t>
      </w:r>
      <w:r w:rsidR="00292C7D">
        <w:rPr>
          <w:rFonts w:hint="eastAsia"/>
          <w:sz w:val="24"/>
          <w:szCs w:val="24"/>
        </w:rPr>
        <w:t>b)</w:t>
      </w:r>
      <w:r w:rsidR="00292C7D">
        <w:rPr>
          <w:rFonts w:hint="eastAsia"/>
          <w:sz w:val="24"/>
          <w:szCs w:val="24"/>
        </w:rPr>
        <w:t>投资者通过与期货公司商议返</w:t>
      </w:r>
      <w:proofErr w:type="gramStart"/>
      <w:r w:rsidR="00292C7D">
        <w:rPr>
          <w:rFonts w:hint="eastAsia"/>
          <w:sz w:val="24"/>
          <w:szCs w:val="24"/>
        </w:rPr>
        <w:t>佣</w:t>
      </w:r>
      <w:proofErr w:type="gramEnd"/>
      <w:r w:rsidR="00292C7D">
        <w:rPr>
          <w:rFonts w:hint="eastAsia"/>
          <w:sz w:val="24"/>
          <w:szCs w:val="24"/>
        </w:rPr>
        <w:t>等形式减免交易手续费；</w:t>
      </w:r>
      <w:r w:rsidR="00292C7D" w:rsidRPr="00CA3423">
        <w:rPr>
          <w:rFonts w:hint="eastAsia"/>
          <w:sz w:val="24"/>
          <w:szCs w:val="24"/>
        </w:rPr>
        <w:t xml:space="preserve"> </w:t>
      </w:r>
    </w:p>
    <w:p w:rsidR="007F5DFF" w:rsidRDefault="007F5DFF" w:rsidP="00F6525D">
      <w:pPr>
        <w:spacing w:line="400" w:lineRule="exact"/>
        <w:ind w:firstLineChars="177" w:firstLine="425"/>
        <w:rPr>
          <w:rFonts w:hint="eastAsia"/>
          <w:sz w:val="24"/>
          <w:szCs w:val="24"/>
        </w:rPr>
      </w:pPr>
    </w:p>
    <w:p w:rsidR="007F5DFF" w:rsidRPr="00403B35" w:rsidRDefault="007F5DFF" w:rsidP="00F6525D">
      <w:pPr>
        <w:spacing w:line="400" w:lineRule="exact"/>
        <w:ind w:firstLineChars="177" w:firstLine="425"/>
        <w:rPr>
          <w:sz w:val="24"/>
          <w:szCs w:val="24"/>
        </w:rPr>
      </w:pPr>
    </w:p>
    <w:p w:rsidR="00581A00" w:rsidRDefault="00581A00" w:rsidP="00F76E86">
      <w:pPr>
        <w:spacing w:line="400" w:lineRule="exact"/>
        <w:rPr>
          <w:rFonts w:ascii="仿宋" w:eastAsia="仿宋" w:hAnsi="仿宋"/>
          <w:sz w:val="32"/>
          <w:szCs w:val="32"/>
        </w:rPr>
      </w:pPr>
    </w:p>
    <w:p w:rsidR="00581A00" w:rsidRDefault="00581A00" w:rsidP="00F76E86">
      <w:pPr>
        <w:spacing w:line="400" w:lineRule="exact"/>
        <w:rPr>
          <w:rFonts w:ascii="仿宋" w:eastAsia="仿宋" w:hAnsi="仿宋"/>
          <w:sz w:val="32"/>
          <w:szCs w:val="32"/>
        </w:rPr>
      </w:pPr>
    </w:p>
    <w:p w:rsidR="00581A00" w:rsidRDefault="00581A00" w:rsidP="00F76E86">
      <w:pPr>
        <w:spacing w:line="400" w:lineRule="exact"/>
        <w:rPr>
          <w:rFonts w:ascii="仿宋" w:eastAsia="仿宋" w:hAnsi="仿宋"/>
          <w:sz w:val="32"/>
          <w:szCs w:val="32"/>
        </w:rPr>
      </w:pPr>
    </w:p>
    <w:p w:rsidR="00581A00" w:rsidRDefault="00581A00" w:rsidP="00F76E86">
      <w:pPr>
        <w:spacing w:line="400" w:lineRule="exact"/>
        <w:rPr>
          <w:rFonts w:ascii="仿宋" w:eastAsia="仿宋" w:hAnsi="仿宋"/>
          <w:sz w:val="32"/>
          <w:szCs w:val="32"/>
        </w:rPr>
      </w:pPr>
    </w:p>
    <w:p w:rsidR="00581A00" w:rsidRPr="00581A00" w:rsidRDefault="00581A00" w:rsidP="00581A00">
      <w:pPr>
        <w:pStyle w:val="2"/>
        <w:numPr>
          <w:ilvl w:val="2"/>
          <w:numId w:val="3"/>
        </w:numPr>
        <w:spacing w:line="400" w:lineRule="exact"/>
        <w:jc w:val="center"/>
        <w:rPr>
          <w:rFonts w:ascii="黑体" w:eastAsia="黑体" w:hAnsi="黑体"/>
          <w:sz w:val="30"/>
          <w:szCs w:val="30"/>
        </w:rPr>
      </w:pPr>
      <w:r w:rsidRPr="00581A00">
        <w:rPr>
          <w:rFonts w:ascii="黑体" w:eastAsia="黑体" w:hAnsi="黑体" w:hint="eastAsia"/>
          <w:sz w:val="30"/>
          <w:szCs w:val="30"/>
        </w:rPr>
        <w:t>交易延时对于高频交易的影响</w:t>
      </w:r>
    </w:p>
    <w:p w:rsidR="0021076A" w:rsidRDefault="00665AF3" w:rsidP="00665AF3">
      <w:pPr>
        <w:spacing w:line="400" w:lineRule="exact"/>
        <w:ind w:firstLineChars="177" w:firstLine="425"/>
        <w:rPr>
          <w:rFonts w:hint="eastAsia"/>
          <w:sz w:val="24"/>
          <w:szCs w:val="24"/>
        </w:rPr>
      </w:pPr>
      <w:r w:rsidRPr="00665AF3">
        <w:rPr>
          <w:sz w:val="24"/>
          <w:szCs w:val="24"/>
        </w:rPr>
        <w:t>国内期货市场目前的数据传送情况如下：</w:t>
      </w:r>
    </w:p>
    <w:tbl>
      <w:tblPr>
        <w:tblW w:w="5000" w:type="pct"/>
        <w:tblLook w:val="04A0" w:firstRow="1" w:lastRow="0" w:firstColumn="1" w:lastColumn="0" w:noHBand="0" w:noVBand="1"/>
      </w:tblPr>
      <w:tblGrid>
        <w:gridCol w:w="2196"/>
        <w:gridCol w:w="3157"/>
        <w:gridCol w:w="3083"/>
      </w:tblGrid>
      <w:tr w:rsidR="00665AF3" w:rsidRPr="00665AF3" w:rsidTr="00665AF3">
        <w:trPr>
          <w:trHeight w:val="288"/>
        </w:trPr>
        <w:tc>
          <w:tcPr>
            <w:tcW w:w="130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 xml:space="preserve">　</w:t>
            </w:r>
          </w:p>
        </w:tc>
        <w:tc>
          <w:tcPr>
            <w:tcW w:w="1871" w:type="pct"/>
            <w:tcBorders>
              <w:top w:val="single" w:sz="8" w:space="0" w:color="auto"/>
              <w:left w:val="nil"/>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系统名称</w:t>
            </w:r>
          </w:p>
        </w:tc>
        <w:tc>
          <w:tcPr>
            <w:tcW w:w="1827" w:type="pct"/>
            <w:tcBorders>
              <w:top w:val="single" w:sz="8" w:space="0" w:color="auto"/>
              <w:left w:val="nil"/>
              <w:bottom w:val="single" w:sz="4" w:space="0" w:color="auto"/>
              <w:right w:val="single" w:sz="8" w:space="0" w:color="auto"/>
            </w:tcBorders>
            <w:shd w:val="clear" w:color="auto" w:fill="auto"/>
            <w:noWrap/>
            <w:vAlign w:val="bottom"/>
            <w:hideMark/>
          </w:tcPr>
          <w:p w:rsidR="00665AF3" w:rsidRPr="00665AF3" w:rsidRDefault="008B0A40" w:rsidP="00665AF3">
            <w:pPr>
              <w:widowControl/>
              <w:jc w:val="left"/>
              <w:rPr>
                <w:rFonts w:ascii="宋体" w:eastAsia="宋体" w:hAnsi="宋体" w:cs="宋体"/>
                <w:color w:val="000000"/>
                <w:kern w:val="0"/>
                <w:sz w:val="22"/>
              </w:rPr>
            </w:pPr>
            <w:r>
              <w:rPr>
                <w:rFonts w:hint="eastAsia"/>
                <w:sz w:val="24"/>
                <w:szCs w:val="24"/>
              </w:rPr>
              <w:t>行情数据发布频率</w:t>
            </w:r>
          </w:p>
        </w:tc>
      </w:tr>
      <w:tr w:rsidR="00665AF3" w:rsidRPr="00665AF3" w:rsidTr="00665AF3">
        <w:trPr>
          <w:trHeight w:val="288"/>
        </w:trPr>
        <w:tc>
          <w:tcPr>
            <w:tcW w:w="1302" w:type="pct"/>
            <w:tcBorders>
              <w:top w:val="nil"/>
              <w:left w:val="single" w:sz="8" w:space="0" w:color="auto"/>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上海期货交易所</w:t>
            </w:r>
          </w:p>
        </w:tc>
        <w:tc>
          <w:tcPr>
            <w:tcW w:w="1871" w:type="pct"/>
            <w:tcBorders>
              <w:top w:val="nil"/>
              <w:left w:val="nil"/>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上期所CTP</w:t>
            </w:r>
          </w:p>
        </w:tc>
        <w:tc>
          <w:tcPr>
            <w:tcW w:w="1827" w:type="pct"/>
            <w:tcBorders>
              <w:top w:val="nil"/>
              <w:left w:val="nil"/>
              <w:bottom w:val="single" w:sz="4" w:space="0" w:color="auto"/>
              <w:right w:val="single" w:sz="8"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2次/秒</w:t>
            </w:r>
          </w:p>
        </w:tc>
      </w:tr>
      <w:tr w:rsidR="00665AF3" w:rsidRPr="00665AF3" w:rsidTr="00665AF3">
        <w:trPr>
          <w:trHeight w:val="288"/>
        </w:trPr>
        <w:tc>
          <w:tcPr>
            <w:tcW w:w="1302" w:type="pct"/>
            <w:tcBorders>
              <w:top w:val="nil"/>
              <w:left w:val="single" w:sz="8" w:space="0" w:color="auto"/>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郑州商品交易所</w:t>
            </w:r>
          </w:p>
        </w:tc>
        <w:tc>
          <w:tcPr>
            <w:tcW w:w="1871" w:type="pct"/>
            <w:tcBorders>
              <w:top w:val="nil"/>
              <w:left w:val="nil"/>
              <w:bottom w:val="single" w:sz="4" w:space="0" w:color="auto"/>
              <w:right w:val="single" w:sz="4" w:space="0" w:color="auto"/>
            </w:tcBorders>
            <w:shd w:val="clear" w:color="auto" w:fill="auto"/>
            <w:noWrap/>
            <w:vAlign w:val="bottom"/>
            <w:hideMark/>
          </w:tcPr>
          <w:p w:rsidR="00665AF3" w:rsidRPr="00665AF3" w:rsidRDefault="00846C29" w:rsidP="00665AF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郑州</w:t>
            </w:r>
            <w:r w:rsidR="00665AF3" w:rsidRPr="00665AF3">
              <w:rPr>
                <w:rFonts w:ascii="宋体" w:eastAsia="宋体" w:hAnsi="宋体" w:cs="宋体" w:hint="eastAsia"/>
                <w:color w:val="000000"/>
                <w:kern w:val="0"/>
                <w:sz w:val="22"/>
              </w:rPr>
              <w:t>易盛</w:t>
            </w:r>
          </w:p>
        </w:tc>
        <w:tc>
          <w:tcPr>
            <w:tcW w:w="1827" w:type="pct"/>
            <w:tcBorders>
              <w:top w:val="nil"/>
              <w:left w:val="nil"/>
              <w:bottom w:val="single" w:sz="4" w:space="0" w:color="auto"/>
              <w:right w:val="single" w:sz="8"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2次/秒</w:t>
            </w:r>
          </w:p>
        </w:tc>
      </w:tr>
      <w:tr w:rsidR="00665AF3" w:rsidRPr="00665AF3" w:rsidTr="00665AF3">
        <w:trPr>
          <w:trHeight w:val="679"/>
        </w:trPr>
        <w:tc>
          <w:tcPr>
            <w:tcW w:w="1302" w:type="pct"/>
            <w:tcBorders>
              <w:top w:val="nil"/>
              <w:left w:val="single" w:sz="8" w:space="0" w:color="auto"/>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大连商品交易所</w:t>
            </w:r>
          </w:p>
        </w:tc>
        <w:tc>
          <w:tcPr>
            <w:tcW w:w="1871" w:type="pct"/>
            <w:tcBorders>
              <w:top w:val="nil"/>
              <w:left w:val="nil"/>
              <w:bottom w:val="single" w:sz="4"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大连</w:t>
            </w:r>
            <w:r w:rsidRPr="00665AF3">
              <w:rPr>
                <w:rFonts w:ascii="宋体" w:eastAsia="宋体" w:hAnsi="宋体" w:cs="宋体" w:hint="eastAsia"/>
                <w:color w:val="000000"/>
                <w:kern w:val="0"/>
                <w:sz w:val="22"/>
              </w:rPr>
              <w:t>飞创</w:t>
            </w:r>
            <w:proofErr w:type="gramEnd"/>
          </w:p>
        </w:tc>
        <w:tc>
          <w:tcPr>
            <w:tcW w:w="1827" w:type="pct"/>
            <w:tcBorders>
              <w:top w:val="nil"/>
              <w:left w:val="nil"/>
              <w:bottom w:val="single" w:sz="4" w:space="0" w:color="auto"/>
              <w:right w:val="single" w:sz="8" w:space="0" w:color="auto"/>
            </w:tcBorders>
            <w:shd w:val="clear" w:color="auto" w:fill="auto"/>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基本行情2次/秒</w:t>
            </w:r>
            <w:r w:rsidRPr="00665AF3">
              <w:rPr>
                <w:rFonts w:ascii="宋体" w:eastAsia="宋体" w:hAnsi="宋体" w:cs="宋体" w:hint="eastAsia"/>
                <w:color w:val="000000"/>
                <w:kern w:val="0"/>
                <w:sz w:val="22"/>
              </w:rPr>
              <w:br/>
              <w:t>Level-2行情4次/秒</w:t>
            </w:r>
            <w:r w:rsidRPr="00665AF3">
              <w:rPr>
                <w:rFonts w:ascii="宋体" w:eastAsia="宋体" w:hAnsi="宋体" w:cs="宋体" w:hint="eastAsia"/>
                <w:color w:val="000000"/>
                <w:kern w:val="0"/>
                <w:sz w:val="22"/>
              </w:rPr>
              <w:br/>
              <w:t>延时行情2次/秒</w:t>
            </w:r>
          </w:p>
        </w:tc>
      </w:tr>
      <w:tr w:rsidR="00665AF3" w:rsidRPr="00665AF3" w:rsidTr="00665AF3">
        <w:trPr>
          <w:trHeight w:val="300"/>
        </w:trPr>
        <w:tc>
          <w:tcPr>
            <w:tcW w:w="1302" w:type="pct"/>
            <w:tcBorders>
              <w:top w:val="nil"/>
              <w:left w:val="single" w:sz="8" w:space="0" w:color="auto"/>
              <w:bottom w:val="single" w:sz="8"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中国金融期货交易所</w:t>
            </w:r>
          </w:p>
        </w:tc>
        <w:tc>
          <w:tcPr>
            <w:tcW w:w="1871" w:type="pct"/>
            <w:tcBorders>
              <w:top w:val="nil"/>
              <w:left w:val="nil"/>
              <w:bottom w:val="single" w:sz="8" w:space="0" w:color="auto"/>
              <w:right w:val="single" w:sz="4"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中金所飞马系统</w:t>
            </w:r>
          </w:p>
        </w:tc>
        <w:tc>
          <w:tcPr>
            <w:tcW w:w="1827" w:type="pct"/>
            <w:tcBorders>
              <w:top w:val="nil"/>
              <w:left w:val="nil"/>
              <w:bottom w:val="single" w:sz="8" w:space="0" w:color="auto"/>
              <w:right w:val="single" w:sz="8" w:space="0" w:color="auto"/>
            </w:tcBorders>
            <w:shd w:val="clear" w:color="auto" w:fill="auto"/>
            <w:noWrap/>
            <w:vAlign w:val="bottom"/>
            <w:hideMark/>
          </w:tcPr>
          <w:p w:rsidR="00665AF3" w:rsidRPr="00665AF3" w:rsidRDefault="00665AF3" w:rsidP="00665AF3">
            <w:pPr>
              <w:widowControl/>
              <w:jc w:val="left"/>
              <w:rPr>
                <w:rFonts w:ascii="宋体" w:eastAsia="宋体" w:hAnsi="宋体" w:cs="宋体"/>
                <w:color w:val="000000"/>
                <w:kern w:val="0"/>
                <w:sz w:val="22"/>
              </w:rPr>
            </w:pPr>
            <w:r w:rsidRPr="00665AF3">
              <w:rPr>
                <w:rFonts w:ascii="宋体" w:eastAsia="宋体" w:hAnsi="宋体" w:cs="宋体" w:hint="eastAsia"/>
                <w:color w:val="000000"/>
                <w:kern w:val="0"/>
                <w:sz w:val="22"/>
              </w:rPr>
              <w:t>4次/秒</w:t>
            </w:r>
          </w:p>
        </w:tc>
      </w:tr>
    </w:tbl>
    <w:p w:rsidR="00DF7B8D" w:rsidRDefault="00DF7B8D" w:rsidP="00665AF3">
      <w:pPr>
        <w:spacing w:line="400" w:lineRule="exact"/>
        <w:ind w:firstLineChars="177" w:firstLine="425"/>
        <w:rPr>
          <w:rFonts w:hint="eastAsia"/>
          <w:sz w:val="24"/>
          <w:szCs w:val="24"/>
        </w:rPr>
      </w:pPr>
      <w:r>
        <w:rPr>
          <w:rFonts w:hint="eastAsia"/>
          <w:sz w:val="24"/>
          <w:szCs w:val="24"/>
        </w:rPr>
        <w:t>表</w:t>
      </w:r>
      <w:r>
        <w:rPr>
          <w:rFonts w:hint="eastAsia"/>
          <w:sz w:val="24"/>
          <w:szCs w:val="24"/>
        </w:rPr>
        <w:t>X</w:t>
      </w:r>
      <w:r>
        <w:rPr>
          <w:rFonts w:hint="eastAsia"/>
          <w:sz w:val="24"/>
          <w:szCs w:val="24"/>
        </w:rPr>
        <w:t>：国内期货市场</w:t>
      </w:r>
      <w:r w:rsidR="00012417">
        <w:rPr>
          <w:rFonts w:hint="eastAsia"/>
          <w:sz w:val="24"/>
          <w:szCs w:val="24"/>
        </w:rPr>
        <w:t>行情数据发布频率</w:t>
      </w:r>
      <w:r>
        <w:rPr>
          <w:rFonts w:hint="eastAsia"/>
          <w:sz w:val="24"/>
          <w:szCs w:val="24"/>
        </w:rPr>
        <w:t>，数据来自各</w:t>
      </w:r>
      <w:proofErr w:type="gramStart"/>
      <w:r>
        <w:rPr>
          <w:rFonts w:hint="eastAsia"/>
          <w:sz w:val="24"/>
          <w:szCs w:val="24"/>
        </w:rPr>
        <w:t>交易所官网网址</w:t>
      </w:r>
      <w:proofErr w:type="gramEnd"/>
    </w:p>
    <w:p w:rsidR="00665AF3" w:rsidRDefault="00501FFA" w:rsidP="00B773D6">
      <w:pPr>
        <w:spacing w:line="400" w:lineRule="exact"/>
        <w:ind w:firstLineChars="177" w:firstLine="425"/>
        <w:rPr>
          <w:rFonts w:hint="eastAsia"/>
          <w:sz w:val="24"/>
          <w:szCs w:val="24"/>
        </w:rPr>
      </w:pPr>
      <w:r>
        <w:rPr>
          <w:rFonts w:hint="eastAsia"/>
          <w:sz w:val="24"/>
          <w:szCs w:val="24"/>
        </w:rPr>
        <w:t>上期所</w:t>
      </w:r>
      <w:r>
        <w:rPr>
          <w:rFonts w:hint="eastAsia"/>
          <w:sz w:val="24"/>
          <w:szCs w:val="24"/>
        </w:rPr>
        <w:t>CTP</w:t>
      </w:r>
      <w:r>
        <w:rPr>
          <w:rFonts w:hint="eastAsia"/>
          <w:sz w:val="24"/>
          <w:szCs w:val="24"/>
        </w:rPr>
        <w:t>接口由于启动时间较早、功能完善，且同时支持四大期货交易所，所以运用范围比较广泛。中金所的飞马系统由中金所技术公司研发，仅能支持中金所的股指期货与国债期货，但由于其系统部署在数讯机房，物理位置较优</w:t>
      </w:r>
      <w:r w:rsidR="00A80FC3">
        <w:rPr>
          <w:rFonts w:hint="eastAsia"/>
          <w:sz w:val="24"/>
          <w:szCs w:val="24"/>
        </w:rPr>
        <w:t>（上期所在张江机房，中金所在数讯机房，物理</w:t>
      </w:r>
      <w:proofErr w:type="gramStart"/>
      <w:r w:rsidR="00A80FC3">
        <w:rPr>
          <w:rFonts w:hint="eastAsia"/>
          <w:sz w:val="24"/>
          <w:szCs w:val="24"/>
        </w:rPr>
        <w:t>上数讯机房</w:t>
      </w:r>
      <w:proofErr w:type="gramEnd"/>
      <w:r w:rsidR="00A80FC3">
        <w:rPr>
          <w:rFonts w:hint="eastAsia"/>
          <w:sz w:val="24"/>
          <w:szCs w:val="24"/>
        </w:rPr>
        <w:t>更加靠近中金所）</w:t>
      </w:r>
      <w:r>
        <w:rPr>
          <w:rFonts w:hint="eastAsia"/>
          <w:sz w:val="24"/>
          <w:szCs w:val="24"/>
        </w:rPr>
        <w:t>，目前各期货公司做实地测试单程耗时仅</w:t>
      </w:r>
      <w:r>
        <w:rPr>
          <w:rFonts w:hint="eastAsia"/>
          <w:sz w:val="24"/>
          <w:szCs w:val="24"/>
        </w:rPr>
        <w:t>2-3ms</w:t>
      </w:r>
      <w:r>
        <w:rPr>
          <w:rFonts w:hint="eastAsia"/>
          <w:sz w:val="24"/>
          <w:szCs w:val="24"/>
        </w:rPr>
        <w:t>，在速度上有较大优势。</w:t>
      </w:r>
    </w:p>
    <w:p w:rsidR="00B773D6" w:rsidRDefault="00B773D6" w:rsidP="00B773D6">
      <w:pPr>
        <w:spacing w:line="400" w:lineRule="exact"/>
        <w:ind w:firstLineChars="177" w:firstLine="372"/>
        <w:rPr>
          <w:rFonts w:hint="eastAsia"/>
          <w:sz w:val="24"/>
          <w:szCs w:val="24"/>
        </w:rPr>
      </w:pPr>
      <w:r>
        <w:rPr>
          <w:noProof/>
        </w:rPr>
        <w:drawing>
          <wp:anchor distT="0" distB="0" distL="114300" distR="114300" simplePos="0" relativeHeight="251660288" behindDoc="0" locked="0" layoutInCell="1" allowOverlap="1" wp14:anchorId="29D65AB3" wp14:editId="1F6255A7">
            <wp:simplePos x="0" y="0"/>
            <wp:positionH relativeFrom="column">
              <wp:posOffset>446405</wp:posOffset>
            </wp:positionH>
            <wp:positionV relativeFrom="paragraph">
              <wp:posOffset>10160</wp:posOffset>
            </wp:positionV>
            <wp:extent cx="4328160" cy="22834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28160" cy="2283460"/>
                    </a:xfrm>
                    <a:prstGeom prst="rect">
                      <a:avLst/>
                    </a:prstGeom>
                  </pic:spPr>
                </pic:pic>
              </a:graphicData>
            </a:graphic>
            <wp14:sizeRelH relativeFrom="margin">
              <wp14:pctWidth>0</wp14:pctWidth>
            </wp14:sizeRelH>
            <wp14:sizeRelV relativeFrom="margin">
              <wp14:pctHeight>0</wp14:pctHeight>
            </wp14:sizeRelV>
          </wp:anchor>
        </w:drawing>
      </w:r>
    </w:p>
    <w:p w:rsidR="00665AF3" w:rsidRDefault="00A80FC3" w:rsidP="00A80FC3">
      <w:pPr>
        <w:spacing w:line="400" w:lineRule="exact"/>
        <w:ind w:firstLineChars="177" w:firstLine="425"/>
        <w:rPr>
          <w:rFonts w:hint="eastAsia"/>
          <w:sz w:val="24"/>
          <w:szCs w:val="24"/>
        </w:rPr>
      </w:pPr>
      <w:r>
        <w:rPr>
          <w:rFonts w:hint="eastAsia"/>
          <w:sz w:val="24"/>
          <w:szCs w:val="24"/>
        </w:rPr>
        <w:t>图</w:t>
      </w:r>
      <w:r>
        <w:rPr>
          <w:rFonts w:hint="eastAsia"/>
          <w:sz w:val="24"/>
          <w:szCs w:val="24"/>
        </w:rPr>
        <w:t>X</w:t>
      </w:r>
      <w:r>
        <w:rPr>
          <w:rFonts w:hint="eastAsia"/>
          <w:sz w:val="24"/>
          <w:szCs w:val="24"/>
        </w:rPr>
        <w:t>：上海各机房物理部署，来源于中金所飞马系统官网</w:t>
      </w:r>
    </w:p>
    <w:p w:rsidR="00665AF3" w:rsidRPr="00757619" w:rsidRDefault="00665AF3" w:rsidP="00665AF3">
      <w:pPr>
        <w:spacing w:line="400" w:lineRule="exact"/>
        <w:ind w:firstLineChars="177" w:firstLine="425"/>
        <w:rPr>
          <w:rFonts w:hint="eastAsia"/>
          <w:sz w:val="24"/>
          <w:szCs w:val="24"/>
        </w:rPr>
      </w:pPr>
    </w:p>
    <w:p w:rsidR="00665AF3" w:rsidRDefault="00757619" w:rsidP="00665AF3">
      <w:pPr>
        <w:spacing w:line="400" w:lineRule="exact"/>
        <w:ind w:firstLineChars="177" w:firstLine="425"/>
        <w:rPr>
          <w:rFonts w:hint="eastAsia"/>
          <w:sz w:val="24"/>
          <w:szCs w:val="24"/>
        </w:rPr>
      </w:pPr>
      <w:r>
        <w:rPr>
          <w:sz w:val="24"/>
          <w:szCs w:val="24"/>
        </w:rPr>
        <w:t>对于高频交易来说，无论是做市或者套利，速度都是十分重要的因素。如</w:t>
      </w:r>
      <w:r>
        <w:rPr>
          <w:sz w:val="24"/>
          <w:szCs w:val="24"/>
        </w:rPr>
        <w:lastRenderedPageBreak/>
        <w:t>果使</w:t>
      </w:r>
      <w:proofErr w:type="gramStart"/>
      <w:r>
        <w:rPr>
          <w:sz w:val="24"/>
          <w:szCs w:val="24"/>
        </w:rPr>
        <w:t>用做市</w:t>
      </w:r>
      <w:proofErr w:type="gramEnd"/>
      <w:r>
        <w:rPr>
          <w:sz w:val="24"/>
          <w:szCs w:val="24"/>
        </w:rPr>
        <w:t>商策略，则交易目标是在尽可能短的时间内完成一个回合的交易，这样可以使市场风险降到最低，否则价格有可能会朝着不利于做市商的方向发展。投资者尽可能的完成一个回合的交易，这自然带来的要求就是提高交易的速度。此外，作为高频交易者，与其他高频交易者也存在着竞争关系：能够比对方更快发出指令的交易商，哪怕只快</w:t>
      </w:r>
      <w:r>
        <w:rPr>
          <w:rFonts w:hint="eastAsia"/>
          <w:sz w:val="24"/>
          <w:szCs w:val="24"/>
        </w:rPr>
        <w:t>一毫秒，都可以抢先把订单发布出去或者成交。当使用套利策略时，速度同样十分重要，尤其是在高频交易者竞争激烈的市场上，套利机会将在几百毫秒内出现后就被其他高频交易者拿下，在这种情形下，第一时间发现这些机会，就意味着能够利用这个机会获得利润。</w:t>
      </w:r>
    </w:p>
    <w:p w:rsidR="00B920FC" w:rsidRDefault="00B920FC" w:rsidP="00665AF3">
      <w:pPr>
        <w:spacing w:line="400" w:lineRule="exact"/>
        <w:ind w:firstLineChars="177" w:firstLine="425"/>
        <w:rPr>
          <w:rFonts w:hint="eastAsia"/>
          <w:sz w:val="24"/>
          <w:szCs w:val="24"/>
        </w:rPr>
      </w:pPr>
      <w:r>
        <w:rPr>
          <w:rFonts w:hint="eastAsia"/>
          <w:sz w:val="24"/>
          <w:szCs w:val="24"/>
        </w:rPr>
        <w:t>因此高频交易的发展目标始终是“要力争比竞争对手更快”，使信息滞后度达到最低。其中最重要的策略就是“主机托管”，此处我们展示某高频交易软件厂商的主机托管说明。</w:t>
      </w:r>
    </w:p>
    <w:p w:rsidR="00B920FC" w:rsidRPr="00665AF3" w:rsidRDefault="00927FF0" w:rsidP="00665AF3">
      <w:pPr>
        <w:spacing w:line="400" w:lineRule="exact"/>
        <w:ind w:firstLineChars="177" w:firstLine="425"/>
        <w:rPr>
          <w:sz w:val="24"/>
          <w:szCs w:val="24"/>
        </w:rPr>
      </w:pPr>
      <w:r>
        <w:rPr>
          <w:noProof/>
          <w:sz w:val="24"/>
          <w:szCs w:val="24"/>
        </w:rPr>
        <w:drawing>
          <wp:anchor distT="0" distB="0" distL="114300" distR="114300" simplePos="0" relativeHeight="251661312" behindDoc="1" locked="0" layoutInCell="1" allowOverlap="1" wp14:anchorId="1D73F0DF" wp14:editId="03EC51CA">
            <wp:simplePos x="0" y="0"/>
            <wp:positionH relativeFrom="column">
              <wp:posOffset>133985</wp:posOffset>
            </wp:positionH>
            <wp:positionV relativeFrom="paragraph">
              <wp:posOffset>198120</wp:posOffset>
            </wp:positionV>
            <wp:extent cx="5219700" cy="2905125"/>
            <wp:effectExtent l="0" t="0" r="0" b="0"/>
            <wp:wrapTight wrapText="bothSides">
              <wp:wrapPolygon edited="0">
                <wp:start x="0" y="0"/>
                <wp:lineTo x="0" y="21529"/>
                <wp:lineTo x="21521" y="21529"/>
                <wp:lineTo x="215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2905125"/>
                    </a:xfrm>
                    <a:prstGeom prst="rect">
                      <a:avLst/>
                    </a:prstGeom>
                  </pic:spPr>
                </pic:pic>
              </a:graphicData>
            </a:graphic>
            <wp14:sizeRelH relativeFrom="page">
              <wp14:pctWidth>0</wp14:pctWidth>
            </wp14:sizeRelH>
            <wp14:sizeRelV relativeFrom="page">
              <wp14:pctHeight>0</wp14:pctHeight>
            </wp14:sizeRelV>
          </wp:anchor>
        </w:drawing>
      </w:r>
      <w:r w:rsidR="00B920FC">
        <w:rPr>
          <w:sz w:val="24"/>
          <w:szCs w:val="24"/>
        </w:rPr>
        <w:t>图</w:t>
      </w:r>
      <w:r w:rsidR="00B920FC">
        <w:rPr>
          <w:sz w:val="24"/>
          <w:szCs w:val="24"/>
        </w:rPr>
        <w:t>X</w:t>
      </w:r>
      <w:r w:rsidR="00B920FC">
        <w:rPr>
          <w:sz w:val="24"/>
          <w:szCs w:val="24"/>
        </w:rPr>
        <w:t>：某高频交易软件厂商的主机托管</w:t>
      </w:r>
      <w:r>
        <w:rPr>
          <w:sz w:val="24"/>
          <w:szCs w:val="24"/>
        </w:rPr>
        <w:t>说明</w:t>
      </w:r>
    </w:p>
    <w:p w:rsidR="0021076A" w:rsidRPr="00927FF0" w:rsidRDefault="00927FF0" w:rsidP="00927FF0">
      <w:pPr>
        <w:spacing w:line="400" w:lineRule="exact"/>
        <w:ind w:firstLineChars="177" w:firstLine="425"/>
        <w:rPr>
          <w:sz w:val="24"/>
          <w:szCs w:val="24"/>
        </w:rPr>
      </w:pPr>
      <w:r>
        <w:rPr>
          <w:rFonts w:hint="eastAsia"/>
          <w:sz w:val="24"/>
          <w:szCs w:val="24"/>
        </w:rPr>
        <w:t>目前国内</w:t>
      </w:r>
      <w:r w:rsidR="00B920FC" w:rsidRPr="00927FF0">
        <w:rPr>
          <w:rFonts w:hint="eastAsia"/>
          <w:sz w:val="24"/>
          <w:szCs w:val="24"/>
        </w:rPr>
        <w:t>高频交易软件厂商众多，</w:t>
      </w:r>
      <w:r>
        <w:rPr>
          <w:rFonts w:hint="eastAsia"/>
          <w:sz w:val="24"/>
          <w:szCs w:val="24"/>
        </w:rPr>
        <w:t>但毫无疑问的是每家公司都尽可能提供了“主机托管服务”，</w:t>
      </w:r>
      <w:r w:rsidR="00425141">
        <w:rPr>
          <w:rFonts w:hint="eastAsia"/>
          <w:sz w:val="24"/>
          <w:szCs w:val="24"/>
        </w:rPr>
        <w:t>使高频交易者的计算机与交易所相应的计算机尽可能的靠近，这样可以减少电子信号进出交易所所耗费的时间。</w:t>
      </w:r>
      <w:r w:rsidR="008111CC">
        <w:rPr>
          <w:rFonts w:hint="eastAsia"/>
          <w:sz w:val="24"/>
          <w:szCs w:val="24"/>
        </w:rPr>
        <w:t>由于电子信号以光速传播，主机托管的优势对于普通交易者来说并不显著，但是信号沿光纤传播的速度为每公里</w:t>
      </w:r>
      <w:r w:rsidR="008111CC">
        <w:rPr>
          <w:rFonts w:hint="eastAsia"/>
          <w:sz w:val="24"/>
          <w:szCs w:val="24"/>
        </w:rPr>
        <w:t>5.5</w:t>
      </w:r>
      <w:r w:rsidR="008111CC">
        <w:rPr>
          <w:rFonts w:hint="eastAsia"/>
          <w:sz w:val="24"/>
          <w:szCs w:val="24"/>
        </w:rPr>
        <w:t>微妙，高频交易者的服务器与交易所的距离每减少</w:t>
      </w:r>
      <w:r w:rsidR="008111CC">
        <w:rPr>
          <w:rFonts w:hint="eastAsia"/>
          <w:sz w:val="24"/>
          <w:szCs w:val="24"/>
        </w:rPr>
        <w:t>100</w:t>
      </w:r>
      <w:r w:rsidR="008111CC">
        <w:rPr>
          <w:rFonts w:hint="eastAsia"/>
          <w:sz w:val="24"/>
          <w:szCs w:val="24"/>
        </w:rPr>
        <w:t>公里，</w:t>
      </w:r>
      <w:r w:rsidR="008111CC">
        <w:rPr>
          <w:rFonts w:hint="eastAsia"/>
          <w:sz w:val="24"/>
          <w:szCs w:val="24"/>
        </w:rPr>
        <w:lastRenderedPageBreak/>
        <w:t>单向的信号传输时间就会减少</w:t>
      </w:r>
      <w:r w:rsidR="008111CC">
        <w:rPr>
          <w:rFonts w:hint="eastAsia"/>
          <w:sz w:val="24"/>
          <w:szCs w:val="24"/>
        </w:rPr>
        <w:t>550</w:t>
      </w:r>
      <w:r w:rsidR="008111CC">
        <w:rPr>
          <w:rFonts w:hint="eastAsia"/>
          <w:sz w:val="24"/>
          <w:szCs w:val="24"/>
        </w:rPr>
        <w:t>微妙，双向速度将减少</w:t>
      </w:r>
      <w:r w:rsidR="008111CC">
        <w:rPr>
          <w:rFonts w:hint="eastAsia"/>
          <w:sz w:val="24"/>
          <w:szCs w:val="24"/>
        </w:rPr>
        <w:t>1ms</w:t>
      </w:r>
      <w:r w:rsidR="008111CC">
        <w:rPr>
          <w:rFonts w:hint="eastAsia"/>
          <w:sz w:val="24"/>
          <w:szCs w:val="24"/>
        </w:rPr>
        <w:t>，对于高频交易来说，</w:t>
      </w:r>
      <w:r w:rsidR="008111CC">
        <w:rPr>
          <w:rFonts w:hint="eastAsia"/>
          <w:sz w:val="24"/>
          <w:szCs w:val="24"/>
        </w:rPr>
        <w:t>1ms</w:t>
      </w:r>
      <w:r w:rsidR="008111CC">
        <w:rPr>
          <w:rFonts w:hint="eastAsia"/>
          <w:sz w:val="24"/>
          <w:szCs w:val="24"/>
        </w:rPr>
        <w:t>已经足够甩开竞争对手。</w:t>
      </w:r>
      <w:r w:rsidR="004D5682">
        <w:rPr>
          <w:rFonts w:hint="eastAsia"/>
          <w:sz w:val="24"/>
          <w:szCs w:val="24"/>
        </w:rPr>
        <w:t>尤其我国国土面积</w:t>
      </w:r>
      <w:proofErr w:type="gramStart"/>
      <w:r w:rsidR="004D5682">
        <w:rPr>
          <w:rFonts w:hint="eastAsia"/>
          <w:sz w:val="24"/>
          <w:szCs w:val="24"/>
        </w:rPr>
        <w:t>辽阔大</w:t>
      </w:r>
      <w:proofErr w:type="gramEnd"/>
      <w:r w:rsidR="004D5682">
        <w:rPr>
          <w:rFonts w:hint="eastAsia"/>
          <w:sz w:val="24"/>
          <w:szCs w:val="24"/>
        </w:rPr>
        <w:t>纵深的情况，如果有一名高频交易者在西安开展他的股指期货高频交易事业，就必须面对西安到上海的距离问题。西安到上海的直线距离是</w:t>
      </w:r>
      <w:r w:rsidR="004D5682">
        <w:rPr>
          <w:rFonts w:hint="eastAsia"/>
          <w:sz w:val="24"/>
          <w:szCs w:val="24"/>
        </w:rPr>
        <w:t>1200</w:t>
      </w:r>
      <w:r w:rsidR="004D5682">
        <w:rPr>
          <w:rFonts w:hint="eastAsia"/>
          <w:sz w:val="24"/>
          <w:szCs w:val="24"/>
        </w:rPr>
        <w:t>公里，意味着这位西安的高频交易者每笔交易都会有</w:t>
      </w:r>
      <w:r w:rsidR="004D5682">
        <w:rPr>
          <w:rFonts w:hint="eastAsia"/>
          <w:sz w:val="24"/>
          <w:szCs w:val="24"/>
        </w:rPr>
        <w:t>24ms</w:t>
      </w:r>
      <w:r w:rsidR="004D5682">
        <w:rPr>
          <w:rFonts w:hint="eastAsia"/>
          <w:sz w:val="24"/>
          <w:szCs w:val="24"/>
        </w:rPr>
        <w:t>的交易延时，这在高频交易中将会带来惨重的损失。如果该高频交易者租用了托管机房，则可以极快的获取最新的数据信息，比其他的交易者更快的下单与成交。</w:t>
      </w:r>
    </w:p>
    <w:p w:rsidR="0021076A" w:rsidRDefault="00B920FC" w:rsidP="00F76E86">
      <w:pPr>
        <w:spacing w:line="400" w:lineRule="exact"/>
        <w:rPr>
          <w:rFonts w:ascii="仿宋" w:eastAsia="仿宋" w:hAnsi="仿宋"/>
          <w:sz w:val="32"/>
          <w:szCs w:val="32"/>
        </w:rPr>
      </w:pPr>
      <w:r>
        <w:rPr>
          <w:rFonts w:ascii="仿宋" w:eastAsia="仿宋" w:hAnsi="仿宋" w:hint="eastAsia"/>
          <w:sz w:val="32"/>
          <w:szCs w:val="32"/>
        </w:rPr>
        <w:tab/>
      </w:r>
    </w:p>
    <w:p w:rsidR="0021076A" w:rsidRDefault="0021076A" w:rsidP="00F76E86">
      <w:pPr>
        <w:spacing w:line="400" w:lineRule="exact"/>
        <w:rPr>
          <w:rFonts w:ascii="仿宋" w:eastAsia="仿宋" w:hAnsi="仿宋"/>
          <w:sz w:val="32"/>
          <w:szCs w:val="32"/>
        </w:rPr>
      </w:pPr>
    </w:p>
    <w:p w:rsidR="0021076A" w:rsidRDefault="0021076A" w:rsidP="00F76E86">
      <w:pPr>
        <w:spacing w:line="400" w:lineRule="exact"/>
        <w:rPr>
          <w:rFonts w:ascii="仿宋" w:eastAsia="仿宋" w:hAnsi="仿宋"/>
          <w:sz w:val="32"/>
          <w:szCs w:val="32"/>
        </w:rPr>
      </w:pPr>
    </w:p>
    <w:p w:rsidR="00E2637F" w:rsidRPr="00FC5024" w:rsidRDefault="00E2637F" w:rsidP="00E2637F">
      <w:pPr>
        <w:pStyle w:val="2"/>
        <w:numPr>
          <w:ilvl w:val="1"/>
          <w:numId w:val="3"/>
        </w:numPr>
        <w:spacing w:line="400" w:lineRule="exact"/>
        <w:ind w:left="0" w:firstLine="0"/>
        <w:jc w:val="center"/>
        <w:rPr>
          <w:rFonts w:ascii="黑体" w:eastAsia="黑体" w:hAnsi="黑体"/>
          <w:sz w:val="30"/>
          <w:szCs w:val="30"/>
        </w:rPr>
      </w:pPr>
      <w:r>
        <w:rPr>
          <w:rFonts w:ascii="黑体" w:eastAsia="黑体" w:hAnsi="黑体"/>
          <w:sz w:val="30"/>
          <w:szCs w:val="30"/>
        </w:rPr>
        <w:t>个性影响因素</w:t>
      </w:r>
    </w:p>
    <w:p w:rsidR="00E2637F" w:rsidRDefault="00E2637F" w:rsidP="00F76E86">
      <w:pPr>
        <w:spacing w:line="400" w:lineRule="exact"/>
        <w:rPr>
          <w:rFonts w:ascii="仿宋" w:eastAsia="仿宋" w:hAnsi="仿宋"/>
          <w:sz w:val="32"/>
          <w:szCs w:val="32"/>
        </w:rPr>
      </w:pPr>
    </w:p>
    <w:p w:rsidR="00F95D73" w:rsidRPr="00FC5024" w:rsidRDefault="00F95D73" w:rsidP="00F95D73">
      <w:pPr>
        <w:pStyle w:val="2"/>
        <w:numPr>
          <w:ilvl w:val="2"/>
          <w:numId w:val="3"/>
        </w:numPr>
        <w:spacing w:line="400" w:lineRule="exact"/>
        <w:jc w:val="center"/>
        <w:rPr>
          <w:rFonts w:ascii="黑体" w:eastAsia="黑体" w:hAnsi="黑体"/>
          <w:sz w:val="30"/>
          <w:szCs w:val="30"/>
        </w:rPr>
      </w:pPr>
      <w:r>
        <w:rPr>
          <w:rFonts w:ascii="黑体" w:eastAsia="黑体" w:hAnsi="黑体"/>
          <w:sz w:val="30"/>
          <w:szCs w:val="30"/>
        </w:rPr>
        <w:t>影响做市商策略的因素分析</w:t>
      </w:r>
    </w:p>
    <w:p w:rsidR="00E2637F" w:rsidRDefault="006127FE" w:rsidP="006127FE">
      <w:pPr>
        <w:spacing w:line="400" w:lineRule="exact"/>
        <w:ind w:firstLineChars="177" w:firstLine="425"/>
        <w:rPr>
          <w:rFonts w:hint="eastAsia"/>
          <w:sz w:val="24"/>
          <w:szCs w:val="24"/>
        </w:rPr>
      </w:pPr>
      <w:r w:rsidRPr="006127FE">
        <w:rPr>
          <w:sz w:val="24"/>
          <w:szCs w:val="24"/>
        </w:rPr>
        <w:t>在上一章节描述</w:t>
      </w:r>
      <w:r w:rsidR="00F45F8D">
        <w:rPr>
          <w:sz w:val="24"/>
          <w:szCs w:val="24"/>
        </w:rPr>
        <w:t>到，</w:t>
      </w:r>
      <w:r w:rsidRPr="009B5F9C">
        <w:rPr>
          <w:sz w:val="24"/>
          <w:szCs w:val="24"/>
        </w:rPr>
        <w:t>影响做市商策略的因素如下</w:t>
      </w:r>
      <w:r>
        <w:rPr>
          <w:sz w:val="24"/>
          <w:szCs w:val="24"/>
        </w:rPr>
        <w:t>：商品价格的</w:t>
      </w:r>
      <w:r>
        <w:rPr>
          <w:rFonts w:hint="eastAsia"/>
          <w:sz w:val="24"/>
          <w:szCs w:val="24"/>
        </w:rPr>
        <w:t>波动性特征</w:t>
      </w:r>
      <w:r>
        <w:rPr>
          <w:sz w:val="24"/>
          <w:szCs w:val="24"/>
        </w:rPr>
        <w:t>、合约的交易活动性。</w:t>
      </w:r>
    </w:p>
    <w:p w:rsidR="006127FE" w:rsidRDefault="006127FE" w:rsidP="006127FE">
      <w:pPr>
        <w:spacing w:line="400" w:lineRule="exact"/>
        <w:ind w:firstLineChars="177" w:firstLine="425"/>
        <w:rPr>
          <w:rFonts w:hint="eastAsia"/>
          <w:sz w:val="24"/>
          <w:szCs w:val="24"/>
        </w:rPr>
      </w:pPr>
      <w:r>
        <w:rPr>
          <w:rFonts w:hint="eastAsia"/>
          <w:sz w:val="24"/>
          <w:szCs w:val="24"/>
        </w:rPr>
        <w:t>商品价格的波动性特征</w:t>
      </w:r>
      <w:r w:rsidR="00103890">
        <w:rPr>
          <w:rFonts w:hint="eastAsia"/>
          <w:sz w:val="24"/>
          <w:szCs w:val="24"/>
        </w:rPr>
        <w:t>有很多方面来描述，据相关研究，</w:t>
      </w:r>
      <w:r w:rsidR="00103890" w:rsidRPr="00103890">
        <w:rPr>
          <w:rFonts w:hint="eastAsia"/>
          <w:sz w:val="24"/>
          <w:szCs w:val="24"/>
        </w:rPr>
        <w:t>我国商品期货收益普遍呈现出较为显著的左偏和</w:t>
      </w:r>
      <w:proofErr w:type="gramStart"/>
      <w:r w:rsidR="00103890" w:rsidRPr="00103890">
        <w:rPr>
          <w:rFonts w:hint="eastAsia"/>
          <w:sz w:val="24"/>
          <w:szCs w:val="24"/>
        </w:rPr>
        <w:t>尖峰胖尾特征</w:t>
      </w:r>
      <w:proofErr w:type="gramEnd"/>
      <w:r w:rsidR="00103890" w:rsidRPr="00103890">
        <w:rPr>
          <w:rFonts w:hint="eastAsia"/>
          <w:sz w:val="24"/>
          <w:szCs w:val="24"/>
        </w:rPr>
        <w:t>；其价格波动具有明显的聚集性和长记忆性特征</w:t>
      </w:r>
      <w:r w:rsidR="00103890" w:rsidRPr="00103890">
        <w:rPr>
          <w:rFonts w:hint="eastAsia"/>
          <w:sz w:val="24"/>
          <w:szCs w:val="24"/>
        </w:rPr>
        <w:t>,</w:t>
      </w:r>
      <w:r w:rsidR="00103890" w:rsidRPr="00103890">
        <w:rPr>
          <w:rFonts w:hint="eastAsia"/>
          <w:sz w:val="24"/>
          <w:szCs w:val="24"/>
        </w:rPr>
        <w:t>但与证券市场不同的是</w:t>
      </w:r>
      <w:r w:rsidR="00103890" w:rsidRPr="00103890">
        <w:rPr>
          <w:rFonts w:hint="eastAsia"/>
          <w:sz w:val="24"/>
          <w:szCs w:val="24"/>
        </w:rPr>
        <w:t>,</w:t>
      </w:r>
      <w:r w:rsidR="00103890" w:rsidRPr="00103890">
        <w:rPr>
          <w:rFonts w:hint="eastAsia"/>
          <w:sz w:val="24"/>
          <w:szCs w:val="24"/>
        </w:rPr>
        <w:t>其中大多数品种的价格波动不存在非对称杠杆效应</w:t>
      </w:r>
      <w:r w:rsidR="00103890" w:rsidRPr="00103890">
        <w:rPr>
          <w:rFonts w:hint="eastAsia"/>
          <w:sz w:val="24"/>
          <w:szCs w:val="24"/>
        </w:rPr>
        <w:t>(Asymmetric leverage effect)</w:t>
      </w:r>
      <w:r w:rsidR="00103890" w:rsidRPr="00103890">
        <w:rPr>
          <w:rFonts w:hint="eastAsia"/>
          <w:sz w:val="24"/>
          <w:szCs w:val="24"/>
        </w:rPr>
        <w:t>。国内外大豆、豆</w:t>
      </w:r>
      <w:proofErr w:type="gramStart"/>
      <w:r w:rsidR="00103890" w:rsidRPr="00103890">
        <w:rPr>
          <w:rFonts w:hint="eastAsia"/>
          <w:sz w:val="24"/>
          <w:szCs w:val="24"/>
        </w:rPr>
        <w:t>粕</w:t>
      </w:r>
      <w:proofErr w:type="gramEnd"/>
      <w:r w:rsidR="00103890" w:rsidRPr="00103890">
        <w:rPr>
          <w:rFonts w:hint="eastAsia"/>
          <w:sz w:val="24"/>
          <w:szCs w:val="24"/>
        </w:rPr>
        <w:t>、糖、铜和橡胶期货间均存在双向的波动溢出效应</w:t>
      </w:r>
      <w:r w:rsidR="00103890" w:rsidRPr="00103890">
        <w:rPr>
          <w:rFonts w:hint="eastAsia"/>
          <w:sz w:val="24"/>
          <w:szCs w:val="24"/>
        </w:rPr>
        <w:t>,</w:t>
      </w:r>
      <w:r w:rsidR="00103890" w:rsidRPr="00103890">
        <w:rPr>
          <w:rFonts w:hint="eastAsia"/>
          <w:sz w:val="24"/>
          <w:szCs w:val="24"/>
        </w:rPr>
        <w:t>且在各农产品期货品种中</w:t>
      </w:r>
      <w:r w:rsidR="00103890" w:rsidRPr="00103890">
        <w:rPr>
          <w:rFonts w:hint="eastAsia"/>
          <w:sz w:val="24"/>
          <w:szCs w:val="24"/>
        </w:rPr>
        <w:t>,</w:t>
      </w:r>
      <w:r w:rsidR="00103890" w:rsidRPr="00103890">
        <w:rPr>
          <w:rFonts w:hint="eastAsia"/>
          <w:sz w:val="24"/>
          <w:szCs w:val="24"/>
        </w:rPr>
        <w:t>国外产品对国内产品的波动溢出效应更强；</w:t>
      </w:r>
      <w:proofErr w:type="gramStart"/>
      <w:r w:rsidR="00103890" w:rsidRPr="00103890">
        <w:rPr>
          <w:rFonts w:hint="eastAsia"/>
          <w:sz w:val="24"/>
          <w:szCs w:val="24"/>
        </w:rPr>
        <w:t>锌</w:t>
      </w:r>
      <w:proofErr w:type="gramEnd"/>
      <w:r w:rsidR="00103890" w:rsidRPr="00103890">
        <w:rPr>
          <w:rFonts w:hint="eastAsia"/>
          <w:sz w:val="24"/>
          <w:szCs w:val="24"/>
        </w:rPr>
        <w:t>期货间则仅存在国内对国外的单向波动溢出效应。整体而言</w:t>
      </w:r>
      <w:r w:rsidR="00103890" w:rsidRPr="00103890">
        <w:rPr>
          <w:rFonts w:hint="eastAsia"/>
          <w:sz w:val="24"/>
          <w:szCs w:val="24"/>
        </w:rPr>
        <w:t>,</w:t>
      </w:r>
      <w:r w:rsidR="00103890" w:rsidRPr="00103890">
        <w:rPr>
          <w:rFonts w:hint="eastAsia"/>
          <w:sz w:val="24"/>
          <w:szCs w:val="24"/>
        </w:rPr>
        <w:t>我国主要商品期货与国外相似期货品种之间存在密切联系</w:t>
      </w:r>
      <w:r w:rsidR="00103890" w:rsidRPr="00103890">
        <w:rPr>
          <w:rFonts w:hint="eastAsia"/>
          <w:sz w:val="24"/>
          <w:szCs w:val="24"/>
        </w:rPr>
        <w:t>,</w:t>
      </w:r>
      <w:r w:rsidR="00103890" w:rsidRPr="00103890">
        <w:rPr>
          <w:rFonts w:hint="eastAsia"/>
          <w:sz w:val="24"/>
          <w:szCs w:val="24"/>
        </w:rPr>
        <w:t>且在</w:t>
      </w:r>
      <w:r w:rsidR="00103890" w:rsidRPr="00103890">
        <w:rPr>
          <w:rFonts w:hint="eastAsia"/>
          <w:sz w:val="24"/>
          <w:szCs w:val="24"/>
        </w:rPr>
        <w:t>2008</w:t>
      </w:r>
      <w:r w:rsidR="00103890" w:rsidRPr="00103890">
        <w:rPr>
          <w:rFonts w:hint="eastAsia"/>
          <w:sz w:val="24"/>
          <w:szCs w:val="24"/>
        </w:rPr>
        <w:t>年金融危机后</w:t>
      </w:r>
      <w:r w:rsidR="00103890" w:rsidRPr="00103890">
        <w:rPr>
          <w:rFonts w:hint="eastAsia"/>
          <w:sz w:val="24"/>
          <w:szCs w:val="24"/>
        </w:rPr>
        <w:t>,</w:t>
      </w:r>
      <w:r w:rsidR="00103890" w:rsidRPr="00103890">
        <w:rPr>
          <w:rFonts w:hint="eastAsia"/>
          <w:sz w:val="24"/>
          <w:szCs w:val="24"/>
        </w:rPr>
        <w:t>国内期货对国外相关品种的波动溢出强度和都有不同程度的增强</w:t>
      </w:r>
      <w:r w:rsidR="00103890">
        <w:rPr>
          <w:rFonts w:hint="eastAsia"/>
          <w:sz w:val="24"/>
          <w:szCs w:val="24"/>
        </w:rPr>
        <w:t>[17]</w:t>
      </w:r>
      <w:r w:rsidR="00103890" w:rsidRPr="00103890">
        <w:rPr>
          <w:rFonts w:hint="eastAsia"/>
          <w:sz w:val="24"/>
          <w:szCs w:val="24"/>
        </w:rPr>
        <w:t>。</w:t>
      </w:r>
    </w:p>
    <w:p w:rsidR="0009115C" w:rsidRDefault="0009115C" w:rsidP="006127FE">
      <w:pPr>
        <w:spacing w:line="400" w:lineRule="exact"/>
        <w:ind w:firstLineChars="177" w:firstLine="425"/>
        <w:rPr>
          <w:rFonts w:hint="eastAsia"/>
          <w:sz w:val="24"/>
          <w:szCs w:val="24"/>
        </w:rPr>
      </w:pPr>
      <w:r>
        <w:rPr>
          <w:rFonts w:hint="eastAsia"/>
          <w:sz w:val="24"/>
          <w:szCs w:val="24"/>
        </w:rPr>
        <w:t>商品价格的波动性特征主要体现在如下方面：</w:t>
      </w:r>
      <w:r w:rsidR="008570ED">
        <w:rPr>
          <w:rFonts w:hint="eastAsia"/>
          <w:sz w:val="24"/>
          <w:szCs w:val="24"/>
        </w:rPr>
        <w:t>偏向性、</w:t>
      </w:r>
      <w:r>
        <w:rPr>
          <w:rFonts w:hint="eastAsia"/>
          <w:sz w:val="24"/>
          <w:szCs w:val="24"/>
        </w:rPr>
        <w:t>聚集性、</w:t>
      </w:r>
      <w:r w:rsidRPr="00103890">
        <w:rPr>
          <w:rFonts w:hint="eastAsia"/>
          <w:sz w:val="24"/>
          <w:szCs w:val="24"/>
        </w:rPr>
        <w:t>长记忆性</w:t>
      </w:r>
      <w:r>
        <w:rPr>
          <w:rFonts w:hint="eastAsia"/>
          <w:sz w:val="24"/>
          <w:szCs w:val="24"/>
        </w:rPr>
        <w:t>、</w:t>
      </w:r>
      <w:r w:rsidR="008570ED">
        <w:rPr>
          <w:rFonts w:hint="eastAsia"/>
          <w:sz w:val="24"/>
          <w:szCs w:val="24"/>
        </w:rPr>
        <w:t>跳跃性、周期性</w:t>
      </w:r>
      <w:r w:rsidR="006E2042">
        <w:rPr>
          <w:rFonts w:hint="eastAsia"/>
          <w:sz w:val="24"/>
          <w:szCs w:val="24"/>
        </w:rPr>
        <w:t>。</w:t>
      </w:r>
    </w:p>
    <w:p w:rsidR="006127FE" w:rsidRDefault="008570ED" w:rsidP="006127FE">
      <w:pPr>
        <w:spacing w:line="400" w:lineRule="exact"/>
        <w:ind w:firstLineChars="177" w:firstLine="425"/>
        <w:rPr>
          <w:rFonts w:hint="eastAsia"/>
          <w:sz w:val="24"/>
          <w:szCs w:val="24"/>
        </w:rPr>
      </w:pPr>
      <w:r>
        <w:rPr>
          <w:rFonts w:hint="eastAsia"/>
          <w:sz w:val="24"/>
          <w:szCs w:val="24"/>
        </w:rPr>
        <w:t>偏向性是指商品价格总体上是否有不断增长的历史趋势。</w:t>
      </w:r>
      <w:r w:rsidR="00201852">
        <w:rPr>
          <w:rFonts w:hint="eastAsia"/>
          <w:sz w:val="24"/>
          <w:szCs w:val="24"/>
        </w:rPr>
        <w:t>长期</w:t>
      </w:r>
      <w:r>
        <w:rPr>
          <w:rFonts w:hint="eastAsia"/>
          <w:sz w:val="24"/>
          <w:szCs w:val="24"/>
        </w:rPr>
        <w:t>而言，部分</w:t>
      </w:r>
      <w:r>
        <w:rPr>
          <w:rFonts w:hint="eastAsia"/>
          <w:sz w:val="24"/>
          <w:szCs w:val="24"/>
        </w:rPr>
        <w:lastRenderedPageBreak/>
        <w:t>商品总体上有不断增长的历史趋势，其原因可以归结为资源的不可再生和通货膨胀的影响；</w:t>
      </w:r>
    </w:p>
    <w:p w:rsidR="008570ED" w:rsidRDefault="008570ED" w:rsidP="006127FE">
      <w:pPr>
        <w:spacing w:line="400" w:lineRule="exact"/>
        <w:ind w:firstLineChars="177" w:firstLine="425"/>
        <w:rPr>
          <w:rFonts w:hint="eastAsia"/>
          <w:sz w:val="24"/>
          <w:szCs w:val="24"/>
        </w:rPr>
      </w:pPr>
      <w:r>
        <w:rPr>
          <w:rFonts w:hint="eastAsia"/>
          <w:sz w:val="24"/>
          <w:szCs w:val="24"/>
        </w:rPr>
        <w:t>聚集性是指商品的波动是否密集，相关实证分析表明中国期货市场的价格波动具有明显的聚集性；</w:t>
      </w:r>
    </w:p>
    <w:p w:rsidR="008570ED" w:rsidRDefault="008570ED" w:rsidP="008570ED">
      <w:pPr>
        <w:spacing w:line="400" w:lineRule="exact"/>
        <w:ind w:firstLineChars="177" w:firstLine="425"/>
        <w:rPr>
          <w:rFonts w:hint="eastAsia"/>
          <w:sz w:val="24"/>
          <w:szCs w:val="24"/>
        </w:rPr>
      </w:pPr>
      <w:r w:rsidRPr="008570ED">
        <w:rPr>
          <w:rFonts w:hint="eastAsia"/>
          <w:sz w:val="24"/>
          <w:szCs w:val="24"/>
        </w:rPr>
        <w:t>时间序列的长记忆性最早是由水文学家</w:t>
      </w:r>
      <w:proofErr w:type="gramStart"/>
      <w:r w:rsidRPr="008570ED">
        <w:rPr>
          <w:rFonts w:hint="eastAsia"/>
          <w:sz w:val="24"/>
          <w:szCs w:val="24"/>
        </w:rPr>
        <w:t>赫</w:t>
      </w:r>
      <w:proofErr w:type="gramEnd"/>
      <w:r w:rsidRPr="008570ED">
        <w:rPr>
          <w:rFonts w:hint="eastAsia"/>
          <w:sz w:val="24"/>
          <w:szCs w:val="24"/>
        </w:rPr>
        <w:t>斯特</w:t>
      </w:r>
      <w:r w:rsidRPr="008570ED">
        <w:rPr>
          <w:rFonts w:hint="eastAsia"/>
          <w:sz w:val="24"/>
          <w:szCs w:val="24"/>
        </w:rPr>
        <w:t>(Hurst)</w:t>
      </w:r>
      <w:r w:rsidRPr="008570ED">
        <w:rPr>
          <w:rFonts w:hint="eastAsia"/>
          <w:sz w:val="24"/>
          <w:szCs w:val="24"/>
        </w:rPr>
        <w:t>于</w:t>
      </w:r>
      <w:r w:rsidRPr="008570ED">
        <w:rPr>
          <w:rFonts w:hint="eastAsia"/>
          <w:sz w:val="24"/>
          <w:szCs w:val="24"/>
        </w:rPr>
        <w:t>1951</w:t>
      </w:r>
      <w:r w:rsidRPr="008570ED">
        <w:rPr>
          <w:rFonts w:hint="eastAsia"/>
          <w:sz w:val="24"/>
          <w:szCs w:val="24"/>
        </w:rPr>
        <w:t>年提出来的</w:t>
      </w:r>
      <w:r>
        <w:rPr>
          <w:rFonts w:hint="eastAsia"/>
          <w:sz w:val="24"/>
          <w:szCs w:val="24"/>
        </w:rPr>
        <w:t>。</w:t>
      </w:r>
      <w:r w:rsidRPr="008570ED">
        <w:rPr>
          <w:rFonts w:hint="eastAsia"/>
          <w:sz w:val="24"/>
          <w:szCs w:val="24"/>
        </w:rPr>
        <w:t>许多时间序列呈现出相距较远的观测值之间仍然存在不可忽略的相关性的特征</w:t>
      </w:r>
      <w:r w:rsidRPr="008570ED">
        <w:rPr>
          <w:rFonts w:hint="eastAsia"/>
          <w:sz w:val="24"/>
          <w:szCs w:val="24"/>
        </w:rPr>
        <w:t>,</w:t>
      </w:r>
      <w:r w:rsidRPr="008570ED">
        <w:rPr>
          <w:rFonts w:hint="eastAsia"/>
          <w:sz w:val="24"/>
          <w:szCs w:val="24"/>
        </w:rPr>
        <w:t>一般将这种特征称为时间</w:t>
      </w:r>
      <w:r>
        <w:rPr>
          <w:rFonts w:hint="eastAsia"/>
          <w:sz w:val="24"/>
          <w:szCs w:val="24"/>
        </w:rPr>
        <w:t>序列的长记忆性或长期相关性</w:t>
      </w:r>
      <w:r w:rsidRPr="008570ED">
        <w:rPr>
          <w:rFonts w:hint="eastAsia"/>
          <w:sz w:val="24"/>
          <w:szCs w:val="24"/>
        </w:rPr>
        <w:t>。</w:t>
      </w:r>
      <w:r>
        <w:rPr>
          <w:rFonts w:hint="eastAsia"/>
          <w:sz w:val="24"/>
          <w:szCs w:val="24"/>
        </w:rPr>
        <w:t>据相关</w:t>
      </w:r>
      <w:r w:rsidRPr="008570ED">
        <w:rPr>
          <w:rFonts w:hint="eastAsia"/>
          <w:sz w:val="24"/>
          <w:szCs w:val="24"/>
        </w:rPr>
        <w:t>实证结果表明中国股市波动性过程具有明显的长期记忆特征</w:t>
      </w:r>
      <w:r>
        <w:rPr>
          <w:rFonts w:hint="eastAsia"/>
          <w:sz w:val="24"/>
          <w:szCs w:val="24"/>
        </w:rPr>
        <w:t>[18]</w:t>
      </w:r>
      <w:r>
        <w:rPr>
          <w:rFonts w:hint="eastAsia"/>
          <w:sz w:val="24"/>
          <w:szCs w:val="24"/>
        </w:rPr>
        <w:t>，而中国期货市场的商品价格波动长期记忆性也十分明显</w:t>
      </w:r>
      <w:r>
        <w:rPr>
          <w:rFonts w:hint="eastAsia"/>
          <w:sz w:val="24"/>
          <w:szCs w:val="24"/>
        </w:rPr>
        <w:t>[17]</w:t>
      </w:r>
      <w:r>
        <w:rPr>
          <w:rFonts w:hint="eastAsia"/>
          <w:sz w:val="24"/>
          <w:szCs w:val="24"/>
        </w:rPr>
        <w:t>。</w:t>
      </w:r>
    </w:p>
    <w:p w:rsidR="008570ED" w:rsidRPr="008570ED" w:rsidRDefault="00FF4501" w:rsidP="008570ED">
      <w:pPr>
        <w:spacing w:line="400" w:lineRule="exact"/>
        <w:ind w:firstLineChars="177" w:firstLine="425"/>
        <w:rPr>
          <w:rFonts w:hint="eastAsia"/>
          <w:sz w:val="24"/>
          <w:szCs w:val="24"/>
        </w:rPr>
      </w:pPr>
      <w:r>
        <w:rPr>
          <w:rFonts w:hint="eastAsia"/>
          <w:sz w:val="24"/>
          <w:szCs w:val="24"/>
        </w:rPr>
        <w:t>跳跃性是指商品价格运动具有较短的交易时间完成较大的运动距离的特征</w:t>
      </w:r>
      <w:r w:rsidR="00AE17E9">
        <w:rPr>
          <w:rFonts w:hint="eastAsia"/>
          <w:sz w:val="24"/>
          <w:szCs w:val="24"/>
        </w:rPr>
        <w:t>，其特点是运动具有突发性和急速性</w:t>
      </w:r>
      <w:r>
        <w:rPr>
          <w:rFonts w:hint="eastAsia"/>
          <w:sz w:val="24"/>
          <w:szCs w:val="24"/>
        </w:rPr>
        <w:t>。</w:t>
      </w:r>
    </w:p>
    <w:p w:rsidR="008570ED" w:rsidRDefault="00105254" w:rsidP="001E2B36">
      <w:pPr>
        <w:spacing w:line="400" w:lineRule="exact"/>
        <w:ind w:firstLineChars="177" w:firstLine="425"/>
        <w:rPr>
          <w:rFonts w:hint="eastAsia"/>
          <w:sz w:val="24"/>
          <w:szCs w:val="24"/>
        </w:rPr>
      </w:pPr>
      <w:r>
        <w:rPr>
          <w:rFonts w:hint="eastAsia"/>
          <w:sz w:val="24"/>
          <w:szCs w:val="24"/>
        </w:rPr>
        <w:t>周期性是指商品价格的运行具有相对稳定的重复性的特征，该特征的周期具有变异性，受市场情绪影响。它并不是简单的重复，而是会收到投资者心理和情绪的影响而变动。</w:t>
      </w:r>
    </w:p>
    <w:p w:rsidR="008570ED" w:rsidRDefault="008570ED" w:rsidP="006127FE">
      <w:pPr>
        <w:spacing w:line="400" w:lineRule="exact"/>
        <w:ind w:firstLineChars="177" w:firstLine="425"/>
        <w:rPr>
          <w:rFonts w:hint="eastAsia"/>
          <w:sz w:val="24"/>
          <w:szCs w:val="24"/>
        </w:rPr>
      </w:pPr>
    </w:p>
    <w:p w:rsidR="006127FE" w:rsidRDefault="006127FE" w:rsidP="006127FE">
      <w:pPr>
        <w:spacing w:line="400" w:lineRule="exact"/>
        <w:ind w:firstLineChars="177" w:firstLine="425"/>
        <w:rPr>
          <w:rFonts w:hint="eastAsia"/>
          <w:sz w:val="24"/>
          <w:szCs w:val="24"/>
        </w:rPr>
      </w:pPr>
      <w:r>
        <w:rPr>
          <w:sz w:val="24"/>
          <w:szCs w:val="24"/>
        </w:rPr>
        <w:t>交易</w:t>
      </w:r>
      <w:r w:rsidR="00AF6D32">
        <w:rPr>
          <w:sz w:val="24"/>
          <w:szCs w:val="24"/>
        </w:rPr>
        <w:t>活跃</w:t>
      </w:r>
      <w:r>
        <w:rPr>
          <w:sz w:val="24"/>
          <w:szCs w:val="24"/>
        </w:rPr>
        <w:t>性</w:t>
      </w:r>
      <w:r w:rsidR="00AF6D32">
        <w:rPr>
          <w:sz w:val="24"/>
          <w:szCs w:val="24"/>
        </w:rPr>
        <w:t>有多种衡量标准，例如：成交金额、换手率、成交量。在期货市场中多用成交金额与成交量来衡量商品的交易活跃性。</w:t>
      </w:r>
    </w:p>
    <w:p w:rsidR="00711F96" w:rsidRDefault="00711F96" w:rsidP="006127FE">
      <w:pPr>
        <w:spacing w:line="400" w:lineRule="exact"/>
        <w:ind w:firstLineChars="177" w:firstLine="425"/>
        <w:rPr>
          <w:rFonts w:hint="eastAsia"/>
          <w:sz w:val="24"/>
          <w:szCs w:val="24"/>
        </w:rPr>
      </w:pPr>
      <w:r>
        <w:rPr>
          <w:rFonts w:hint="eastAsia"/>
          <w:sz w:val="24"/>
          <w:szCs w:val="24"/>
        </w:rPr>
        <w:t>成交金额</w:t>
      </w:r>
      <w:r w:rsidR="006E2042">
        <w:rPr>
          <w:rFonts w:hint="eastAsia"/>
          <w:sz w:val="24"/>
          <w:szCs w:val="24"/>
        </w:rPr>
        <w:t>是当日每笔成交订单的交易金额的总和；</w:t>
      </w:r>
    </w:p>
    <w:p w:rsidR="006E2042" w:rsidRDefault="00CF113D" w:rsidP="006127FE">
      <w:pPr>
        <w:spacing w:line="400" w:lineRule="exact"/>
        <w:ind w:firstLineChars="177" w:firstLine="425"/>
        <w:rPr>
          <w:rFonts w:hint="eastAsia"/>
          <w:sz w:val="24"/>
          <w:szCs w:val="24"/>
        </w:rPr>
      </w:pPr>
      <w:r>
        <w:rPr>
          <w:sz w:val="24"/>
          <w:szCs w:val="24"/>
        </w:rPr>
        <w:t>成交量是当日成交订单的总手数；</w:t>
      </w:r>
    </w:p>
    <w:p w:rsidR="00F567C8" w:rsidRDefault="00F567C8" w:rsidP="006127FE">
      <w:pPr>
        <w:spacing w:line="400" w:lineRule="exact"/>
        <w:ind w:firstLineChars="177" w:firstLine="425"/>
        <w:rPr>
          <w:rFonts w:hint="eastAsia"/>
          <w:sz w:val="24"/>
          <w:szCs w:val="24"/>
        </w:rPr>
      </w:pPr>
    </w:p>
    <w:p w:rsidR="00F567C8" w:rsidRDefault="00F567C8" w:rsidP="006127FE">
      <w:pPr>
        <w:spacing w:line="400" w:lineRule="exact"/>
        <w:ind w:firstLineChars="177" w:firstLine="425"/>
        <w:rPr>
          <w:rFonts w:hint="eastAsia"/>
          <w:sz w:val="24"/>
          <w:szCs w:val="24"/>
        </w:rPr>
      </w:pPr>
      <w:r>
        <w:rPr>
          <w:rFonts w:hint="eastAsia"/>
          <w:sz w:val="24"/>
          <w:szCs w:val="24"/>
        </w:rPr>
        <w:t>在期货市场</w:t>
      </w:r>
      <w:r w:rsidR="00D32C72">
        <w:rPr>
          <w:rFonts w:hint="eastAsia"/>
          <w:sz w:val="24"/>
          <w:szCs w:val="24"/>
        </w:rPr>
        <w:t>上</w:t>
      </w:r>
      <w:r w:rsidR="007C554C">
        <w:rPr>
          <w:rFonts w:hint="eastAsia"/>
          <w:sz w:val="24"/>
          <w:szCs w:val="24"/>
        </w:rPr>
        <w:t>做市商策略受波动性特征和交易活跃性的影响主要体现在如下方面：</w:t>
      </w:r>
    </w:p>
    <w:p w:rsidR="007C554C" w:rsidRPr="006127FE" w:rsidRDefault="007C554C" w:rsidP="006127FE">
      <w:pPr>
        <w:spacing w:line="400" w:lineRule="exact"/>
        <w:ind w:firstLineChars="177" w:firstLine="425"/>
        <w:rPr>
          <w:sz w:val="24"/>
          <w:szCs w:val="24"/>
        </w:rPr>
      </w:pPr>
      <w:r>
        <w:rPr>
          <w:rFonts w:hint="eastAsia"/>
          <w:sz w:val="24"/>
          <w:szCs w:val="24"/>
        </w:rPr>
        <w:t>由于偏向性的周期较长（因通货膨胀的影响，往往会与经济周期相同），因此在期货市场上一般可以近似认为商品短期内无偏向性</w:t>
      </w:r>
      <w:r w:rsidR="00201852">
        <w:rPr>
          <w:rFonts w:hint="eastAsia"/>
          <w:sz w:val="24"/>
          <w:szCs w:val="24"/>
        </w:rPr>
        <w:t>；商品价格波动的聚集性比较明显，意味着做市商策略必须</w:t>
      </w:r>
      <w:r w:rsidR="00D4564E">
        <w:rPr>
          <w:rFonts w:hint="eastAsia"/>
          <w:sz w:val="24"/>
          <w:szCs w:val="24"/>
        </w:rPr>
        <w:t>主动</w:t>
      </w:r>
      <w:r w:rsidR="00201852">
        <w:rPr>
          <w:rFonts w:hint="eastAsia"/>
          <w:sz w:val="24"/>
          <w:szCs w:val="24"/>
        </w:rPr>
        <w:t>适应较剧烈的长期的波动；</w:t>
      </w:r>
      <w:r w:rsidR="00F54B8B">
        <w:rPr>
          <w:rFonts w:hint="eastAsia"/>
          <w:sz w:val="24"/>
          <w:szCs w:val="24"/>
        </w:rPr>
        <w:t>长记忆性意味着做市商策略必须从历史数据中分析当前市场的变动（这也是技术流派的用武之地）；跳跃性意味着做市商策略必须谨慎处理价格的突发变动；周期性意味着做市商策略必须对商品的运行周期进行掌握与分析，并熟知国内外商品的产量与环境变化等影响。</w:t>
      </w:r>
    </w:p>
    <w:p w:rsidR="00F76E86" w:rsidRPr="00657440" w:rsidRDefault="00F76E86" w:rsidP="00F76E86">
      <w:pPr>
        <w:spacing w:line="400" w:lineRule="exact"/>
        <w:rPr>
          <w:sz w:val="24"/>
          <w:szCs w:val="24"/>
        </w:rPr>
      </w:pPr>
    </w:p>
    <w:p w:rsidR="00F95D73" w:rsidRPr="00FC5024" w:rsidRDefault="00F95D73" w:rsidP="00F95D73">
      <w:pPr>
        <w:pStyle w:val="2"/>
        <w:numPr>
          <w:ilvl w:val="2"/>
          <w:numId w:val="3"/>
        </w:numPr>
        <w:spacing w:line="400" w:lineRule="exact"/>
        <w:jc w:val="center"/>
        <w:rPr>
          <w:rFonts w:ascii="黑体" w:eastAsia="黑体" w:hAnsi="黑体"/>
          <w:sz w:val="30"/>
          <w:szCs w:val="30"/>
        </w:rPr>
      </w:pPr>
      <w:r>
        <w:rPr>
          <w:rFonts w:ascii="黑体" w:eastAsia="黑体" w:hAnsi="黑体"/>
          <w:sz w:val="30"/>
          <w:szCs w:val="30"/>
        </w:rPr>
        <w:lastRenderedPageBreak/>
        <w:t>影响</w:t>
      </w:r>
      <w:r w:rsidR="009A75F5">
        <w:rPr>
          <w:rFonts w:ascii="黑体" w:eastAsia="黑体" w:hAnsi="黑体"/>
          <w:sz w:val="30"/>
          <w:szCs w:val="30"/>
        </w:rPr>
        <w:t>统计</w:t>
      </w:r>
      <w:r>
        <w:rPr>
          <w:rFonts w:ascii="黑体" w:eastAsia="黑体" w:hAnsi="黑体" w:hint="eastAsia"/>
          <w:sz w:val="30"/>
          <w:szCs w:val="30"/>
        </w:rPr>
        <w:t>套利</w:t>
      </w:r>
      <w:r>
        <w:rPr>
          <w:rFonts w:ascii="黑体" w:eastAsia="黑体" w:hAnsi="黑体"/>
          <w:sz w:val="30"/>
          <w:szCs w:val="30"/>
        </w:rPr>
        <w:t>策略的因素分析</w:t>
      </w:r>
    </w:p>
    <w:p w:rsidR="00F76E86" w:rsidRDefault="006E3D3A" w:rsidP="00901E68">
      <w:pPr>
        <w:spacing w:line="400" w:lineRule="exact"/>
        <w:ind w:firstLineChars="177" w:firstLine="425"/>
        <w:rPr>
          <w:rFonts w:hint="eastAsia"/>
          <w:sz w:val="24"/>
          <w:szCs w:val="24"/>
        </w:rPr>
      </w:pPr>
      <w:r w:rsidRPr="006127FE">
        <w:rPr>
          <w:sz w:val="24"/>
          <w:szCs w:val="24"/>
        </w:rPr>
        <w:t>在上一章节描述</w:t>
      </w:r>
      <w:r>
        <w:rPr>
          <w:sz w:val="24"/>
          <w:szCs w:val="24"/>
        </w:rPr>
        <w:t>到，</w:t>
      </w:r>
      <w:r w:rsidR="009A75F5">
        <w:rPr>
          <w:rFonts w:hint="eastAsia"/>
          <w:sz w:val="24"/>
          <w:szCs w:val="24"/>
        </w:rPr>
        <w:t>影响统计套利策略的主要因素如下：商品间价格的相关性、过度拟合现象、套利周期的影响。</w:t>
      </w:r>
    </w:p>
    <w:p w:rsidR="0005185E" w:rsidRDefault="00C5135D" w:rsidP="00C5135D">
      <w:pPr>
        <w:spacing w:line="400" w:lineRule="exact"/>
        <w:ind w:firstLineChars="177" w:firstLine="372"/>
        <w:rPr>
          <w:rFonts w:hint="eastAsia"/>
          <w:sz w:val="24"/>
          <w:szCs w:val="24"/>
        </w:rPr>
      </w:pPr>
      <w:r>
        <w:rPr>
          <w:noProof/>
        </w:rPr>
        <w:drawing>
          <wp:anchor distT="0" distB="0" distL="114300" distR="114300" simplePos="0" relativeHeight="251662336" behindDoc="0" locked="0" layoutInCell="1" allowOverlap="1" wp14:anchorId="0CA7E254" wp14:editId="1FA26F3C">
            <wp:simplePos x="0" y="0"/>
            <wp:positionH relativeFrom="column">
              <wp:posOffset>40005</wp:posOffset>
            </wp:positionH>
            <wp:positionV relativeFrom="paragraph">
              <wp:posOffset>1137920</wp:posOffset>
            </wp:positionV>
            <wp:extent cx="5219700" cy="3408045"/>
            <wp:effectExtent l="0" t="0" r="0" b="0"/>
            <wp:wrapTopAndBottom/>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08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35D">
        <w:rPr>
          <w:rFonts w:hint="eastAsia"/>
          <w:sz w:val="24"/>
          <w:szCs w:val="24"/>
        </w:rPr>
        <w:t>商品期货之间的相关性研究用相关系数表示，是用以反映变量之间相关关系密切程度的统计指标。相关系数是按积差方法计算，同样以两变量与各自平均值的离差为基础，通过两个离差相乘来反映两变量之间相关程度；着重研究线性的单相关系数。</w:t>
      </w:r>
    </w:p>
    <w:p w:rsidR="0005185E" w:rsidRDefault="0005185E" w:rsidP="0005185E">
      <w:pPr>
        <w:spacing w:line="400" w:lineRule="exact"/>
        <w:ind w:firstLineChars="177" w:firstLine="425"/>
        <w:rPr>
          <w:rFonts w:hint="eastAsia"/>
          <w:sz w:val="24"/>
          <w:szCs w:val="24"/>
        </w:rPr>
      </w:pPr>
      <w:r>
        <w:rPr>
          <w:sz w:val="24"/>
          <w:szCs w:val="24"/>
        </w:rPr>
        <w:t>图</w:t>
      </w:r>
      <w:r>
        <w:rPr>
          <w:sz w:val="24"/>
          <w:szCs w:val="24"/>
        </w:rPr>
        <w:t>X</w:t>
      </w:r>
      <w:r>
        <w:rPr>
          <w:sz w:val="24"/>
          <w:szCs w:val="24"/>
        </w:rPr>
        <w:t>：</w:t>
      </w:r>
      <w:r w:rsidRPr="00C5135D">
        <w:rPr>
          <w:rFonts w:hint="eastAsia"/>
          <w:sz w:val="24"/>
          <w:szCs w:val="24"/>
        </w:rPr>
        <w:t>各个期货商品之间的相关性</w:t>
      </w:r>
      <w:r>
        <w:rPr>
          <w:rFonts w:hint="eastAsia"/>
          <w:sz w:val="24"/>
          <w:szCs w:val="24"/>
        </w:rPr>
        <w:t>，图片来源</w:t>
      </w:r>
      <w:r w:rsidRPr="00C5135D">
        <w:rPr>
          <w:rFonts w:hint="eastAsia"/>
          <w:sz w:val="24"/>
          <w:szCs w:val="24"/>
        </w:rPr>
        <w:t>和</w:t>
      </w:r>
      <w:proofErr w:type="gramStart"/>
      <w:r w:rsidRPr="00C5135D">
        <w:rPr>
          <w:rFonts w:hint="eastAsia"/>
          <w:sz w:val="24"/>
          <w:szCs w:val="24"/>
        </w:rPr>
        <w:t>讯金融</w:t>
      </w:r>
      <w:proofErr w:type="gramEnd"/>
      <w:r w:rsidRPr="00C5135D">
        <w:rPr>
          <w:rFonts w:hint="eastAsia"/>
          <w:sz w:val="24"/>
          <w:szCs w:val="24"/>
        </w:rPr>
        <w:t>实验室</w:t>
      </w:r>
    </w:p>
    <w:p w:rsidR="00901E68" w:rsidRDefault="0005185E" w:rsidP="0005185E">
      <w:pPr>
        <w:spacing w:line="400" w:lineRule="exact"/>
        <w:ind w:firstLineChars="177" w:firstLine="425"/>
        <w:rPr>
          <w:rFonts w:hint="eastAsia"/>
          <w:sz w:val="24"/>
          <w:szCs w:val="24"/>
        </w:rPr>
      </w:pPr>
      <w:r w:rsidRPr="0005185E">
        <w:rPr>
          <w:rFonts w:hint="eastAsia"/>
          <w:sz w:val="24"/>
          <w:szCs w:val="24"/>
        </w:rPr>
        <w:t>相关系数</w:t>
      </w:r>
      <w:r w:rsidR="005764BD">
        <w:rPr>
          <w:rFonts w:hint="eastAsia"/>
          <w:sz w:val="24"/>
          <w:szCs w:val="24"/>
        </w:rPr>
        <w:t>的取值范围为</w:t>
      </w:r>
      <w:r w:rsidR="005764BD">
        <w:rPr>
          <w:rFonts w:hint="eastAsia"/>
          <w:sz w:val="24"/>
          <w:szCs w:val="24"/>
        </w:rPr>
        <w:t>[-</w:t>
      </w:r>
      <w:r w:rsidRPr="0005185E">
        <w:rPr>
          <w:rFonts w:hint="eastAsia"/>
          <w:sz w:val="24"/>
          <w:szCs w:val="24"/>
        </w:rPr>
        <w:t>1</w:t>
      </w:r>
      <w:r w:rsidR="005764BD">
        <w:rPr>
          <w:rFonts w:hint="eastAsia"/>
          <w:sz w:val="24"/>
          <w:szCs w:val="24"/>
        </w:rPr>
        <w:t>,</w:t>
      </w:r>
      <w:r w:rsidRPr="0005185E">
        <w:rPr>
          <w:rFonts w:hint="eastAsia"/>
          <w:sz w:val="24"/>
          <w:szCs w:val="24"/>
        </w:rPr>
        <w:t>+1</w:t>
      </w:r>
      <w:r w:rsidR="005764BD">
        <w:rPr>
          <w:rFonts w:hint="eastAsia"/>
          <w:sz w:val="24"/>
          <w:szCs w:val="24"/>
        </w:rPr>
        <w:t>]</w:t>
      </w:r>
      <w:r w:rsidRPr="0005185E">
        <w:rPr>
          <w:rFonts w:hint="eastAsia"/>
          <w:sz w:val="24"/>
          <w:szCs w:val="24"/>
        </w:rPr>
        <w:t>之间，当</w:t>
      </w:r>
      <w:r w:rsidRPr="0005185E">
        <w:rPr>
          <w:rFonts w:hint="eastAsia"/>
          <w:sz w:val="24"/>
          <w:szCs w:val="24"/>
        </w:rPr>
        <w:t xml:space="preserve"> </w:t>
      </w:r>
      <w:r w:rsidR="005764BD">
        <w:rPr>
          <w:rFonts w:hint="eastAsia"/>
          <w:sz w:val="24"/>
          <w:szCs w:val="24"/>
        </w:rPr>
        <w:t>取值</w:t>
      </w:r>
      <w:r w:rsidRPr="0005185E">
        <w:rPr>
          <w:rFonts w:hint="eastAsia"/>
          <w:sz w:val="24"/>
          <w:szCs w:val="24"/>
        </w:rPr>
        <w:t>为</w:t>
      </w:r>
      <w:r w:rsidRPr="0005185E">
        <w:rPr>
          <w:rFonts w:hint="eastAsia"/>
          <w:sz w:val="24"/>
          <w:szCs w:val="24"/>
        </w:rPr>
        <w:t xml:space="preserve">1 </w:t>
      </w:r>
      <w:r w:rsidRPr="0005185E">
        <w:rPr>
          <w:rFonts w:hint="eastAsia"/>
          <w:sz w:val="24"/>
          <w:szCs w:val="24"/>
        </w:rPr>
        <w:t>时，</w:t>
      </w:r>
      <w:r w:rsidR="005764BD">
        <w:rPr>
          <w:rFonts w:hint="eastAsia"/>
          <w:sz w:val="24"/>
          <w:szCs w:val="24"/>
        </w:rPr>
        <w:t>代表</w:t>
      </w:r>
      <w:r w:rsidRPr="0005185E">
        <w:rPr>
          <w:rFonts w:hint="eastAsia"/>
          <w:sz w:val="24"/>
          <w:szCs w:val="24"/>
        </w:rPr>
        <w:t>两组变量</w:t>
      </w:r>
      <w:r w:rsidR="005764BD">
        <w:rPr>
          <w:rFonts w:hint="eastAsia"/>
          <w:sz w:val="24"/>
          <w:szCs w:val="24"/>
        </w:rPr>
        <w:t>是完全</w:t>
      </w:r>
      <w:r w:rsidRPr="0005185E">
        <w:rPr>
          <w:rFonts w:hint="eastAsia"/>
          <w:sz w:val="24"/>
          <w:szCs w:val="24"/>
        </w:rPr>
        <w:t>正相关</w:t>
      </w:r>
      <w:r w:rsidR="005764BD">
        <w:rPr>
          <w:rFonts w:hint="eastAsia"/>
          <w:sz w:val="24"/>
          <w:szCs w:val="24"/>
        </w:rPr>
        <w:t>的</w:t>
      </w:r>
      <w:r w:rsidRPr="0005185E">
        <w:rPr>
          <w:rFonts w:hint="eastAsia"/>
          <w:sz w:val="24"/>
          <w:szCs w:val="24"/>
        </w:rPr>
        <w:t>；</w:t>
      </w:r>
      <w:r w:rsidR="005764BD" w:rsidRPr="0005185E">
        <w:rPr>
          <w:rFonts w:hint="eastAsia"/>
          <w:sz w:val="24"/>
          <w:szCs w:val="24"/>
        </w:rPr>
        <w:t>当</w:t>
      </w:r>
      <w:r w:rsidR="005764BD" w:rsidRPr="0005185E">
        <w:rPr>
          <w:rFonts w:hint="eastAsia"/>
          <w:sz w:val="24"/>
          <w:szCs w:val="24"/>
        </w:rPr>
        <w:t xml:space="preserve"> </w:t>
      </w:r>
      <w:r w:rsidR="005764BD">
        <w:rPr>
          <w:rFonts w:hint="eastAsia"/>
          <w:sz w:val="24"/>
          <w:szCs w:val="24"/>
        </w:rPr>
        <w:t>取值</w:t>
      </w:r>
      <w:r w:rsidR="005764BD" w:rsidRPr="0005185E">
        <w:rPr>
          <w:rFonts w:hint="eastAsia"/>
          <w:sz w:val="24"/>
          <w:szCs w:val="24"/>
        </w:rPr>
        <w:t>为</w:t>
      </w:r>
      <w:r w:rsidR="005764BD">
        <w:rPr>
          <w:rFonts w:hint="eastAsia"/>
          <w:sz w:val="24"/>
          <w:szCs w:val="24"/>
        </w:rPr>
        <w:t>-</w:t>
      </w:r>
      <w:r w:rsidR="005764BD" w:rsidRPr="0005185E">
        <w:rPr>
          <w:rFonts w:hint="eastAsia"/>
          <w:sz w:val="24"/>
          <w:szCs w:val="24"/>
        </w:rPr>
        <w:t xml:space="preserve">1 </w:t>
      </w:r>
      <w:r w:rsidR="005764BD" w:rsidRPr="0005185E">
        <w:rPr>
          <w:rFonts w:hint="eastAsia"/>
          <w:sz w:val="24"/>
          <w:szCs w:val="24"/>
        </w:rPr>
        <w:t>时</w:t>
      </w:r>
      <w:r w:rsidR="005764BD">
        <w:rPr>
          <w:rFonts w:hint="eastAsia"/>
          <w:sz w:val="24"/>
          <w:szCs w:val="24"/>
        </w:rPr>
        <w:t>，</w:t>
      </w:r>
      <w:r w:rsidR="005764BD">
        <w:rPr>
          <w:rFonts w:hint="eastAsia"/>
          <w:sz w:val="24"/>
          <w:szCs w:val="24"/>
        </w:rPr>
        <w:t>代表</w:t>
      </w:r>
      <w:r w:rsidR="005764BD" w:rsidRPr="0005185E">
        <w:rPr>
          <w:rFonts w:hint="eastAsia"/>
          <w:sz w:val="24"/>
          <w:szCs w:val="24"/>
        </w:rPr>
        <w:t>两组变量</w:t>
      </w:r>
      <w:r w:rsidR="005764BD">
        <w:rPr>
          <w:rFonts w:hint="eastAsia"/>
          <w:sz w:val="24"/>
          <w:szCs w:val="24"/>
        </w:rPr>
        <w:t>是</w:t>
      </w:r>
      <w:r w:rsidRPr="0005185E">
        <w:rPr>
          <w:rFonts w:hint="eastAsia"/>
          <w:sz w:val="24"/>
          <w:szCs w:val="24"/>
        </w:rPr>
        <w:t>完全负相关</w:t>
      </w:r>
      <w:r w:rsidR="005764BD">
        <w:rPr>
          <w:rFonts w:hint="eastAsia"/>
          <w:sz w:val="24"/>
          <w:szCs w:val="24"/>
        </w:rPr>
        <w:t>的</w:t>
      </w:r>
      <w:r w:rsidRPr="0005185E">
        <w:rPr>
          <w:rFonts w:hint="eastAsia"/>
          <w:sz w:val="24"/>
          <w:szCs w:val="24"/>
        </w:rPr>
        <w:t>；</w:t>
      </w:r>
      <w:r w:rsidRPr="0005185E">
        <w:rPr>
          <w:rFonts w:hint="eastAsia"/>
          <w:sz w:val="24"/>
          <w:szCs w:val="24"/>
        </w:rPr>
        <w:t>r</w:t>
      </w:r>
      <w:r w:rsidRPr="0005185E">
        <w:rPr>
          <w:rFonts w:hint="eastAsia"/>
          <w:sz w:val="24"/>
          <w:szCs w:val="24"/>
        </w:rPr>
        <w:t>越靠近</w:t>
      </w:r>
      <w:r w:rsidRPr="0005185E">
        <w:rPr>
          <w:rFonts w:hint="eastAsia"/>
          <w:sz w:val="24"/>
          <w:szCs w:val="24"/>
        </w:rPr>
        <w:t>0</w:t>
      </w:r>
      <w:r w:rsidRPr="0005185E">
        <w:rPr>
          <w:rFonts w:hint="eastAsia"/>
          <w:sz w:val="24"/>
          <w:szCs w:val="24"/>
        </w:rPr>
        <w:t>轴，两组变量间相关性越弱。一般来说，</w:t>
      </w:r>
      <w:r w:rsidR="005764BD">
        <w:rPr>
          <w:rFonts w:hint="eastAsia"/>
          <w:sz w:val="24"/>
          <w:szCs w:val="24"/>
        </w:rPr>
        <w:t>取值</w:t>
      </w:r>
      <w:r w:rsidR="005764BD">
        <w:rPr>
          <w:rFonts w:hint="eastAsia"/>
          <w:sz w:val="24"/>
          <w:szCs w:val="24"/>
        </w:rPr>
        <w:t>的绝对值</w:t>
      </w:r>
      <w:r w:rsidRPr="0005185E">
        <w:rPr>
          <w:rFonts w:hint="eastAsia"/>
          <w:sz w:val="24"/>
          <w:szCs w:val="24"/>
        </w:rPr>
        <w:t>在</w:t>
      </w:r>
      <w:r w:rsidRPr="0005185E">
        <w:rPr>
          <w:rFonts w:hint="eastAsia"/>
          <w:sz w:val="24"/>
          <w:szCs w:val="24"/>
        </w:rPr>
        <w:t>0.66</w:t>
      </w:r>
      <w:r w:rsidRPr="0005185E">
        <w:rPr>
          <w:rFonts w:hint="eastAsia"/>
          <w:sz w:val="24"/>
          <w:szCs w:val="24"/>
        </w:rPr>
        <w:t>以上</w:t>
      </w:r>
      <w:r w:rsidR="005764BD">
        <w:rPr>
          <w:rFonts w:hint="eastAsia"/>
          <w:sz w:val="24"/>
          <w:szCs w:val="24"/>
        </w:rPr>
        <w:t>属于</w:t>
      </w:r>
      <w:r w:rsidRPr="0005185E">
        <w:rPr>
          <w:rFonts w:hint="eastAsia"/>
          <w:sz w:val="24"/>
          <w:szCs w:val="24"/>
        </w:rPr>
        <w:t>高度相关。</w:t>
      </w:r>
      <w:r w:rsidR="005764BD">
        <w:rPr>
          <w:rFonts w:hint="eastAsia"/>
          <w:sz w:val="24"/>
          <w:szCs w:val="24"/>
        </w:rPr>
        <w:t>取值的绝对值</w:t>
      </w:r>
      <w:r w:rsidRPr="0005185E">
        <w:rPr>
          <w:rFonts w:hint="eastAsia"/>
          <w:sz w:val="24"/>
          <w:szCs w:val="24"/>
        </w:rPr>
        <w:t>介于</w:t>
      </w:r>
      <w:r w:rsidRPr="0005185E">
        <w:rPr>
          <w:rFonts w:hint="eastAsia"/>
          <w:sz w:val="24"/>
          <w:szCs w:val="24"/>
        </w:rPr>
        <w:t>0.33</w:t>
      </w:r>
      <w:r w:rsidRPr="0005185E">
        <w:rPr>
          <w:rFonts w:hint="eastAsia"/>
          <w:sz w:val="24"/>
          <w:szCs w:val="24"/>
        </w:rPr>
        <w:t>至</w:t>
      </w:r>
      <w:r w:rsidRPr="0005185E">
        <w:rPr>
          <w:rFonts w:hint="eastAsia"/>
          <w:sz w:val="24"/>
          <w:szCs w:val="24"/>
        </w:rPr>
        <w:t>0.66</w:t>
      </w:r>
      <w:r w:rsidRPr="0005185E">
        <w:rPr>
          <w:rFonts w:hint="eastAsia"/>
          <w:sz w:val="24"/>
          <w:szCs w:val="24"/>
        </w:rPr>
        <w:t>间属于弱相关。</w:t>
      </w:r>
      <w:r w:rsidR="003D016E">
        <w:rPr>
          <w:rFonts w:hint="eastAsia"/>
          <w:sz w:val="24"/>
          <w:szCs w:val="24"/>
        </w:rPr>
        <w:t>取值的绝对值介于</w:t>
      </w:r>
      <w:r w:rsidR="003D016E">
        <w:rPr>
          <w:rFonts w:hint="eastAsia"/>
          <w:sz w:val="24"/>
          <w:szCs w:val="24"/>
        </w:rPr>
        <w:t>0</w:t>
      </w:r>
      <w:r w:rsidR="003D016E">
        <w:rPr>
          <w:rFonts w:hint="eastAsia"/>
          <w:sz w:val="24"/>
          <w:szCs w:val="24"/>
        </w:rPr>
        <w:t>至</w:t>
      </w:r>
      <w:r w:rsidR="003D016E">
        <w:rPr>
          <w:rFonts w:hint="eastAsia"/>
          <w:sz w:val="24"/>
          <w:szCs w:val="24"/>
        </w:rPr>
        <w:t>0.33</w:t>
      </w:r>
      <w:r w:rsidR="003D016E">
        <w:rPr>
          <w:rFonts w:hint="eastAsia"/>
          <w:sz w:val="24"/>
          <w:szCs w:val="24"/>
        </w:rPr>
        <w:t>间属于相关性不显著。</w:t>
      </w:r>
    </w:p>
    <w:p w:rsidR="00F76E86" w:rsidRDefault="00C5135D" w:rsidP="00C5135D">
      <w:pPr>
        <w:spacing w:line="400" w:lineRule="exact"/>
        <w:ind w:firstLineChars="177" w:firstLine="425"/>
        <w:rPr>
          <w:rFonts w:hint="eastAsia"/>
          <w:sz w:val="24"/>
          <w:szCs w:val="24"/>
        </w:rPr>
      </w:pPr>
      <w:r>
        <w:rPr>
          <w:rFonts w:hint="eastAsia"/>
          <w:sz w:val="24"/>
          <w:szCs w:val="24"/>
        </w:rPr>
        <w:t>图中可以看到</w:t>
      </w:r>
      <w:r w:rsidR="00363EA5">
        <w:rPr>
          <w:rFonts w:hint="eastAsia"/>
          <w:sz w:val="24"/>
          <w:szCs w:val="24"/>
        </w:rPr>
        <w:t>，高度相关的商品有如下组合：</w:t>
      </w:r>
    </w:p>
    <w:p w:rsidR="00363EA5" w:rsidRDefault="00363EA5" w:rsidP="00C5135D">
      <w:pPr>
        <w:spacing w:line="400" w:lineRule="exact"/>
        <w:ind w:firstLineChars="177" w:firstLine="425"/>
        <w:rPr>
          <w:rFonts w:hint="eastAsia"/>
          <w:sz w:val="24"/>
          <w:szCs w:val="24"/>
        </w:rPr>
      </w:pPr>
      <w:r>
        <w:rPr>
          <w:rFonts w:hint="eastAsia"/>
          <w:sz w:val="24"/>
          <w:szCs w:val="24"/>
        </w:rPr>
        <w:t>焦炭</w:t>
      </w:r>
      <w:r w:rsidR="000F5E2C">
        <w:rPr>
          <w:rFonts w:hint="eastAsia"/>
          <w:sz w:val="24"/>
          <w:szCs w:val="24"/>
        </w:rPr>
        <w:t>J</w:t>
      </w:r>
      <w:r>
        <w:rPr>
          <w:rFonts w:hint="eastAsia"/>
          <w:sz w:val="24"/>
          <w:szCs w:val="24"/>
        </w:rPr>
        <w:t>与焦煤</w:t>
      </w:r>
      <w:r w:rsidR="000F5E2C">
        <w:rPr>
          <w:rFonts w:hint="eastAsia"/>
          <w:sz w:val="24"/>
          <w:szCs w:val="24"/>
        </w:rPr>
        <w:t>JM</w:t>
      </w:r>
      <w:r>
        <w:rPr>
          <w:rFonts w:hint="eastAsia"/>
          <w:sz w:val="24"/>
          <w:szCs w:val="24"/>
        </w:rPr>
        <w:t>的相关性系数为</w:t>
      </w:r>
      <w:r>
        <w:rPr>
          <w:rFonts w:hint="eastAsia"/>
          <w:sz w:val="24"/>
          <w:szCs w:val="24"/>
        </w:rPr>
        <w:t>0.95</w:t>
      </w:r>
    </w:p>
    <w:p w:rsidR="009417A2" w:rsidRDefault="009417A2" w:rsidP="00C5135D">
      <w:pPr>
        <w:spacing w:line="400" w:lineRule="exact"/>
        <w:ind w:firstLineChars="177" w:firstLine="425"/>
        <w:rPr>
          <w:rFonts w:hint="eastAsia"/>
          <w:sz w:val="24"/>
          <w:szCs w:val="24"/>
        </w:rPr>
      </w:pPr>
      <w:r>
        <w:rPr>
          <w:rFonts w:hint="eastAsia"/>
          <w:sz w:val="24"/>
          <w:szCs w:val="24"/>
        </w:rPr>
        <w:lastRenderedPageBreak/>
        <w:t>铁矿石</w:t>
      </w:r>
      <w:r>
        <w:rPr>
          <w:rFonts w:hint="eastAsia"/>
          <w:sz w:val="24"/>
          <w:szCs w:val="24"/>
        </w:rPr>
        <w:t>i</w:t>
      </w:r>
      <w:r>
        <w:rPr>
          <w:rFonts w:hint="eastAsia"/>
          <w:sz w:val="24"/>
          <w:szCs w:val="24"/>
        </w:rPr>
        <w:t>与螺纹钢的相关性系数为</w:t>
      </w:r>
      <w:r>
        <w:rPr>
          <w:rFonts w:hint="eastAsia"/>
          <w:sz w:val="24"/>
          <w:szCs w:val="24"/>
        </w:rPr>
        <w:t>0.95</w:t>
      </w:r>
    </w:p>
    <w:p w:rsidR="009417A2" w:rsidRDefault="009417A2" w:rsidP="009417A2">
      <w:pPr>
        <w:spacing w:line="400" w:lineRule="exact"/>
        <w:ind w:firstLineChars="177" w:firstLine="425"/>
        <w:rPr>
          <w:rFonts w:hint="eastAsia"/>
          <w:sz w:val="24"/>
          <w:szCs w:val="24"/>
        </w:rPr>
      </w:pPr>
      <w:r w:rsidRPr="009417A2">
        <w:rPr>
          <w:rFonts w:hint="eastAsia"/>
          <w:sz w:val="24"/>
          <w:szCs w:val="24"/>
        </w:rPr>
        <w:t>棕榈</w:t>
      </w:r>
      <w:r>
        <w:rPr>
          <w:rFonts w:hint="eastAsia"/>
          <w:sz w:val="24"/>
          <w:szCs w:val="24"/>
        </w:rPr>
        <w:t>P</w:t>
      </w:r>
      <w:r w:rsidRPr="009417A2">
        <w:rPr>
          <w:rFonts w:hint="eastAsia"/>
          <w:sz w:val="24"/>
          <w:szCs w:val="24"/>
        </w:rPr>
        <w:t>和豆油</w:t>
      </w:r>
      <w:r>
        <w:rPr>
          <w:rFonts w:hint="eastAsia"/>
          <w:sz w:val="24"/>
          <w:szCs w:val="24"/>
        </w:rPr>
        <w:t>Y</w:t>
      </w:r>
      <w:r>
        <w:rPr>
          <w:rFonts w:hint="eastAsia"/>
          <w:sz w:val="24"/>
          <w:szCs w:val="24"/>
        </w:rPr>
        <w:t>的相关性系数为</w:t>
      </w:r>
      <w:r>
        <w:rPr>
          <w:rFonts w:hint="eastAsia"/>
          <w:sz w:val="24"/>
          <w:szCs w:val="24"/>
        </w:rPr>
        <w:t>0.88</w:t>
      </w:r>
    </w:p>
    <w:p w:rsidR="009417A2" w:rsidRDefault="009417A2" w:rsidP="009417A2">
      <w:pPr>
        <w:spacing w:line="400" w:lineRule="exact"/>
        <w:ind w:firstLineChars="177" w:firstLine="425"/>
        <w:rPr>
          <w:rFonts w:hint="eastAsia"/>
          <w:sz w:val="24"/>
          <w:szCs w:val="24"/>
        </w:rPr>
      </w:pPr>
      <w:r w:rsidRPr="009417A2">
        <w:rPr>
          <w:rFonts w:hint="eastAsia"/>
          <w:sz w:val="24"/>
          <w:szCs w:val="24"/>
        </w:rPr>
        <w:t>菜</w:t>
      </w:r>
      <w:proofErr w:type="gramStart"/>
      <w:r w:rsidRPr="009417A2">
        <w:rPr>
          <w:rFonts w:hint="eastAsia"/>
          <w:sz w:val="24"/>
          <w:szCs w:val="24"/>
        </w:rPr>
        <w:t>粕</w:t>
      </w:r>
      <w:proofErr w:type="gramEnd"/>
      <w:r w:rsidR="0012598E">
        <w:rPr>
          <w:rFonts w:hint="eastAsia"/>
          <w:sz w:val="24"/>
          <w:szCs w:val="24"/>
        </w:rPr>
        <w:t>RM</w:t>
      </w:r>
      <w:r w:rsidRPr="009417A2">
        <w:rPr>
          <w:rFonts w:hint="eastAsia"/>
          <w:sz w:val="24"/>
          <w:szCs w:val="24"/>
        </w:rPr>
        <w:t>和豆</w:t>
      </w:r>
      <w:proofErr w:type="gramStart"/>
      <w:r w:rsidRPr="009417A2">
        <w:rPr>
          <w:rFonts w:hint="eastAsia"/>
          <w:sz w:val="24"/>
          <w:szCs w:val="24"/>
        </w:rPr>
        <w:t>粕</w:t>
      </w:r>
      <w:proofErr w:type="gramEnd"/>
      <w:r w:rsidR="0012598E">
        <w:rPr>
          <w:rFonts w:hint="eastAsia"/>
          <w:sz w:val="24"/>
          <w:szCs w:val="24"/>
        </w:rPr>
        <w:t>M</w:t>
      </w:r>
      <w:r w:rsidRPr="009417A2">
        <w:rPr>
          <w:rFonts w:hint="eastAsia"/>
          <w:sz w:val="24"/>
          <w:szCs w:val="24"/>
        </w:rPr>
        <w:t>的相关系数为</w:t>
      </w:r>
      <w:r w:rsidRPr="009417A2">
        <w:rPr>
          <w:rFonts w:hint="eastAsia"/>
          <w:sz w:val="24"/>
          <w:szCs w:val="24"/>
        </w:rPr>
        <w:t>0.84</w:t>
      </w:r>
    </w:p>
    <w:p w:rsidR="009417A2" w:rsidRDefault="009417A2" w:rsidP="009417A2">
      <w:pPr>
        <w:spacing w:line="400" w:lineRule="exact"/>
        <w:ind w:firstLineChars="177" w:firstLine="425"/>
        <w:rPr>
          <w:rFonts w:hint="eastAsia"/>
          <w:sz w:val="24"/>
          <w:szCs w:val="24"/>
        </w:rPr>
      </w:pPr>
      <w:r w:rsidRPr="009417A2">
        <w:rPr>
          <w:rFonts w:hint="eastAsia"/>
          <w:sz w:val="24"/>
          <w:szCs w:val="24"/>
        </w:rPr>
        <w:t>聚丙烯</w:t>
      </w:r>
      <w:r w:rsidR="0012598E">
        <w:rPr>
          <w:rFonts w:hint="eastAsia"/>
          <w:sz w:val="24"/>
          <w:szCs w:val="24"/>
        </w:rPr>
        <w:t>PP</w:t>
      </w:r>
      <w:r w:rsidRPr="009417A2">
        <w:rPr>
          <w:rFonts w:hint="eastAsia"/>
          <w:sz w:val="24"/>
          <w:szCs w:val="24"/>
        </w:rPr>
        <w:t>和塑料</w:t>
      </w:r>
      <w:r w:rsidR="0012598E">
        <w:rPr>
          <w:rFonts w:hint="eastAsia"/>
          <w:sz w:val="24"/>
          <w:szCs w:val="24"/>
        </w:rPr>
        <w:t>L</w:t>
      </w:r>
      <w:r w:rsidRPr="009417A2">
        <w:rPr>
          <w:rFonts w:hint="eastAsia"/>
          <w:sz w:val="24"/>
          <w:szCs w:val="24"/>
        </w:rPr>
        <w:t>的相关系数为</w:t>
      </w:r>
      <w:r w:rsidRPr="009417A2">
        <w:rPr>
          <w:rFonts w:hint="eastAsia"/>
          <w:sz w:val="24"/>
          <w:szCs w:val="24"/>
        </w:rPr>
        <w:t>0.82</w:t>
      </w:r>
    </w:p>
    <w:p w:rsidR="009417A2" w:rsidRDefault="009417A2" w:rsidP="009417A2">
      <w:pPr>
        <w:spacing w:line="400" w:lineRule="exact"/>
        <w:ind w:firstLineChars="177" w:firstLine="425"/>
        <w:rPr>
          <w:rFonts w:hint="eastAsia"/>
          <w:sz w:val="24"/>
          <w:szCs w:val="24"/>
        </w:rPr>
      </w:pPr>
      <w:r w:rsidRPr="009417A2">
        <w:rPr>
          <w:rFonts w:hint="eastAsia"/>
          <w:sz w:val="24"/>
          <w:szCs w:val="24"/>
        </w:rPr>
        <w:t>铜</w:t>
      </w:r>
      <w:r w:rsidR="0012598E">
        <w:rPr>
          <w:rFonts w:hint="eastAsia"/>
          <w:sz w:val="24"/>
          <w:szCs w:val="24"/>
        </w:rPr>
        <w:t>CU</w:t>
      </w:r>
      <w:r w:rsidRPr="009417A2">
        <w:rPr>
          <w:rFonts w:hint="eastAsia"/>
          <w:sz w:val="24"/>
          <w:szCs w:val="24"/>
        </w:rPr>
        <w:t>和锌</w:t>
      </w:r>
      <w:r w:rsidR="0012598E">
        <w:rPr>
          <w:rFonts w:hint="eastAsia"/>
          <w:sz w:val="24"/>
          <w:szCs w:val="24"/>
        </w:rPr>
        <w:t>ZN</w:t>
      </w:r>
      <w:r w:rsidRPr="009417A2">
        <w:rPr>
          <w:rFonts w:hint="eastAsia"/>
          <w:sz w:val="24"/>
          <w:szCs w:val="24"/>
        </w:rPr>
        <w:t>的相关系数为</w:t>
      </w:r>
      <w:r w:rsidRPr="009417A2">
        <w:rPr>
          <w:rFonts w:hint="eastAsia"/>
          <w:sz w:val="24"/>
          <w:szCs w:val="24"/>
        </w:rPr>
        <w:t>0.66</w:t>
      </w:r>
    </w:p>
    <w:p w:rsidR="001E7F28" w:rsidRDefault="006244B2" w:rsidP="009417A2">
      <w:pPr>
        <w:spacing w:line="400" w:lineRule="exact"/>
        <w:ind w:firstLineChars="177" w:firstLine="425"/>
        <w:rPr>
          <w:rFonts w:hint="eastAsia"/>
          <w:sz w:val="24"/>
          <w:szCs w:val="24"/>
        </w:rPr>
      </w:pPr>
      <w:r>
        <w:rPr>
          <w:rFonts w:hint="eastAsia"/>
          <w:sz w:val="24"/>
          <w:szCs w:val="24"/>
        </w:rPr>
        <w:t>套利的基本形式有两种：价差套利和比价套利。所谓价差套利</w:t>
      </w:r>
      <w:r w:rsidRPr="006244B2">
        <w:rPr>
          <w:rFonts w:hint="eastAsia"/>
          <w:sz w:val="24"/>
          <w:szCs w:val="24"/>
        </w:rPr>
        <w:t>是做出商品期货品种间同一月份的价格之间的价差，并且画出价差的时间序列图，分析价差，寻找合理的价差范围，超出合理的价差变动范围时</w:t>
      </w:r>
      <w:r w:rsidR="001D4BE7">
        <w:rPr>
          <w:rFonts w:hint="eastAsia"/>
          <w:sz w:val="24"/>
          <w:szCs w:val="24"/>
        </w:rPr>
        <w:t>则卖出价</w:t>
      </w:r>
      <w:proofErr w:type="gramStart"/>
      <w:r w:rsidR="001D4BE7">
        <w:rPr>
          <w:rFonts w:hint="eastAsia"/>
          <w:sz w:val="24"/>
          <w:szCs w:val="24"/>
        </w:rPr>
        <w:t>格较高</w:t>
      </w:r>
      <w:proofErr w:type="gramEnd"/>
      <w:r w:rsidR="001D4BE7">
        <w:rPr>
          <w:rFonts w:hint="eastAsia"/>
          <w:sz w:val="24"/>
          <w:szCs w:val="24"/>
        </w:rPr>
        <w:t>的商品并买入价格较低的商品，待日后价格恢复正常水平后获利了结</w:t>
      </w:r>
      <w:r w:rsidRPr="006244B2">
        <w:rPr>
          <w:rFonts w:hint="eastAsia"/>
          <w:sz w:val="24"/>
          <w:szCs w:val="24"/>
        </w:rPr>
        <w:t>。</w:t>
      </w:r>
      <w:r w:rsidR="00537B37">
        <w:rPr>
          <w:rFonts w:hint="eastAsia"/>
          <w:sz w:val="24"/>
          <w:szCs w:val="24"/>
        </w:rPr>
        <w:t>而比价套利</w:t>
      </w:r>
      <w:r w:rsidR="00537B37" w:rsidRPr="00537B37">
        <w:rPr>
          <w:rFonts w:hint="eastAsia"/>
          <w:sz w:val="24"/>
          <w:szCs w:val="24"/>
        </w:rPr>
        <w:t>与差价套利</w:t>
      </w:r>
      <w:r w:rsidR="00537B37">
        <w:rPr>
          <w:rFonts w:hint="eastAsia"/>
          <w:sz w:val="24"/>
          <w:szCs w:val="24"/>
        </w:rPr>
        <w:t>基本</w:t>
      </w:r>
      <w:r w:rsidR="00537B37" w:rsidRPr="00537B37">
        <w:rPr>
          <w:rFonts w:hint="eastAsia"/>
          <w:sz w:val="24"/>
          <w:szCs w:val="24"/>
        </w:rPr>
        <w:t>类似，通过根据历史数据计算出相关的商品期货品种间同一月份的价格之间的</w:t>
      </w:r>
      <w:r w:rsidR="00890C46">
        <w:rPr>
          <w:rFonts w:hint="eastAsia"/>
          <w:sz w:val="24"/>
          <w:szCs w:val="24"/>
        </w:rPr>
        <w:t>比值</w:t>
      </w:r>
      <w:r w:rsidR="004568F3">
        <w:rPr>
          <w:rFonts w:hint="eastAsia"/>
          <w:sz w:val="24"/>
          <w:szCs w:val="24"/>
        </w:rPr>
        <w:t>即比</w:t>
      </w:r>
      <w:r w:rsidR="00BD48C2">
        <w:rPr>
          <w:rFonts w:hint="eastAsia"/>
          <w:sz w:val="24"/>
          <w:szCs w:val="24"/>
        </w:rPr>
        <w:t>价</w:t>
      </w:r>
      <w:r w:rsidR="00537B37" w:rsidRPr="00537B37">
        <w:rPr>
          <w:rFonts w:hint="eastAsia"/>
          <w:sz w:val="24"/>
          <w:szCs w:val="24"/>
        </w:rPr>
        <w:t>，并画出比价的时间序列图，分析</w:t>
      </w:r>
      <w:r w:rsidR="004E19AB">
        <w:rPr>
          <w:rFonts w:hint="eastAsia"/>
          <w:sz w:val="24"/>
          <w:szCs w:val="24"/>
        </w:rPr>
        <w:t>比价的规律</w:t>
      </w:r>
      <w:r w:rsidR="00537B37" w:rsidRPr="00537B37">
        <w:rPr>
          <w:rFonts w:hint="eastAsia"/>
          <w:sz w:val="24"/>
          <w:szCs w:val="24"/>
        </w:rPr>
        <w:t>，找出合理的范围，当比价超过合理的</w:t>
      </w:r>
      <w:r w:rsidR="003638C9">
        <w:rPr>
          <w:rFonts w:hint="eastAsia"/>
          <w:sz w:val="24"/>
          <w:szCs w:val="24"/>
        </w:rPr>
        <w:t>比价</w:t>
      </w:r>
      <w:r w:rsidR="00537B37" w:rsidRPr="00537B37">
        <w:rPr>
          <w:rFonts w:hint="eastAsia"/>
          <w:sz w:val="24"/>
          <w:szCs w:val="24"/>
        </w:rPr>
        <w:t>范围时</w:t>
      </w:r>
      <w:r w:rsidR="0074150A">
        <w:rPr>
          <w:rFonts w:hint="eastAsia"/>
          <w:sz w:val="24"/>
          <w:szCs w:val="24"/>
        </w:rPr>
        <w:t>,</w:t>
      </w:r>
      <w:r w:rsidR="0074150A" w:rsidRPr="0074150A">
        <w:rPr>
          <w:rFonts w:hint="eastAsia"/>
          <w:sz w:val="24"/>
          <w:szCs w:val="24"/>
        </w:rPr>
        <w:t xml:space="preserve"> </w:t>
      </w:r>
      <w:r w:rsidR="0074150A">
        <w:rPr>
          <w:rFonts w:hint="eastAsia"/>
          <w:sz w:val="24"/>
          <w:szCs w:val="24"/>
        </w:rPr>
        <w:t>则卖出价</w:t>
      </w:r>
      <w:proofErr w:type="gramStart"/>
      <w:r w:rsidR="0074150A">
        <w:rPr>
          <w:rFonts w:hint="eastAsia"/>
          <w:sz w:val="24"/>
          <w:szCs w:val="24"/>
        </w:rPr>
        <w:t>格较高</w:t>
      </w:r>
      <w:proofErr w:type="gramEnd"/>
      <w:r w:rsidR="0074150A">
        <w:rPr>
          <w:rFonts w:hint="eastAsia"/>
          <w:sz w:val="24"/>
          <w:szCs w:val="24"/>
        </w:rPr>
        <w:t>的商品并买入价格较低的商品，待日后价格恢复正常水平后获利了结</w:t>
      </w:r>
      <w:r w:rsidR="0074150A" w:rsidRPr="006244B2">
        <w:rPr>
          <w:rFonts w:hint="eastAsia"/>
          <w:sz w:val="24"/>
          <w:szCs w:val="24"/>
        </w:rPr>
        <w:t>。</w:t>
      </w:r>
    </w:p>
    <w:p w:rsidR="009417A2" w:rsidRDefault="00117620" w:rsidP="009417A2">
      <w:pPr>
        <w:spacing w:line="400" w:lineRule="exact"/>
        <w:ind w:firstLineChars="177" w:firstLine="425"/>
        <w:rPr>
          <w:rFonts w:hint="eastAsia"/>
          <w:sz w:val="24"/>
          <w:szCs w:val="24"/>
        </w:rPr>
      </w:pPr>
      <w:r>
        <w:rPr>
          <w:rFonts w:hint="eastAsia"/>
          <w:sz w:val="24"/>
          <w:szCs w:val="24"/>
        </w:rPr>
        <w:t>选择一个相关系数较高的产品组合开展统计套利交易</w:t>
      </w:r>
      <w:r>
        <w:rPr>
          <w:rFonts w:hint="eastAsia"/>
          <w:sz w:val="24"/>
          <w:szCs w:val="24"/>
        </w:rPr>
        <w:t>，</w:t>
      </w:r>
      <w:r w:rsidR="001E7F28">
        <w:rPr>
          <w:rFonts w:hint="eastAsia"/>
          <w:sz w:val="24"/>
          <w:szCs w:val="24"/>
        </w:rPr>
        <w:t>毫无疑问商品的价格</w:t>
      </w:r>
      <w:r w:rsidR="00790E82">
        <w:rPr>
          <w:rFonts w:hint="eastAsia"/>
          <w:sz w:val="24"/>
          <w:szCs w:val="24"/>
        </w:rPr>
        <w:t>会</w:t>
      </w:r>
      <w:r w:rsidR="001E7F28">
        <w:rPr>
          <w:rFonts w:hint="eastAsia"/>
          <w:sz w:val="24"/>
          <w:szCs w:val="24"/>
        </w:rPr>
        <w:t>更快的恢复正常水平，使得价格向</w:t>
      </w:r>
      <w:r w:rsidR="005F36B8">
        <w:rPr>
          <w:rFonts w:hint="eastAsia"/>
          <w:sz w:val="24"/>
          <w:szCs w:val="24"/>
        </w:rPr>
        <w:t>不利</w:t>
      </w:r>
      <w:r w:rsidR="001E7F28">
        <w:rPr>
          <w:rFonts w:hint="eastAsia"/>
          <w:sz w:val="24"/>
          <w:szCs w:val="24"/>
        </w:rPr>
        <w:t>方向发展的风险降到最低</w:t>
      </w:r>
      <w:r w:rsidR="00AC320A">
        <w:rPr>
          <w:rFonts w:hint="eastAsia"/>
          <w:sz w:val="24"/>
          <w:szCs w:val="24"/>
        </w:rPr>
        <w:t>。</w:t>
      </w:r>
      <w:r w:rsidR="0012104E">
        <w:rPr>
          <w:rFonts w:hint="eastAsia"/>
          <w:sz w:val="24"/>
          <w:szCs w:val="24"/>
        </w:rPr>
        <w:t>与此同时，</w:t>
      </w:r>
      <w:r w:rsidR="00A33B6A">
        <w:rPr>
          <w:rFonts w:hint="eastAsia"/>
          <w:sz w:val="24"/>
          <w:szCs w:val="24"/>
        </w:rPr>
        <w:t>我们还需要注意到另一个方面，高相关性的商品价格出现不一致的概率较低，并且不一致的幅度较小，</w:t>
      </w:r>
      <w:r w:rsidR="00016CFF">
        <w:rPr>
          <w:rFonts w:hint="eastAsia"/>
          <w:sz w:val="24"/>
          <w:szCs w:val="24"/>
        </w:rPr>
        <w:t>该情况</w:t>
      </w:r>
      <w:r w:rsidR="00A33B6A">
        <w:rPr>
          <w:rFonts w:hint="eastAsia"/>
          <w:sz w:val="24"/>
          <w:szCs w:val="24"/>
        </w:rPr>
        <w:t>会导致风险最低的时候利润也会最低，这也是在做商品程序化时不得不考虑的内容。</w:t>
      </w:r>
    </w:p>
    <w:p w:rsidR="005800EB" w:rsidRDefault="006902B7" w:rsidP="009417A2">
      <w:pPr>
        <w:spacing w:line="400" w:lineRule="exact"/>
        <w:ind w:firstLineChars="177" w:firstLine="425"/>
        <w:rPr>
          <w:rFonts w:hint="eastAsia"/>
          <w:sz w:val="24"/>
          <w:szCs w:val="24"/>
        </w:rPr>
      </w:pPr>
      <w:r>
        <w:rPr>
          <w:rFonts w:hint="eastAsia"/>
          <w:sz w:val="24"/>
          <w:szCs w:val="24"/>
        </w:rPr>
        <w:t>过度拟合是指为了得到一致假设而使假设变得过度严格的情况</w:t>
      </w:r>
      <w:r w:rsidR="00B77E72">
        <w:rPr>
          <w:rFonts w:hint="eastAsia"/>
          <w:sz w:val="24"/>
          <w:szCs w:val="24"/>
        </w:rPr>
        <w:t>，</w:t>
      </w:r>
      <w:r w:rsidR="00D9437E">
        <w:rPr>
          <w:rFonts w:hint="eastAsia"/>
          <w:sz w:val="24"/>
          <w:szCs w:val="24"/>
        </w:rPr>
        <w:t>即</w:t>
      </w:r>
      <w:r w:rsidR="00B77E72">
        <w:rPr>
          <w:rFonts w:hint="eastAsia"/>
          <w:sz w:val="24"/>
          <w:szCs w:val="24"/>
        </w:rPr>
        <w:t>对于样本数据，描述的准确度很高，而对于样本外数据，描述的准确度却很差。</w:t>
      </w:r>
      <w:r>
        <w:rPr>
          <w:rFonts w:hint="eastAsia"/>
          <w:sz w:val="24"/>
          <w:szCs w:val="24"/>
        </w:rPr>
        <w:t>在期货市场中重点表现为如下形式：高频交易者往往会设计一个交易时机筛选条件，在符合这个筛选条件的时机下单会带来较大利润。这个筛选条件的表现形式是一个</w:t>
      </w:r>
      <w:r>
        <w:rPr>
          <w:rFonts w:hint="eastAsia"/>
          <w:sz w:val="24"/>
          <w:szCs w:val="24"/>
        </w:rPr>
        <w:t>N</w:t>
      </w:r>
      <w:r>
        <w:rPr>
          <w:rFonts w:hint="eastAsia"/>
          <w:sz w:val="24"/>
          <w:szCs w:val="24"/>
        </w:rPr>
        <w:t>维的函数，返回值为</w:t>
      </w:r>
      <w:r w:rsidR="008533DE">
        <w:rPr>
          <w:rFonts w:hint="eastAsia"/>
          <w:sz w:val="24"/>
          <w:szCs w:val="24"/>
        </w:rPr>
        <w:t>该时机</w:t>
      </w:r>
      <w:r>
        <w:rPr>
          <w:rFonts w:hint="eastAsia"/>
          <w:sz w:val="24"/>
          <w:szCs w:val="24"/>
        </w:rPr>
        <w:t>所对应的操作如买入开仓、卖出开仓</w:t>
      </w:r>
      <w:r w:rsidR="007B3AD6">
        <w:rPr>
          <w:rFonts w:hint="eastAsia"/>
          <w:sz w:val="24"/>
          <w:szCs w:val="24"/>
        </w:rPr>
        <w:t>、</w:t>
      </w:r>
      <w:r>
        <w:rPr>
          <w:rFonts w:hint="eastAsia"/>
          <w:sz w:val="24"/>
          <w:szCs w:val="24"/>
        </w:rPr>
        <w:t>平仓等。为了使这个筛选条件更加符合历史数据，高频交易者往往会通过计算机程序对此筛选条件的</w:t>
      </w:r>
      <w:r>
        <w:rPr>
          <w:rFonts w:hint="eastAsia"/>
          <w:sz w:val="24"/>
          <w:szCs w:val="24"/>
        </w:rPr>
        <w:t>N</w:t>
      </w:r>
      <w:proofErr w:type="gramStart"/>
      <w:r>
        <w:rPr>
          <w:rFonts w:hint="eastAsia"/>
          <w:sz w:val="24"/>
          <w:szCs w:val="24"/>
        </w:rPr>
        <w:t>个</w:t>
      </w:r>
      <w:proofErr w:type="gramEnd"/>
      <w:r>
        <w:rPr>
          <w:rFonts w:hint="eastAsia"/>
          <w:sz w:val="24"/>
          <w:szCs w:val="24"/>
        </w:rPr>
        <w:t>参数进行优化，使这个筛选条件在面对历史数据时可以表现到最好，可以把每一个交易时机都筛选出来。</w:t>
      </w:r>
      <w:r w:rsidR="00815A22">
        <w:rPr>
          <w:rFonts w:hint="eastAsia"/>
          <w:sz w:val="24"/>
          <w:szCs w:val="24"/>
        </w:rPr>
        <w:t>如果高频交易者在最后的优化步骤时优化次数过于严格，就会导致筛选条件对历史数据是高度拟合的，但是对于未来的数据却无法捕捉到交易时机。</w:t>
      </w:r>
    </w:p>
    <w:p w:rsidR="00805FE5" w:rsidRDefault="00805FE5" w:rsidP="009417A2">
      <w:pPr>
        <w:spacing w:line="400" w:lineRule="exact"/>
        <w:ind w:firstLineChars="177" w:firstLine="425"/>
        <w:rPr>
          <w:rFonts w:hint="eastAsia"/>
          <w:sz w:val="24"/>
          <w:szCs w:val="24"/>
        </w:rPr>
      </w:pPr>
      <w:r>
        <w:rPr>
          <w:rFonts w:hint="eastAsia"/>
          <w:sz w:val="24"/>
          <w:szCs w:val="24"/>
        </w:rPr>
        <w:t>出现过度拟合的原因大致有如下原因：</w:t>
      </w:r>
      <w:r w:rsidRPr="00805FE5">
        <w:rPr>
          <w:rFonts w:hint="eastAsia"/>
          <w:sz w:val="24"/>
          <w:szCs w:val="24"/>
        </w:rPr>
        <w:t>建模样本抽取错误</w:t>
      </w:r>
      <w:r>
        <w:rPr>
          <w:rFonts w:hint="eastAsia"/>
          <w:sz w:val="24"/>
          <w:szCs w:val="24"/>
        </w:rPr>
        <w:t>、</w:t>
      </w:r>
      <w:r w:rsidRPr="00805FE5">
        <w:rPr>
          <w:rFonts w:hint="eastAsia"/>
          <w:sz w:val="24"/>
          <w:szCs w:val="24"/>
        </w:rPr>
        <w:t>样本里的噪音数据干扰过大</w:t>
      </w:r>
      <w:r>
        <w:rPr>
          <w:rFonts w:hint="eastAsia"/>
          <w:sz w:val="24"/>
          <w:szCs w:val="24"/>
        </w:rPr>
        <w:t>、</w:t>
      </w:r>
      <w:r w:rsidRPr="00805FE5">
        <w:rPr>
          <w:rFonts w:hint="eastAsia"/>
          <w:sz w:val="24"/>
          <w:szCs w:val="24"/>
        </w:rPr>
        <w:t>建模时的“逻辑假设”到了模型应用时已经不能成立</w:t>
      </w:r>
      <w:r>
        <w:rPr>
          <w:rFonts w:hint="eastAsia"/>
          <w:sz w:val="24"/>
          <w:szCs w:val="24"/>
        </w:rPr>
        <w:t>、</w:t>
      </w:r>
      <w:r w:rsidRPr="00805FE5">
        <w:rPr>
          <w:rFonts w:hint="eastAsia"/>
          <w:sz w:val="24"/>
          <w:szCs w:val="24"/>
        </w:rPr>
        <w:t>参数太</w:t>
      </w:r>
      <w:r w:rsidRPr="00805FE5">
        <w:rPr>
          <w:rFonts w:hint="eastAsia"/>
          <w:sz w:val="24"/>
          <w:szCs w:val="24"/>
        </w:rPr>
        <w:lastRenderedPageBreak/>
        <w:t>多模型复杂度高</w:t>
      </w:r>
      <w:r>
        <w:rPr>
          <w:rFonts w:hint="eastAsia"/>
          <w:sz w:val="24"/>
          <w:szCs w:val="24"/>
        </w:rPr>
        <w:t>等。而解决过度拟合的原因也有如下几种方式：</w:t>
      </w:r>
    </w:p>
    <w:p w:rsidR="00805FE5" w:rsidRPr="0059494F" w:rsidRDefault="00805FE5" w:rsidP="0059494F">
      <w:pPr>
        <w:pStyle w:val="a9"/>
        <w:numPr>
          <w:ilvl w:val="0"/>
          <w:numId w:val="17"/>
        </w:numPr>
        <w:spacing w:line="400" w:lineRule="exact"/>
        <w:ind w:firstLineChars="0"/>
        <w:rPr>
          <w:rFonts w:hint="eastAsia"/>
          <w:sz w:val="24"/>
          <w:szCs w:val="24"/>
        </w:rPr>
      </w:pPr>
      <w:r w:rsidRPr="0059494F">
        <w:rPr>
          <w:rFonts w:hint="eastAsia"/>
          <w:sz w:val="24"/>
          <w:szCs w:val="24"/>
        </w:rPr>
        <w:t>清洗噪音数据，通过增加时间周期将数据平稳化；</w:t>
      </w:r>
    </w:p>
    <w:p w:rsidR="0059494F" w:rsidRDefault="0059494F" w:rsidP="0059494F">
      <w:pPr>
        <w:pStyle w:val="a9"/>
        <w:numPr>
          <w:ilvl w:val="0"/>
          <w:numId w:val="17"/>
        </w:numPr>
        <w:spacing w:line="400" w:lineRule="exact"/>
        <w:ind w:firstLineChars="0"/>
        <w:rPr>
          <w:rFonts w:hint="eastAsia"/>
          <w:sz w:val="24"/>
          <w:szCs w:val="24"/>
        </w:rPr>
      </w:pPr>
      <w:r>
        <w:rPr>
          <w:rFonts w:hint="eastAsia"/>
          <w:sz w:val="24"/>
          <w:szCs w:val="24"/>
        </w:rPr>
        <w:t>避免使用过老的数据</w:t>
      </w:r>
    </w:p>
    <w:p w:rsidR="0059494F" w:rsidRDefault="0059494F" w:rsidP="0059494F">
      <w:pPr>
        <w:pStyle w:val="a9"/>
        <w:numPr>
          <w:ilvl w:val="0"/>
          <w:numId w:val="17"/>
        </w:numPr>
        <w:spacing w:line="400" w:lineRule="exact"/>
        <w:ind w:firstLineChars="0"/>
        <w:rPr>
          <w:rFonts w:hint="eastAsia"/>
          <w:sz w:val="24"/>
          <w:szCs w:val="24"/>
        </w:rPr>
      </w:pPr>
      <w:r>
        <w:rPr>
          <w:rFonts w:hint="eastAsia"/>
          <w:sz w:val="24"/>
          <w:szCs w:val="24"/>
        </w:rPr>
        <w:t>使用简单的模型；</w:t>
      </w:r>
    </w:p>
    <w:p w:rsidR="00A94599" w:rsidRPr="00A94599" w:rsidRDefault="00805FE5" w:rsidP="00657440">
      <w:pPr>
        <w:pStyle w:val="a9"/>
        <w:numPr>
          <w:ilvl w:val="0"/>
          <w:numId w:val="17"/>
        </w:numPr>
        <w:spacing w:line="400" w:lineRule="exact"/>
        <w:ind w:firstLineChars="0"/>
        <w:rPr>
          <w:rFonts w:hint="eastAsia"/>
          <w:sz w:val="24"/>
          <w:szCs w:val="24"/>
        </w:rPr>
      </w:pPr>
      <w:r w:rsidRPr="0059494F">
        <w:rPr>
          <w:rFonts w:hint="eastAsia"/>
          <w:sz w:val="24"/>
          <w:szCs w:val="24"/>
        </w:rPr>
        <w:t>将数据分为训练数据集与测试数据集，使用在测试数据集上产生最小误差的优化参数；</w:t>
      </w:r>
    </w:p>
    <w:p w:rsidR="00A94599" w:rsidRDefault="00A94599" w:rsidP="00657440">
      <w:pPr>
        <w:spacing w:line="400" w:lineRule="exact"/>
        <w:rPr>
          <w:rFonts w:hint="eastAsia"/>
          <w:sz w:val="24"/>
          <w:szCs w:val="24"/>
        </w:rPr>
      </w:pPr>
    </w:p>
    <w:p w:rsidR="00A94599" w:rsidRPr="00657440" w:rsidRDefault="00A94599" w:rsidP="00657440">
      <w:pPr>
        <w:spacing w:line="400" w:lineRule="exact"/>
        <w:rPr>
          <w:sz w:val="24"/>
          <w:szCs w:val="24"/>
        </w:rPr>
      </w:pPr>
    </w:p>
    <w:p w:rsidR="00A37364" w:rsidRPr="00FC5024" w:rsidRDefault="00A37364" w:rsidP="00A37364">
      <w:pPr>
        <w:pStyle w:val="2"/>
        <w:numPr>
          <w:ilvl w:val="2"/>
          <w:numId w:val="3"/>
        </w:numPr>
        <w:spacing w:line="400" w:lineRule="exact"/>
        <w:jc w:val="center"/>
        <w:rPr>
          <w:rFonts w:ascii="黑体" w:eastAsia="黑体" w:hAnsi="黑体"/>
          <w:sz w:val="30"/>
          <w:szCs w:val="30"/>
        </w:rPr>
      </w:pPr>
      <w:r>
        <w:rPr>
          <w:rFonts w:ascii="黑体" w:eastAsia="黑体" w:hAnsi="黑体"/>
          <w:sz w:val="30"/>
          <w:szCs w:val="30"/>
        </w:rPr>
        <w:t>影响</w:t>
      </w:r>
      <w:r>
        <w:rPr>
          <w:rFonts w:ascii="黑体" w:eastAsia="黑体" w:hAnsi="黑体" w:hint="eastAsia"/>
          <w:sz w:val="30"/>
          <w:szCs w:val="30"/>
        </w:rPr>
        <w:t>动量</w:t>
      </w:r>
      <w:r>
        <w:rPr>
          <w:rFonts w:ascii="黑体" w:eastAsia="黑体" w:hAnsi="黑体"/>
          <w:sz w:val="30"/>
          <w:szCs w:val="30"/>
        </w:rPr>
        <w:t>策略与反转策略的因素分析</w:t>
      </w:r>
    </w:p>
    <w:p w:rsidR="00F76E86" w:rsidRPr="00A37364" w:rsidRDefault="006E3D3A" w:rsidP="00901E68">
      <w:pPr>
        <w:spacing w:line="400" w:lineRule="exact"/>
        <w:ind w:firstLineChars="177" w:firstLine="425"/>
        <w:rPr>
          <w:sz w:val="24"/>
          <w:szCs w:val="24"/>
        </w:rPr>
      </w:pPr>
      <w:r w:rsidRPr="006127FE">
        <w:rPr>
          <w:sz w:val="24"/>
          <w:szCs w:val="24"/>
        </w:rPr>
        <w:t>在上一章节描述</w:t>
      </w:r>
      <w:r>
        <w:rPr>
          <w:sz w:val="24"/>
          <w:szCs w:val="24"/>
        </w:rPr>
        <w:t>到，</w:t>
      </w:r>
      <w:r w:rsidRPr="009B5F9C">
        <w:rPr>
          <w:sz w:val="24"/>
          <w:szCs w:val="24"/>
        </w:rPr>
        <w:t>影响做</w:t>
      </w:r>
      <w:r>
        <w:rPr>
          <w:sz w:val="24"/>
          <w:szCs w:val="24"/>
        </w:rPr>
        <w:t>动量策略与反转策略</w:t>
      </w:r>
      <w:r w:rsidRPr="009B5F9C">
        <w:rPr>
          <w:sz w:val="24"/>
          <w:szCs w:val="24"/>
        </w:rPr>
        <w:t>的因素如下</w:t>
      </w:r>
      <w:r>
        <w:rPr>
          <w:sz w:val="24"/>
          <w:szCs w:val="24"/>
        </w:rPr>
        <w:t>：</w:t>
      </w:r>
      <w:r w:rsidR="00DA1575" w:rsidRPr="000C3491">
        <w:rPr>
          <w:rFonts w:hint="eastAsia"/>
          <w:sz w:val="24"/>
          <w:szCs w:val="24"/>
        </w:rPr>
        <w:t>知情交易者的比例</w:t>
      </w:r>
      <w:r w:rsidR="00DA1575">
        <w:rPr>
          <w:rFonts w:hint="eastAsia"/>
          <w:sz w:val="24"/>
          <w:szCs w:val="24"/>
        </w:rPr>
        <w:t>、</w:t>
      </w:r>
      <w:r w:rsidR="00DA1575" w:rsidRPr="000C3491">
        <w:rPr>
          <w:rFonts w:hint="eastAsia"/>
          <w:sz w:val="24"/>
          <w:szCs w:val="24"/>
        </w:rPr>
        <w:t>信息传播速度</w:t>
      </w:r>
      <w:r w:rsidR="00DA1575">
        <w:rPr>
          <w:rFonts w:hint="eastAsia"/>
          <w:sz w:val="24"/>
          <w:szCs w:val="24"/>
        </w:rPr>
        <w:t>、</w:t>
      </w:r>
      <w:r w:rsidR="00DA1575" w:rsidRPr="000C3491">
        <w:rPr>
          <w:rFonts w:hint="eastAsia"/>
          <w:sz w:val="24"/>
          <w:szCs w:val="24"/>
        </w:rPr>
        <w:t>信息吸收程度。</w:t>
      </w:r>
    </w:p>
    <w:p w:rsidR="00F76E86" w:rsidRPr="00657440" w:rsidRDefault="00996D51" w:rsidP="00996D51">
      <w:pPr>
        <w:spacing w:line="400" w:lineRule="exact"/>
        <w:ind w:firstLineChars="177" w:firstLine="425"/>
        <w:rPr>
          <w:sz w:val="24"/>
          <w:szCs w:val="24"/>
        </w:rPr>
      </w:pPr>
      <w:r>
        <w:rPr>
          <w:sz w:val="24"/>
          <w:szCs w:val="24"/>
        </w:rPr>
        <w:t>动量交易策略是在行为金融理论背景下提出来的，指如果某一个股票在过去一段时间内收益率较高，那么将来的一段时间内其期望收益率也较高；相反，如果某一个股票的收益率较低，那么将来相同时期内它的期望收益率也会处于一个较低的水平。因此基于动量效应，投资者就可以买进收益率较高的股票，卖出收益率最低的股票，由此构建一个零风险投资组合进行套利，这便是动量交易策略。</w:t>
      </w:r>
    </w:p>
    <w:p w:rsidR="00F76E86" w:rsidRPr="00657440" w:rsidRDefault="005E643A" w:rsidP="005E643A">
      <w:pPr>
        <w:spacing w:line="400" w:lineRule="exact"/>
        <w:ind w:firstLineChars="177" w:firstLine="425"/>
        <w:rPr>
          <w:sz w:val="24"/>
          <w:szCs w:val="24"/>
        </w:rPr>
      </w:pPr>
      <w:r w:rsidRPr="005E643A">
        <w:rPr>
          <w:rFonts w:hint="eastAsia"/>
          <w:sz w:val="24"/>
          <w:szCs w:val="24"/>
        </w:rPr>
        <w:t xml:space="preserve">De </w:t>
      </w:r>
      <w:proofErr w:type="spellStart"/>
      <w:r w:rsidRPr="005E643A">
        <w:rPr>
          <w:rFonts w:hint="eastAsia"/>
          <w:sz w:val="24"/>
          <w:szCs w:val="24"/>
        </w:rPr>
        <w:t>Long,Shleifer,Summers</w:t>
      </w:r>
      <w:proofErr w:type="spellEnd"/>
      <w:r w:rsidRPr="005E643A">
        <w:rPr>
          <w:rFonts w:hint="eastAsia"/>
          <w:sz w:val="24"/>
          <w:szCs w:val="24"/>
        </w:rPr>
        <w:t>和</w:t>
      </w:r>
      <w:proofErr w:type="spellStart"/>
      <w:r w:rsidRPr="005E643A">
        <w:rPr>
          <w:rFonts w:hint="eastAsia"/>
          <w:sz w:val="24"/>
          <w:szCs w:val="24"/>
        </w:rPr>
        <w:t>Waldmann</w:t>
      </w:r>
      <w:proofErr w:type="spellEnd"/>
      <w:r w:rsidRPr="005E643A">
        <w:rPr>
          <w:rFonts w:hint="eastAsia"/>
          <w:sz w:val="24"/>
          <w:szCs w:val="24"/>
        </w:rPr>
        <w:t>(1990)</w:t>
      </w:r>
      <w:r w:rsidR="007D3316">
        <w:rPr>
          <w:rFonts w:hint="eastAsia"/>
          <w:sz w:val="24"/>
          <w:szCs w:val="24"/>
        </w:rPr>
        <w:t>[20]</w:t>
      </w:r>
      <w:r w:rsidRPr="005E643A">
        <w:rPr>
          <w:rFonts w:hint="eastAsia"/>
          <w:sz w:val="24"/>
          <w:szCs w:val="24"/>
        </w:rPr>
        <w:t>提出</w:t>
      </w:r>
      <w:r>
        <w:rPr>
          <w:rFonts w:hint="eastAsia"/>
          <w:sz w:val="24"/>
          <w:szCs w:val="24"/>
        </w:rPr>
        <w:t>了</w:t>
      </w:r>
      <w:r w:rsidRPr="005E643A">
        <w:rPr>
          <w:rFonts w:hint="eastAsia"/>
          <w:sz w:val="24"/>
          <w:szCs w:val="24"/>
        </w:rPr>
        <w:t>DSSW</w:t>
      </w:r>
      <w:r w:rsidRPr="005E643A">
        <w:rPr>
          <w:rFonts w:hint="eastAsia"/>
          <w:sz w:val="24"/>
          <w:szCs w:val="24"/>
        </w:rPr>
        <w:t>模型，该模型利用正反馈交易行为说明了反应过度现象。市场上存在这样一类投资者，他们</w:t>
      </w:r>
      <w:proofErr w:type="gramStart"/>
      <w:r w:rsidRPr="005E643A">
        <w:rPr>
          <w:rFonts w:hint="eastAsia"/>
          <w:sz w:val="24"/>
          <w:szCs w:val="24"/>
        </w:rPr>
        <w:t>仅关注</w:t>
      </w:r>
      <w:proofErr w:type="gramEnd"/>
      <w:r w:rsidRPr="005E643A">
        <w:rPr>
          <w:rFonts w:hint="eastAsia"/>
          <w:sz w:val="24"/>
          <w:szCs w:val="24"/>
        </w:rPr>
        <w:t>技术面，倾向于</w:t>
      </w:r>
      <w:proofErr w:type="gramStart"/>
      <w:r w:rsidRPr="005E643A">
        <w:rPr>
          <w:rFonts w:hint="eastAsia"/>
          <w:sz w:val="24"/>
          <w:szCs w:val="24"/>
        </w:rPr>
        <w:t>买入近期</w:t>
      </w:r>
      <w:proofErr w:type="gramEnd"/>
      <w:r w:rsidRPr="005E643A">
        <w:rPr>
          <w:rFonts w:hint="eastAsia"/>
          <w:sz w:val="24"/>
          <w:szCs w:val="24"/>
        </w:rPr>
        <w:t>上涨的股票，在市场上表现为“追涨杀跌”。正反馈交易者的“追涨杀跌”行为将进一步刺激股价上涨</w:t>
      </w:r>
      <w:r>
        <w:rPr>
          <w:rFonts w:hint="eastAsia"/>
          <w:sz w:val="24"/>
          <w:szCs w:val="24"/>
        </w:rPr>
        <w:t>(</w:t>
      </w:r>
      <w:r>
        <w:rPr>
          <w:rFonts w:hint="eastAsia"/>
          <w:sz w:val="24"/>
          <w:szCs w:val="24"/>
        </w:rPr>
        <w:t>或者下跌</w:t>
      </w:r>
      <w:r>
        <w:rPr>
          <w:rFonts w:hint="eastAsia"/>
          <w:sz w:val="24"/>
          <w:szCs w:val="24"/>
        </w:rPr>
        <w:t>)</w:t>
      </w:r>
      <w:r w:rsidRPr="005E643A">
        <w:rPr>
          <w:rFonts w:hint="eastAsia"/>
          <w:sz w:val="24"/>
          <w:szCs w:val="24"/>
        </w:rPr>
        <w:t>，该股票短期表现为过度反应，然而当股价被一再推高到某个极限值</w:t>
      </w:r>
      <w:r w:rsidR="00560C7D">
        <w:rPr>
          <w:rFonts w:hint="eastAsia"/>
          <w:sz w:val="24"/>
          <w:szCs w:val="24"/>
        </w:rPr>
        <w:t>(</w:t>
      </w:r>
      <w:r w:rsidR="00560C7D">
        <w:rPr>
          <w:rFonts w:hint="eastAsia"/>
          <w:sz w:val="24"/>
          <w:szCs w:val="24"/>
        </w:rPr>
        <w:t>或者下跌到某个极限值</w:t>
      </w:r>
      <w:r w:rsidR="00560C7D">
        <w:rPr>
          <w:rFonts w:hint="eastAsia"/>
          <w:sz w:val="24"/>
          <w:szCs w:val="24"/>
        </w:rPr>
        <w:t>)</w:t>
      </w:r>
      <w:r w:rsidRPr="005E643A">
        <w:rPr>
          <w:rFonts w:hint="eastAsia"/>
          <w:sz w:val="24"/>
          <w:szCs w:val="24"/>
        </w:rPr>
        <w:t>之后，股价的泡沫必然破灭</w:t>
      </w:r>
      <w:r w:rsidR="00AA214D">
        <w:rPr>
          <w:rFonts w:hint="eastAsia"/>
          <w:sz w:val="24"/>
          <w:szCs w:val="24"/>
        </w:rPr>
        <w:t>(</w:t>
      </w:r>
      <w:r w:rsidR="00AA214D">
        <w:rPr>
          <w:rFonts w:hint="eastAsia"/>
          <w:sz w:val="24"/>
          <w:szCs w:val="24"/>
        </w:rPr>
        <w:t>或者超跌反弹</w:t>
      </w:r>
      <w:r w:rsidR="00AA214D">
        <w:rPr>
          <w:rFonts w:hint="eastAsia"/>
          <w:sz w:val="24"/>
          <w:szCs w:val="24"/>
        </w:rPr>
        <w:t>)</w:t>
      </w:r>
      <w:r w:rsidRPr="005E643A">
        <w:rPr>
          <w:rFonts w:hint="eastAsia"/>
          <w:sz w:val="24"/>
          <w:szCs w:val="24"/>
        </w:rPr>
        <w:t>，从而开始反转。</w:t>
      </w:r>
      <w:r w:rsidR="00772DAE">
        <w:rPr>
          <w:rFonts w:hint="eastAsia"/>
          <w:sz w:val="24"/>
          <w:szCs w:val="24"/>
        </w:rPr>
        <w:t>此外</w:t>
      </w:r>
      <w:proofErr w:type="spellStart"/>
      <w:r w:rsidR="00772DAE" w:rsidRPr="00772DAE">
        <w:rPr>
          <w:rFonts w:hint="eastAsia"/>
          <w:sz w:val="24"/>
          <w:szCs w:val="24"/>
        </w:rPr>
        <w:t>Berberis,Shleifer</w:t>
      </w:r>
      <w:proofErr w:type="spellEnd"/>
      <w:r w:rsidR="00772DAE" w:rsidRPr="00772DAE">
        <w:rPr>
          <w:rFonts w:hint="eastAsia"/>
          <w:sz w:val="24"/>
          <w:szCs w:val="24"/>
        </w:rPr>
        <w:t>和</w:t>
      </w:r>
      <w:proofErr w:type="spellStart"/>
      <w:r w:rsidR="00772DAE" w:rsidRPr="00772DAE">
        <w:rPr>
          <w:rFonts w:hint="eastAsia"/>
          <w:sz w:val="24"/>
          <w:szCs w:val="24"/>
        </w:rPr>
        <w:t>Vishny</w:t>
      </w:r>
      <w:proofErr w:type="spellEnd"/>
      <w:r w:rsidR="00772DAE" w:rsidRPr="00772DAE">
        <w:rPr>
          <w:rFonts w:hint="eastAsia"/>
          <w:sz w:val="24"/>
          <w:szCs w:val="24"/>
        </w:rPr>
        <w:t>(1998)</w:t>
      </w:r>
      <w:r w:rsidR="00CC0C3F">
        <w:rPr>
          <w:rFonts w:hint="eastAsia"/>
          <w:sz w:val="24"/>
          <w:szCs w:val="24"/>
        </w:rPr>
        <w:t>[21]</w:t>
      </w:r>
      <w:r w:rsidR="00772DAE">
        <w:rPr>
          <w:rFonts w:hint="eastAsia"/>
          <w:sz w:val="24"/>
          <w:szCs w:val="24"/>
        </w:rPr>
        <w:t>认为</w:t>
      </w:r>
      <w:r w:rsidR="00772DAE" w:rsidRPr="00772DAE">
        <w:rPr>
          <w:rFonts w:hint="eastAsia"/>
          <w:sz w:val="24"/>
          <w:szCs w:val="24"/>
        </w:rPr>
        <w:t>投资者有</w:t>
      </w:r>
      <w:r w:rsidR="000F6AEE" w:rsidRPr="000F6AEE">
        <w:rPr>
          <w:rFonts w:hint="eastAsia"/>
          <w:sz w:val="24"/>
          <w:szCs w:val="24"/>
        </w:rPr>
        <w:t>存在两种普遍的决策偏差</w:t>
      </w:r>
      <w:r w:rsidR="000F6AEE">
        <w:rPr>
          <w:rFonts w:hint="eastAsia"/>
          <w:sz w:val="24"/>
          <w:szCs w:val="24"/>
        </w:rPr>
        <w:t>，一是</w:t>
      </w:r>
      <w:r w:rsidR="000F6AEE" w:rsidRPr="000F6AEE">
        <w:rPr>
          <w:rFonts w:hint="eastAsia"/>
          <w:sz w:val="24"/>
          <w:szCs w:val="24"/>
        </w:rPr>
        <w:t>代表性偏差</w:t>
      </w:r>
      <w:r w:rsidR="003A408E">
        <w:rPr>
          <w:rFonts w:hint="eastAsia"/>
          <w:sz w:val="24"/>
          <w:szCs w:val="24"/>
        </w:rPr>
        <w:t>(</w:t>
      </w:r>
      <w:r w:rsidR="003A408E" w:rsidRPr="003A408E">
        <w:rPr>
          <w:sz w:val="24"/>
          <w:szCs w:val="24"/>
        </w:rPr>
        <w:t>representative</w:t>
      </w:r>
      <w:r w:rsidR="003A408E">
        <w:rPr>
          <w:rFonts w:hint="eastAsia"/>
          <w:sz w:val="24"/>
          <w:szCs w:val="24"/>
        </w:rPr>
        <w:t xml:space="preserve"> </w:t>
      </w:r>
      <w:r w:rsidR="003A408E" w:rsidRPr="003A408E">
        <w:rPr>
          <w:sz w:val="24"/>
          <w:szCs w:val="24"/>
        </w:rPr>
        <w:t>bias</w:t>
      </w:r>
      <w:r w:rsidR="003A408E">
        <w:rPr>
          <w:rFonts w:hint="eastAsia"/>
          <w:sz w:val="24"/>
          <w:szCs w:val="24"/>
        </w:rPr>
        <w:t>)</w:t>
      </w:r>
      <w:r w:rsidR="000F6AEE">
        <w:rPr>
          <w:rFonts w:hint="eastAsia"/>
          <w:sz w:val="24"/>
          <w:szCs w:val="24"/>
        </w:rPr>
        <w:t>，投资者会</w:t>
      </w:r>
      <w:r w:rsidR="00215092">
        <w:rPr>
          <w:rFonts w:hint="eastAsia"/>
          <w:sz w:val="24"/>
          <w:szCs w:val="24"/>
        </w:rPr>
        <w:t>更</w:t>
      </w:r>
      <w:r w:rsidR="00215092" w:rsidRPr="00215092">
        <w:rPr>
          <w:rFonts w:hint="eastAsia"/>
          <w:sz w:val="24"/>
          <w:szCs w:val="24"/>
        </w:rPr>
        <w:t>关注近期数据的变化</w:t>
      </w:r>
      <w:r w:rsidR="00215092">
        <w:rPr>
          <w:rFonts w:hint="eastAsia"/>
          <w:sz w:val="24"/>
          <w:szCs w:val="24"/>
        </w:rPr>
        <w:t>，他们会</w:t>
      </w:r>
      <w:r w:rsidR="000F6AEE">
        <w:rPr>
          <w:rFonts w:hint="eastAsia"/>
          <w:sz w:val="24"/>
          <w:szCs w:val="24"/>
        </w:rPr>
        <w:t>有</w:t>
      </w:r>
      <w:r w:rsidR="00772DAE" w:rsidRPr="00772DAE">
        <w:rPr>
          <w:rFonts w:hint="eastAsia"/>
          <w:sz w:val="24"/>
          <w:szCs w:val="24"/>
        </w:rPr>
        <w:t>一种规律情结，喜欢根据市场的近期的运动态势总结出某种规律</w:t>
      </w:r>
      <w:r w:rsidR="007B0ACF">
        <w:rPr>
          <w:rFonts w:hint="eastAsia"/>
          <w:sz w:val="24"/>
          <w:szCs w:val="24"/>
        </w:rPr>
        <w:t>或者</w:t>
      </w:r>
      <w:r w:rsidR="00772DAE" w:rsidRPr="00772DAE">
        <w:rPr>
          <w:rFonts w:hint="eastAsia"/>
          <w:sz w:val="24"/>
          <w:szCs w:val="24"/>
        </w:rPr>
        <w:t>模式，当这种模式偶然出现时，投资者容易忽略偶然性，高估自己总结的模式的普遍性，并将其应用到未来的投资中去，从而导致过度反应</w:t>
      </w:r>
      <w:r w:rsidR="00235239">
        <w:rPr>
          <w:rFonts w:hint="eastAsia"/>
          <w:sz w:val="24"/>
          <w:szCs w:val="24"/>
        </w:rPr>
        <w:t>。</w:t>
      </w:r>
      <w:r w:rsidR="00235239" w:rsidRPr="00235239">
        <w:rPr>
          <w:rFonts w:hint="eastAsia"/>
          <w:sz w:val="24"/>
          <w:szCs w:val="24"/>
        </w:rPr>
        <w:t>比如前一个季度的盈利股票，在本季度</w:t>
      </w:r>
      <w:r w:rsidR="00235239" w:rsidRPr="00235239">
        <w:rPr>
          <w:rFonts w:hint="eastAsia"/>
          <w:sz w:val="24"/>
          <w:szCs w:val="24"/>
        </w:rPr>
        <w:lastRenderedPageBreak/>
        <w:t>继续保持盈利，股价不断上涨，投资者认为高盈利的规律能继续保持，从而继续买入该股票，导致股价被高估，股价表现出过度反应。当这种高盈利趋势不能保持时，股价就会表现出反转。</w:t>
      </w:r>
      <w:r w:rsidR="003A408E" w:rsidRPr="003A408E">
        <w:rPr>
          <w:rFonts w:hint="eastAsia"/>
          <w:sz w:val="24"/>
          <w:szCs w:val="24"/>
        </w:rPr>
        <w:t>另一种是保守性偏差（</w:t>
      </w:r>
      <w:r w:rsidR="003A408E" w:rsidRPr="003A408E">
        <w:rPr>
          <w:rFonts w:hint="eastAsia"/>
          <w:sz w:val="24"/>
          <w:szCs w:val="24"/>
        </w:rPr>
        <w:t>conservatism</w:t>
      </w:r>
      <w:r w:rsidR="003A408E" w:rsidRPr="003A408E">
        <w:rPr>
          <w:rFonts w:hint="eastAsia"/>
          <w:sz w:val="24"/>
          <w:szCs w:val="24"/>
        </w:rPr>
        <w:t>），即投资者未能根据变化了的情况及时修正自己的预测，保守性偏差会导致反应不足（</w:t>
      </w:r>
      <w:proofErr w:type="spellStart"/>
      <w:r w:rsidR="003A408E" w:rsidRPr="003A408E">
        <w:rPr>
          <w:rFonts w:hint="eastAsia"/>
          <w:sz w:val="24"/>
          <w:szCs w:val="24"/>
        </w:rPr>
        <w:t>underreaction</w:t>
      </w:r>
      <w:proofErr w:type="spellEnd"/>
      <w:r w:rsidR="003A408E" w:rsidRPr="003A408E">
        <w:rPr>
          <w:rFonts w:hint="eastAsia"/>
          <w:sz w:val="24"/>
          <w:szCs w:val="24"/>
        </w:rPr>
        <w:t>）。比如公司公布了意外的盈余信息，而投资者对新信息的反应速度较慢，新信息逐渐反应到股价中去，在市场上从而表现出动量现象。</w:t>
      </w:r>
      <w:proofErr w:type="spellStart"/>
      <w:r w:rsidR="00DD746B" w:rsidRPr="00DD746B">
        <w:rPr>
          <w:rFonts w:hint="eastAsia"/>
          <w:sz w:val="24"/>
          <w:szCs w:val="24"/>
        </w:rPr>
        <w:t>Deniel</w:t>
      </w:r>
      <w:proofErr w:type="spellEnd"/>
      <w:r w:rsidR="00DD746B" w:rsidRPr="00DD746B">
        <w:rPr>
          <w:rFonts w:hint="eastAsia"/>
          <w:sz w:val="24"/>
          <w:szCs w:val="24"/>
        </w:rPr>
        <w:t>，</w:t>
      </w:r>
      <w:proofErr w:type="spellStart"/>
      <w:r w:rsidR="00DD746B" w:rsidRPr="00DD746B">
        <w:rPr>
          <w:rFonts w:hint="eastAsia"/>
          <w:sz w:val="24"/>
          <w:szCs w:val="24"/>
        </w:rPr>
        <w:t>Hirshleifer</w:t>
      </w:r>
      <w:proofErr w:type="spellEnd"/>
      <w:r w:rsidR="00DD746B" w:rsidRPr="00DD746B">
        <w:rPr>
          <w:rFonts w:hint="eastAsia"/>
          <w:sz w:val="24"/>
          <w:szCs w:val="24"/>
        </w:rPr>
        <w:t>和</w:t>
      </w:r>
      <w:proofErr w:type="spellStart"/>
      <w:r w:rsidR="00DD746B" w:rsidRPr="00DD746B">
        <w:rPr>
          <w:rFonts w:hint="eastAsia"/>
          <w:sz w:val="24"/>
          <w:szCs w:val="24"/>
        </w:rPr>
        <w:t>Subrahmanyam</w:t>
      </w:r>
      <w:proofErr w:type="spellEnd"/>
      <w:r w:rsidR="00DD746B" w:rsidRPr="00DD746B">
        <w:rPr>
          <w:rFonts w:hint="eastAsia"/>
          <w:sz w:val="24"/>
          <w:szCs w:val="24"/>
        </w:rPr>
        <w:t>(1998)</w:t>
      </w:r>
      <w:r w:rsidR="00DD746B" w:rsidRPr="00DD746B">
        <w:rPr>
          <w:rFonts w:hint="eastAsia"/>
        </w:rPr>
        <w:t xml:space="preserve"> </w:t>
      </w:r>
      <w:r w:rsidR="00DD746B">
        <w:rPr>
          <w:rFonts w:hint="eastAsia"/>
        </w:rPr>
        <w:t>[22]</w:t>
      </w:r>
      <w:r w:rsidR="00DD746B" w:rsidRPr="00DD746B">
        <w:rPr>
          <w:rFonts w:hint="eastAsia"/>
          <w:sz w:val="24"/>
          <w:szCs w:val="24"/>
        </w:rPr>
        <w:t>提出</w:t>
      </w:r>
      <w:r w:rsidR="00DD746B">
        <w:rPr>
          <w:rFonts w:hint="eastAsia"/>
          <w:sz w:val="24"/>
          <w:szCs w:val="24"/>
        </w:rPr>
        <w:t>了</w:t>
      </w:r>
      <w:r w:rsidR="00DD746B" w:rsidRPr="00DD746B">
        <w:rPr>
          <w:rFonts w:hint="eastAsia"/>
          <w:sz w:val="24"/>
          <w:szCs w:val="24"/>
        </w:rPr>
        <w:t>DHS</w:t>
      </w:r>
      <w:r w:rsidR="00DD746B" w:rsidRPr="00DD746B">
        <w:rPr>
          <w:rFonts w:hint="eastAsia"/>
          <w:sz w:val="24"/>
          <w:szCs w:val="24"/>
        </w:rPr>
        <w:t>模型，该模型认为投资者在决策时存在两种偏差：一种是过度自信</w:t>
      </w:r>
      <w:r w:rsidR="00DD746B">
        <w:rPr>
          <w:rFonts w:hint="eastAsia"/>
          <w:sz w:val="24"/>
          <w:szCs w:val="24"/>
        </w:rPr>
        <w:t>,</w:t>
      </w:r>
      <w:r w:rsidR="00DD746B" w:rsidRPr="00DD746B">
        <w:rPr>
          <w:rFonts w:hint="eastAsia"/>
        </w:rPr>
        <w:t xml:space="preserve"> </w:t>
      </w:r>
      <w:r w:rsidR="00DD746B" w:rsidRPr="00DD746B">
        <w:rPr>
          <w:rFonts w:hint="eastAsia"/>
          <w:sz w:val="24"/>
          <w:szCs w:val="24"/>
        </w:rPr>
        <w:t>指投资者高估自己的能力，高估拥有的私有信息价值</w:t>
      </w:r>
      <w:r w:rsidR="00DD746B">
        <w:rPr>
          <w:rFonts w:hint="eastAsia"/>
          <w:sz w:val="24"/>
          <w:szCs w:val="24"/>
        </w:rPr>
        <w:t>；</w:t>
      </w:r>
      <w:r w:rsidR="00DD746B" w:rsidRPr="00DD746B">
        <w:rPr>
          <w:rFonts w:hint="eastAsia"/>
          <w:sz w:val="24"/>
          <w:szCs w:val="24"/>
        </w:rPr>
        <w:t>另一种是有偏的自我归因</w:t>
      </w:r>
      <w:r w:rsidR="00DD746B">
        <w:rPr>
          <w:rFonts w:hint="eastAsia"/>
          <w:sz w:val="24"/>
          <w:szCs w:val="24"/>
        </w:rPr>
        <w:t>，</w:t>
      </w:r>
      <w:r w:rsidR="00DD746B" w:rsidRPr="00DD746B">
        <w:rPr>
          <w:rFonts w:hint="eastAsia"/>
          <w:sz w:val="24"/>
          <w:szCs w:val="24"/>
        </w:rPr>
        <w:t>指如果公开信息证实了投资者的私有信息，将极大的增强投资者的自信心；但如果公开信息和投资者私有信息不一致，投资者信心会降低一定幅度，但降低的幅度与同等条件的信心增强的幅度要小，即投资者会下意识的抑制不利于评价自己能力的信息。在过度自信和有偏的自我归因共同作用下，股票价格在短期内存在动量，而长期则表现为反转。</w:t>
      </w:r>
    </w:p>
    <w:p w:rsidR="00F76E86" w:rsidRPr="00657440" w:rsidRDefault="007A7BB2" w:rsidP="00996D51">
      <w:pPr>
        <w:spacing w:line="400" w:lineRule="exact"/>
        <w:ind w:firstLineChars="177" w:firstLine="425"/>
        <w:rPr>
          <w:sz w:val="24"/>
          <w:szCs w:val="24"/>
        </w:rPr>
      </w:pPr>
      <w:r>
        <w:rPr>
          <w:sz w:val="24"/>
          <w:szCs w:val="24"/>
        </w:rPr>
        <w:t>通常情况下市场上有影响商品价格的信息出现时，知情交易者会在价格未完全反映该商</w:t>
      </w:r>
      <w:bookmarkStart w:id="0" w:name="_GoBack"/>
      <w:bookmarkEnd w:id="0"/>
      <w:r>
        <w:rPr>
          <w:sz w:val="24"/>
          <w:szCs w:val="24"/>
        </w:rPr>
        <w:t>品信息前进行交易，随着交易的逐渐传播、越来越多的非知情交易者成为了知情交易者，使得证券价格延续之前的走势，并逐渐反映价值，随着价格回归价值，知情交易者退出市场，知情交易概率达到最低水平，由于通常价格变动对于信息有过度反应现象，从而价格逐渐转变原有趋势而出现逆转。</w:t>
      </w:r>
    </w:p>
    <w:p w:rsidR="00F76E86" w:rsidRPr="00657440" w:rsidRDefault="00F76E86" w:rsidP="00657440">
      <w:pPr>
        <w:spacing w:line="400" w:lineRule="exact"/>
        <w:rPr>
          <w:sz w:val="24"/>
          <w:szCs w:val="24"/>
        </w:rPr>
      </w:pPr>
    </w:p>
    <w:p w:rsidR="00F76E86" w:rsidRPr="00657440" w:rsidRDefault="00F76E86" w:rsidP="00657440">
      <w:pPr>
        <w:spacing w:line="400" w:lineRule="exact"/>
        <w:rPr>
          <w:rFonts w:ascii="黑体" w:eastAsia="黑体" w:hAnsi="黑体"/>
          <w:sz w:val="24"/>
          <w:szCs w:val="24"/>
        </w:rPr>
      </w:pPr>
      <w:r w:rsidRPr="00657440">
        <w:rPr>
          <w:rFonts w:ascii="黑体" w:eastAsia="黑体" w:hAnsi="黑体" w:hint="eastAsia"/>
          <w:sz w:val="24"/>
          <w:szCs w:val="24"/>
        </w:rPr>
        <w:t>参考文献</w:t>
      </w:r>
    </w:p>
    <w:p w:rsidR="00BD7FF4"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参考文献内容</w:t>
      </w:r>
    </w:p>
    <w:p w:rsidR="00BD7FF4" w:rsidRDefault="00657440" w:rsidP="00657440">
      <w:pPr>
        <w:spacing w:line="400" w:lineRule="exact"/>
        <w:rPr>
          <w:rFonts w:ascii="黑体" w:eastAsia="黑体" w:hAnsi="黑体"/>
          <w:sz w:val="24"/>
          <w:szCs w:val="24"/>
        </w:rPr>
      </w:pPr>
      <w:r w:rsidRPr="00657440">
        <w:rPr>
          <w:rFonts w:ascii="黑体" w:eastAsia="黑体" w:hAnsi="黑体" w:hint="eastAsia"/>
          <w:sz w:val="24"/>
          <w:szCs w:val="24"/>
        </w:rPr>
        <w:t>致谢</w:t>
      </w:r>
    </w:p>
    <w:p w:rsidR="00657440"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ab/>
        <w:t>致谢词</w:t>
      </w:r>
    </w:p>
    <w:p w:rsidR="00657440" w:rsidRDefault="00657440" w:rsidP="00657440">
      <w:pPr>
        <w:spacing w:line="400" w:lineRule="exact"/>
        <w:rPr>
          <w:rFonts w:ascii="黑体" w:eastAsia="黑体" w:hAnsi="黑体"/>
          <w:sz w:val="24"/>
          <w:szCs w:val="24"/>
        </w:rPr>
      </w:pPr>
    </w:p>
    <w:p w:rsidR="00657440" w:rsidRDefault="00657440" w:rsidP="00657440">
      <w:pPr>
        <w:spacing w:line="400" w:lineRule="exact"/>
        <w:rPr>
          <w:rFonts w:ascii="黑体" w:eastAsia="黑体" w:hAnsi="黑体"/>
          <w:sz w:val="24"/>
          <w:szCs w:val="24"/>
        </w:rPr>
      </w:pPr>
      <w:r>
        <w:rPr>
          <w:rFonts w:ascii="黑体" w:eastAsia="黑体" w:hAnsi="黑体" w:hint="eastAsia"/>
          <w:sz w:val="24"/>
          <w:szCs w:val="24"/>
        </w:rPr>
        <w:t>附录</w:t>
      </w:r>
    </w:p>
    <w:p w:rsidR="00657440" w:rsidRPr="00657440" w:rsidRDefault="00657440" w:rsidP="00657440">
      <w:pPr>
        <w:snapToGrid w:val="0"/>
        <w:spacing w:line="360" w:lineRule="auto"/>
        <w:ind w:firstLineChars="500" w:firstLine="1200"/>
        <w:rPr>
          <w:rFonts w:ascii="黑体" w:eastAsia="黑体" w:hAnsi="黑体"/>
          <w:sz w:val="24"/>
          <w:szCs w:val="24"/>
        </w:rPr>
      </w:pPr>
      <w:r>
        <w:rPr>
          <w:rFonts w:ascii="黑体" w:eastAsia="黑体" w:hAnsi="黑体" w:hint="eastAsia"/>
          <w:sz w:val="24"/>
          <w:szCs w:val="24"/>
        </w:rPr>
        <w:t>附录内容</w:t>
      </w:r>
    </w:p>
    <w:p w:rsidR="0088299F" w:rsidRPr="00657440" w:rsidRDefault="0088299F" w:rsidP="00657440">
      <w:pPr>
        <w:snapToGrid w:val="0"/>
        <w:rPr>
          <w:rFonts w:ascii="仿宋_GB2312" w:eastAsia="仿宋_GB2312"/>
          <w:color w:val="000000"/>
        </w:rPr>
      </w:pPr>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18"/>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C2F" w:rsidRDefault="00F06C2F" w:rsidP="00045F8F">
      <w:r>
        <w:separator/>
      </w:r>
    </w:p>
  </w:endnote>
  <w:endnote w:type="continuationSeparator" w:id="0">
    <w:p w:rsidR="00F06C2F" w:rsidRDefault="00F06C2F"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Content>
      <w:p w:rsidR="00901E68" w:rsidRDefault="00901E68">
        <w:pPr>
          <w:pStyle w:val="a4"/>
          <w:jc w:val="right"/>
        </w:pPr>
      </w:p>
    </w:sdtContent>
  </w:sdt>
  <w:p w:rsidR="00901E68" w:rsidRDefault="00901E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68" w:rsidRDefault="00901E68">
    <w:pPr>
      <w:pStyle w:val="a4"/>
      <w:jc w:val="right"/>
    </w:pPr>
    <w:r>
      <w:fldChar w:fldCharType="begin"/>
    </w:r>
    <w:r>
      <w:instrText xml:space="preserve"> PAGE   \* MERGEFORMAT </w:instrText>
    </w:r>
    <w:r>
      <w:fldChar w:fldCharType="separate"/>
    </w:r>
    <w:r w:rsidR="007A7BB2" w:rsidRPr="007A7BB2">
      <w:rPr>
        <w:noProof/>
        <w:lang w:val="zh-CN"/>
      </w:rPr>
      <w:t>17</w:t>
    </w:r>
    <w:r>
      <w:rPr>
        <w:noProof/>
        <w:lang w:val="zh-CN"/>
      </w:rPr>
      <w:fldChar w:fldCharType="end"/>
    </w:r>
  </w:p>
  <w:p w:rsidR="00901E68" w:rsidRDefault="00901E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C2F" w:rsidRDefault="00F06C2F" w:rsidP="00045F8F">
      <w:r>
        <w:separator/>
      </w:r>
    </w:p>
  </w:footnote>
  <w:footnote w:type="continuationSeparator" w:id="0">
    <w:p w:rsidR="00F06C2F" w:rsidRDefault="00F06C2F"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68" w:rsidRDefault="00901E68"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68" w:rsidRPr="00E736C1" w:rsidRDefault="00901E68"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A0F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9A350F4"/>
    <w:multiLevelType w:val="multilevel"/>
    <w:tmpl w:val="04090029"/>
    <w:lvl w:ilvl="0">
      <w:start w:val="1"/>
      <w:numFmt w:val="chineseCountingThousand"/>
      <w:pStyle w:val="1"/>
      <w:suff w:val="nothing"/>
      <w:lvlText w:val="第%1章"/>
      <w:lvlJc w:val="left"/>
      <w:pPr>
        <w:ind w:left="4537" w:firstLine="0"/>
      </w:pPr>
    </w:lvl>
    <w:lvl w:ilvl="1">
      <w:start w:val="1"/>
      <w:numFmt w:val="none"/>
      <w:pStyle w:val="2"/>
      <w:suff w:val="nothing"/>
      <w:lvlText w:val=""/>
      <w:lvlJc w:val="left"/>
      <w:pPr>
        <w:ind w:left="3827" w:firstLine="0"/>
      </w:pPr>
    </w:lvl>
    <w:lvl w:ilvl="2">
      <w:start w:val="1"/>
      <w:numFmt w:val="none"/>
      <w:pStyle w:val="3"/>
      <w:suff w:val="nothing"/>
      <w:lvlText w:val=""/>
      <w:lvlJc w:val="left"/>
      <w:pPr>
        <w:ind w:left="3827" w:firstLine="0"/>
      </w:pPr>
    </w:lvl>
    <w:lvl w:ilvl="3">
      <w:start w:val="1"/>
      <w:numFmt w:val="none"/>
      <w:pStyle w:val="4"/>
      <w:suff w:val="nothing"/>
      <w:lvlText w:val=""/>
      <w:lvlJc w:val="left"/>
      <w:pPr>
        <w:ind w:left="3827" w:firstLine="0"/>
      </w:pPr>
    </w:lvl>
    <w:lvl w:ilvl="4">
      <w:start w:val="1"/>
      <w:numFmt w:val="none"/>
      <w:pStyle w:val="5"/>
      <w:suff w:val="nothing"/>
      <w:lvlText w:val=""/>
      <w:lvlJc w:val="left"/>
      <w:pPr>
        <w:ind w:left="3827" w:firstLine="0"/>
      </w:pPr>
    </w:lvl>
    <w:lvl w:ilvl="5">
      <w:start w:val="1"/>
      <w:numFmt w:val="none"/>
      <w:pStyle w:val="6"/>
      <w:suff w:val="nothing"/>
      <w:lvlText w:val=""/>
      <w:lvlJc w:val="left"/>
      <w:pPr>
        <w:ind w:left="3827" w:firstLine="0"/>
      </w:pPr>
    </w:lvl>
    <w:lvl w:ilvl="6">
      <w:start w:val="1"/>
      <w:numFmt w:val="none"/>
      <w:pStyle w:val="7"/>
      <w:suff w:val="nothing"/>
      <w:lvlText w:val=""/>
      <w:lvlJc w:val="left"/>
      <w:pPr>
        <w:ind w:left="3827" w:firstLine="0"/>
      </w:pPr>
    </w:lvl>
    <w:lvl w:ilvl="7">
      <w:start w:val="1"/>
      <w:numFmt w:val="none"/>
      <w:pStyle w:val="8"/>
      <w:suff w:val="nothing"/>
      <w:lvlText w:val=""/>
      <w:lvlJc w:val="left"/>
      <w:pPr>
        <w:ind w:left="3827" w:firstLine="0"/>
      </w:pPr>
    </w:lvl>
    <w:lvl w:ilvl="8">
      <w:start w:val="1"/>
      <w:numFmt w:val="none"/>
      <w:pStyle w:val="9"/>
      <w:suff w:val="nothing"/>
      <w:lvlText w:val=""/>
      <w:lvlJc w:val="left"/>
      <w:pPr>
        <w:ind w:left="3827" w:firstLine="0"/>
      </w:pPr>
    </w:lvl>
  </w:abstractNum>
  <w:abstractNum w:abstractNumId="2">
    <w:nsid w:val="44BF0A96"/>
    <w:multiLevelType w:val="hybridMultilevel"/>
    <w:tmpl w:val="BC58F24C"/>
    <w:lvl w:ilvl="0" w:tplc="6CBCFAA8">
      <w:start w:val="1"/>
      <w:numFmt w:val="low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1"/>
  </w:num>
  <w:num w:numId="15">
    <w:abstractNumId w:val="1"/>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122C6"/>
    <w:rsid w:val="00012417"/>
    <w:rsid w:val="00016CFF"/>
    <w:rsid w:val="00037D6F"/>
    <w:rsid w:val="000458F0"/>
    <w:rsid w:val="00045F8F"/>
    <w:rsid w:val="0005185E"/>
    <w:rsid w:val="00063264"/>
    <w:rsid w:val="00074783"/>
    <w:rsid w:val="00081206"/>
    <w:rsid w:val="0009115C"/>
    <w:rsid w:val="000A7CB5"/>
    <w:rsid w:val="000B34A3"/>
    <w:rsid w:val="000D52D9"/>
    <w:rsid w:val="000E33F9"/>
    <w:rsid w:val="000E4384"/>
    <w:rsid w:val="000F5E2C"/>
    <w:rsid w:val="000F6AEE"/>
    <w:rsid w:val="00103890"/>
    <w:rsid w:val="00105254"/>
    <w:rsid w:val="00117620"/>
    <w:rsid w:val="0012104E"/>
    <w:rsid w:val="0012598E"/>
    <w:rsid w:val="00134DB0"/>
    <w:rsid w:val="0016545B"/>
    <w:rsid w:val="001669A0"/>
    <w:rsid w:val="00175E17"/>
    <w:rsid w:val="001C7323"/>
    <w:rsid w:val="001D4BE7"/>
    <w:rsid w:val="001E2B36"/>
    <w:rsid w:val="001E7F28"/>
    <w:rsid w:val="001F611F"/>
    <w:rsid w:val="00201852"/>
    <w:rsid w:val="00203C56"/>
    <w:rsid w:val="0021076A"/>
    <w:rsid w:val="002107B1"/>
    <w:rsid w:val="002124E7"/>
    <w:rsid w:val="00215092"/>
    <w:rsid w:val="00235239"/>
    <w:rsid w:val="002429CE"/>
    <w:rsid w:val="00253FE4"/>
    <w:rsid w:val="00276B71"/>
    <w:rsid w:val="00292C7D"/>
    <w:rsid w:val="002B532A"/>
    <w:rsid w:val="002D1197"/>
    <w:rsid w:val="002D5689"/>
    <w:rsid w:val="002D70B4"/>
    <w:rsid w:val="0031256D"/>
    <w:rsid w:val="00353035"/>
    <w:rsid w:val="00355BC4"/>
    <w:rsid w:val="003638C9"/>
    <w:rsid w:val="00363EA5"/>
    <w:rsid w:val="003705D3"/>
    <w:rsid w:val="00394187"/>
    <w:rsid w:val="003A408E"/>
    <w:rsid w:val="003B6D46"/>
    <w:rsid w:val="003B70FD"/>
    <w:rsid w:val="003D016E"/>
    <w:rsid w:val="00401BA6"/>
    <w:rsid w:val="00403198"/>
    <w:rsid w:val="00403B35"/>
    <w:rsid w:val="00425141"/>
    <w:rsid w:val="004413B9"/>
    <w:rsid w:val="004568F3"/>
    <w:rsid w:val="004701A6"/>
    <w:rsid w:val="004753F0"/>
    <w:rsid w:val="00487DCD"/>
    <w:rsid w:val="0049074D"/>
    <w:rsid w:val="004D5682"/>
    <w:rsid w:val="004E0F3A"/>
    <w:rsid w:val="004E19AB"/>
    <w:rsid w:val="00501FFA"/>
    <w:rsid w:val="00502A0F"/>
    <w:rsid w:val="0050658A"/>
    <w:rsid w:val="005136BE"/>
    <w:rsid w:val="00536832"/>
    <w:rsid w:val="00537B37"/>
    <w:rsid w:val="00543F46"/>
    <w:rsid w:val="005455B2"/>
    <w:rsid w:val="00560C7D"/>
    <w:rsid w:val="005764BD"/>
    <w:rsid w:val="005800EB"/>
    <w:rsid w:val="00581A00"/>
    <w:rsid w:val="0059130D"/>
    <w:rsid w:val="0059494F"/>
    <w:rsid w:val="005B383F"/>
    <w:rsid w:val="005D3FA1"/>
    <w:rsid w:val="005E25A5"/>
    <w:rsid w:val="005E643A"/>
    <w:rsid w:val="005F36B8"/>
    <w:rsid w:val="005F6A85"/>
    <w:rsid w:val="00604732"/>
    <w:rsid w:val="00606661"/>
    <w:rsid w:val="00610000"/>
    <w:rsid w:val="006127FE"/>
    <w:rsid w:val="006244B2"/>
    <w:rsid w:val="006315F7"/>
    <w:rsid w:val="0063413A"/>
    <w:rsid w:val="00636C7F"/>
    <w:rsid w:val="006559C1"/>
    <w:rsid w:val="00656836"/>
    <w:rsid w:val="00657440"/>
    <w:rsid w:val="00664D1C"/>
    <w:rsid w:val="00665AF3"/>
    <w:rsid w:val="006728AF"/>
    <w:rsid w:val="006902B7"/>
    <w:rsid w:val="006B4E46"/>
    <w:rsid w:val="006B7437"/>
    <w:rsid w:val="006C479F"/>
    <w:rsid w:val="006D79D9"/>
    <w:rsid w:val="006E2042"/>
    <w:rsid w:val="006E3D3A"/>
    <w:rsid w:val="006E5D03"/>
    <w:rsid w:val="006F493A"/>
    <w:rsid w:val="007077F6"/>
    <w:rsid w:val="00711F96"/>
    <w:rsid w:val="0074150A"/>
    <w:rsid w:val="00744B21"/>
    <w:rsid w:val="007552D5"/>
    <w:rsid w:val="00755FD2"/>
    <w:rsid w:val="00757619"/>
    <w:rsid w:val="0077114C"/>
    <w:rsid w:val="00772DAE"/>
    <w:rsid w:val="0077452F"/>
    <w:rsid w:val="00790E82"/>
    <w:rsid w:val="007955B7"/>
    <w:rsid w:val="007A7BB2"/>
    <w:rsid w:val="007B0ACF"/>
    <w:rsid w:val="007B3AD6"/>
    <w:rsid w:val="007C554C"/>
    <w:rsid w:val="007C7013"/>
    <w:rsid w:val="007D212F"/>
    <w:rsid w:val="007D3316"/>
    <w:rsid w:val="007D4F26"/>
    <w:rsid w:val="007E76CC"/>
    <w:rsid w:val="007F5DFF"/>
    <w:rsid w:val="00801BA2"/>
    <w:rsid w:val="00805FE5"/>
    <w:rsid w:val="00806C3C"/>
    <w:rsid w:val="008111CC"/>
    <w:rsid w:val="00815A22"/>
    <w:rsid w:val="008464FC"/>
    <w:rsid w:val="00846C29"/>
    <w:rsid w:val="00852475"/>
    <w:rsid w:val="008533DE"/>
    <w:rsid w:val="008570ED"/>
    <w:rsid w:val="008726AA"/>
    <w:rsid w:val="0088299F"/>
    <w:rsid w:val="00882D2A"/>
    <w:rsid w:val="0088479B"/>
    <w:rsid w:val="00890C46"/>
    <w:rsid w:val="008A1491"/>
    <w:rsid w:val="008A2268"/>
    <w:rsid w:val="008A59AC"/>
    <w:rsid w:val="008B0A40"/>
    <w:rsid w:val="008C2957"/>
    <w:rsid w:val="008D16D1"/>
    <w:rsid w:val="008D588F"/>
    <w:rsid w:val="008D7B97"/>
    <w:rsid w:val="008E754F"/>
    <w:rsid w:val="00901E68"/>
    <w:rsid w:val="00912EA5"/>
    <w:rsid w:val="00913108"/>
    <w:rsid w:val="00927FF0"/>
    <w:rsid w:val="009417A2"/>
    <w:rsid w:val="009447C8"/>
    <w:rsid w:val="00944878"/>
    <w:rsid w:val="00996D51"/>
    <w:rsid w:val="009A1002"/>
    <w:rsid w:val="009A75F5"/>
    <w:rsid w:val="009D1DB3"/>
    <w:rsid w:val="009D569E"/>
    <w:rsid w:val="009F5B8F"/>
    <w:rsid w:val="00A33B6A"/>
    <w:rsid w:val="00A37364"/>
    <w:rsid w:val="00A5454E"/>
    <w:rsid w:val="00A74366"/>
    <w:rsid w:val="00A74A87"/>
    <w:rsid w:val="00A80AE4"/>
    <w:rsid w:val="00A80FC3"/>
    <w:rsid w:val="00A8679F"/>
    <w:rsid w:val="00A94599"/>
    <w:rsid w:val="00AA214D"/>
    <w:rsid w:val="00AB0056"/>
    <w:rsid w:val="00AB45F6"/>
    <w:rsid w:val="00AC320A"/>
    <w:rsid w:val="00AC475B"/>
    <w:rsid w:val="00AD2B12"/>
    <w:rsid w:val="00AE17E9"/>
    <w:rsid w:val="00AF6D32"/>
    <w:rsid w:val="00AF782D"/>
    <w:rsid w:val="00B15BD8"/>
    <w:rsid w:val="00B16BB6"/>
    <w:rsid w:val="00B43DB5"/>
    <w:rsid w:val="00B44FBE"/>
    <w:rsid w:val="00B766AB"/>
    <w:rsid w:val="00B773D6"/>
    <w:rsid w:val="00B77E72"/>
    <w:rsid w:val="00B920FC"/>
    <w:rsid w:val="00BA0652"/>
    <w:rsid w:val="00BA1C65"/>
    <w:rsid w:val="00BA664C"/>
    <w:rsid w:val="00BD48C2"/>
    <w:rsid w:val="00BD7FF4"/>
    <w:rsid w:val="00C01939"/>
    <w:rsid w:val="00C072BA"/>
    <w:rsid w:val="00C271C3"/>
    <w:rsid w:val="00C509DC"/>
    <w:rsid w:val="00C5135D"/>
    <w:rsid w:val="00C708EC"/>
    <w:rsid w:val="00C839AA"/>
    <w:rsid w:val="00C940DE"/>
    <w:rsid w:val="00CA3423"/>
    <w:rsid w:val="00CA7C7A"/>
    <w:rsid w:val="00CC0C3F"/>
    <w:rsid w:val="00CC2939"/>
    <w:rsid w:val="00CF113D"/>
    <w:rsid w:val="00CF2B2C"/>
    <w:rsid w:val="00D15959"/>
    <w:rsid w:val="00D32C72"/>
    <w:rsid w:val="00D4564E"/>
    <w:rsid w:val="00D62EFF"/>
    <w:rsid w:val="00D8151B"/>
    <w:rsid w:val="00D9437E"/>
    <w:rsid w:val="00D94AB3"/>
    <w:rsid w:val="00DA1575"/>
    <w:rsid w:val="00DD39BC"/>
    <w:rsid w:val="00DD746B"/>
    <w:rsid w:val="00DF7010"/>
    <w:rsid w:val="00DF7B8D"/>
    <w:rsid w:val="00E01554"/>
    <w:rsid w:val="00E03BBD"/>
    <w:rsid w:val="00E2637F"/>
    <w:rsid w:val="00E605AB"/>
    <w:rsid w:val="00E62560"/>
    <w:rsid w:val="00E736C1"/>
    <w:rsid w:val="00E82692"/>
    <w:rsid w:val="00E829D6"/>
    <w:rsid w:val="00EB38A5"/>
    <w:rsid w:val="00ED0854"/>
    <w:rsid w:val="00ED240C"/>
    <w:rsid w:val="00EE1848"/>
    <w:rsid w:val="00EE3153"/>
    <w:rsid w:val="00EF3278"/>
    <w:rsid w:val="00F06C2F"/>
    <w:rsid w:val="00F252C5"/>
    <w:rsid w:val="00F37C6B"/>
    <w:rsid w:val="00F44304"/>
    <w:rsid w:val="00F45F8D"/>
    <w:rsid w:val="00F54B8B"/>
    <w:rsid w:val="00F567C8"/>
    <w:rsid w:val="00F6525D"/>
    <w:rsid w:val="00F65EA8"/>
    <w:rsid w:val="00F76E86"/>
    <w:rsid w:val="00F95D73"/>
    <w:rsid w:val="00FB717E"/>
    <w:rsid w:val="00FC5024"/>
    <w:rsid w:val="00FF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F0"/>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semiHidden/>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 w:type="character" w:styleId="a8">
    <w:name w:val="Strong"/>
    <w:basedOn w:val="a0"/>
    <w:uiPriority w:val="22"/>
    <w:qFormat/>
    <w:rsid w:val="000D52D9"/>
    <w:rPr>
      <w:b/>
      <w:bCs/>
    </w:rPr>
  </w:style>
  <w:style w:type="paragraph" w:styleId="a9">
    <w:name w:val="List Paragraph"/>
    <w:basedOn w:val="a"/>
    <w:uiPriority w:val="34"/>
    <w:qFormat/>
    <w:rsid w:val="005949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2687">
      <w:bodyDiv w:val="1"/>
      <w:marLeft w:val="0"/>
      <w:marRight w:val="0"/>
      <w:marTop w:val="0"/>
      <w:marBottom w:val="0"/>
      <w:divBdr>
        <w:top w:val="none" w:sz="0" w:space="0" w:color="auto"/>
        <w:left w:val="none" w:sz="0" w:space="0" w:color="auto"/>
        <w:bottom w:val="none" w:sz="0" w:space="0" w:color="auto"/>
        <w:right w:val="none" w:sz="0" w:space="0" w:color="auto"/>
      </w:divBdr>
    </w:div>
    <w:div w:id="41441090">
      <w:bodyDiv w:val="1"/>
      <w:marLeft w:val="0"/>
      <w:marRight w:val="0"/>
      <w:marTop w:val="0"/>
      <w:marBottom w:val="0"/>
      <w:divBdr>
        <w:top w:val="none" w:sz="0" w:space="0" w:color="auto"/>
        <w:left w:val="none" w:sz="0" w:space="0" w:color="auto"/>
        <w:bottom w:val="none" w:sz="0" w:space="0" w:color="auto"/>
        <w:right w:val="none" w:sz="0" w:space="0" w:color="auto"/>
      </w:divBdr>
    </w:div>
    <w:div w:id="101802974">
      <w:bodyDiv w:val="1"/>
      <w:marLeft w:val="0"/>
      <w:marRight w:val="0"/>
      <w:marTop w:val="0"/>
      <w:marBottom w:val="0"/>
      <w:divBdr>
        <w:top w:val="none" w:sz="0" w:space="0" w:color="auto"/>
        <w:left w:val="none" w:sz="0" w:space="0" w:color="auto"/>
        <w:bottom w:val="none" w:sz="0" w:space="0" w:color="auto"/>
        <w:right w:val="none" w:sz="0" w:space="0" w:color="auto"/>
      </w:divBdr>
    </w:div>
    <w:div w:id="229266624">
      <w:bodyDiv w:val="1"/>
      <w:marLeft w:val="0"/>
      <w:marRight w:val="0"/>
      <w:marTop w:val="0"/>
      <w:marBottom w:val="0"/>
      <w:divBdr>
        <w:top w:val="none" w:sz="0" w:space="0" w:color="auto"/>
        <w:left w:val="none" w:sz="0" w:space="0" w:color="auto"/>
        <w:bottom w:val="none" w:sz="0" w:space="0" w:color="auto"/>
        <w:right w:val="none" w:sz="0" w:space="0" w:color="auto"/>
      </w:divBdr>
    </w:div>
    <w:div w:id="318969240">
      <w:bodyDiv w:val="1"/>
      <w:marLeft w:val="0"/>
      <w:marRight w:val="0"/>
      <w:marTop w:val="0"/>
      <w:marBottom w:val="0"/>
      <w:divBdr>
        <w:top w:val="none" w:sz="0" w:space="0" w:color="auto"/>
        <w:left w:val="none" w:sz="0" w:space="0" w:color="auto"/>
        <w:bottom w:val="none" w:sz="0" w:space="0" w:color="auto"/>
        <w:right w:val="none" w:sz="0" w:space="0" w:color="auto"/>
      </w:divBdr>
    </w:div>
    <w:div w:id="335959267">
      <w:bodyDiv w:val="1"/>
      <w:marLeft w:val="0"/>
      <w:marRight w:val="0"/>
      <w:marTop w:val="0"/>
      <w:marBottom w:val="0"/>
      <w:divBdr>
        <w:top w:val="none" w:sz="0" w:space="0" w:color="auto"/>
        <w:left w:val="none" w:sz="0" w:space="0" w:color="auto"/>
        <w:bottom w:val="none" w:sz="0" w:space="0" w:color="auto"/>
        <w:right w:val="none" w:sz="0" w:space="0" w:color="auto"/>
      </w:divBdr>
    </w:div>
    <w:div w:id="564796546">
      <w:bodyDiv w:val="1"/>
      <w:marLeft w:val="0"/>
      <w:marRight w:val="0"/>
      <w:marTop w:val="0"/>
      <w:marBottom w:val="0"/>
      <w:divBdr>
        <w:top w:val="none" w:sz="0" w:space="0" w:color="auto"/>
        <w:left w:val="none" w:sz="0" w:space="0" w:color="auto"/>
        <w:bottom w:val="none" w:sz="0" w:space="0" w:color="auto"/>
        <w:right w:val="none" w:sz="0" w:space="0" w:color="auto"/>
      </w:divBdr>
    </w:div>
    <w:div w:id="715279787">
      <w:bodyDiv w:val="1"/>
      <w:marLeft w:val="0"/>
      <w:marRight w:val="0"/>
      <w:marTop w:val="0"/>
      <w:marBottom w:val="0"/>
      <w:divBdr>
        <w:top w:val="none" w:sz="0" w:space="0" w:color="auto"/>
        <w:left w:val="none" w:sz="0" w:space="0" w:color="auto"/>
        <w:bottom w:val="none" w:sz="0" w:space="0" w:color="auto"/>
        <w:right w:val="none" w:sz="0" w:space="0" w:color="auto"/>
      </w:divBdr>
    </w:div>
    <w:div w:id="1116565570">
      <w:bodyDiv w:val="1"/>
      <w:marLeft w:val="0"/>
      <w:marRight w:val="0"/>
      <w:marTop w:val="0"/>
      <w:marBottom w:val="0"/>
      <w:divBdr>
        <w:top w:val="none" w:sz="0" w:space="0" w:color="auto"/>
        <w:left w:val="none" w:sz="0" w:space="0" w:color="auto"/>
        <w:bottom w:val="none" w:sz="0" w:space="0" w:color="auto"/>
        <w:right w:val="none" w:sz="0" w:space="0" w:color="auto"/>
      </w:divBdr>
    </w:div>
    <w:div w:id="1523936464">
      <w:bodyDiv w:val="1"/>
      <w:marLeft w:val="0"/>
      <w:marRight w:val="0"/>
      <w:marTop w:val="0"/>
      <w:marBottom w:val="0"/>
      <w:divBdr>
        <w:top w:val="none" w:sz="0" w:space="0" w:color="auto"/>
        <w:left w:val="none" w:sz="0" w:space="0" w:color="auto"/>
        <w:bottom w:val="none" w:sz="0" w:space="0" w:color="auto"/>
        <w:right w:val="none" w:sz="0" w:space="0" w:color="auto"/>
      </w:divBdr>
    </w:div>
    <w:div w:id="1524128779">
      <w:bodyDiv w:val="1"/>
      <w:marLeft w:val="0"/>
      <w:marRight w:val="0"/>
      <w:marTop w:val="0"/>
      <w:marBottom w:val="0"/>
      <w:divBdr>
        <w:top w:val="none" w:sz="0" w:space="0" w:color="auto"/>
        <w:left w:val="none" w:sz="0" w:space="0" w:color="auto"/>
        <w:bottom w:val="none" w:sz="0" w:space="0" w:color="auto"/>
        <w:right w:val="none" w:sz="0" w:space="0" w:color="auto"/>
      </w:divBdr>
    </w:div>
    <w:div w:id="1555311206">
      <w:bodyDiv w:val="1"/>
      <w:marLeft w:val="0"/>
      <w:marRight w:val="0"/>
      <w:marTop w:val="0"/>
      <w:marBottom w:val="0"/>
      <w:divBdr>
        <w:top w:val="none" w:sz="0" w:space="0" w:color="auto"/>
        <w:left w:val="none" w:sz="0" w:space="0" w:color="auto"/>
        <w:bottom w:val="none" w:sz="0" w:space="0" w:color="auto"/>
        <w:right w:val="none" w:sz="0" w:space="0" w:color="auto"/>
      </w:divBdr>
    </w:div>
    <w:div w:id="1616019276">
      <w:bodyDiv w:val="1"/>
      <w:marLeft w:val="0"/>
      <w:marRight w:val="0"/>
      <w:marTop w:val="0"/>
      <w:marBottom w:val="0"/>
      <w:divBdr>
        <w:top w:val="none" w:sz="0" w:space="0" w:color="auto"/>
        <w:left w:val="none" w:sz="0" w:space="0" w:color="auto"/>
        <w:bottom w:val="none" w:sz="0" w:space="0" w:color="auto"/>
        <w:right w:val="none" w:sz="0" w:space="0" w:color="auto"/>
      </w:divBdr>
    </w:div>
    <w:div w:id="1666084077">
      <w:bodyDiv w:val="1"/>
      <w:marLeft w:val="0"/>
      <w:marRight w:val="0"/>
      <w:marTop w:val="0"/>
      <w:marBottom w:val="0"/>
      <w:divBdr>
        <w:top w:val="none" w:sz="0" w:space="0" w:color="auto"/>
        <w:left w:val="none" w:sz="0" w:space="0" w:color="auto"/>
        <w:bottom w:val="none" w:sz="0" w:space="0" w:color="auto"/>
        <w:right w:val="none" w:sz="0" w:space="0" w:color="auto"/>
      </w:divBdr>
    </w:div>
    <w:div w:id="1692032617">
      <w:bodyDiv w:val="1"/>
      <w:marLeft w:val="0"/>
      <w:marRight w:val="0"/>
      <w:marTop w:val="0"/>
      <w:marBottom w:val="0"/>
      <w:divBdr>
        <w:top w:val="none" w:sz="0" w:space="0" w:color="auto"/>
        <w:left w:val="none" w:sz="0" w:space="0" w:color="auto"/>
        <w:bottom w:val="none" w:sz="0" w:space="0" w:color="auto"/>
        <w:right w:val="none" w:sz="0" w:space="0" w:color="auto"/>
      </w:divBdr>
    </w:div>
    <w:div w:id="1892843349">
      <w:bodyDiv w:val="1"/>
      <w:marLeft w:val="0"/>
      <w:marRight w:val="0"/>
      <w:marTop w:val="0"/>
      <w:marBottom w:val="0"/>
      <w:divBdr>
        <w:top w:val="none" w:sz="0" w:space="0" w:color="auto"/>
        <w:left w:val="none" w:sz="0" w:space="0" w:color="auto"/>
        <w:bottom w:val="none" w:sz="0" w:space="0" w:color="auto"/>
        <w:right w:val="none" w:sz="0" w:space="0" w:color="auto"/>
      </w:divBdr>
    </w:div>
    <w:div w:id="20172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165085.ht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5A074-09B4-402A-9E1F-FE9E8EEE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18</Pages>
  <Words>1892</Words>
  <Characters>10785</Characters>
  <Application>Microsoft Office Word</Application>
  <DocSecurity>0</DocSecurity>
  <Lines>89</Lines>
  <Paragraphs>25</Paragraphs>
  <ScaleCrop>false</ScaleCrop>
  <Company>Microsoft</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269</cp:revision>
  <dcterms:created xsi:type="dcterms:W3CDTF">2016-12-11T13:42:00Z</dcterms:created>
  <dcterms:modified xsi:type="dcterms:W3CDTF">2017-01-30T16:35:00Z</dcterms:modified>
</cp:coreProperties>
</file>