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F8" w:rsidRPr="00E165F8" w:rsidRDefault="00E165F8" w:rsidP="00E165F8">
      <w:pPr>
        <w:pStyle w:val="Title"/>
        <w:jc w:val="center"/>
        <w:rPr>
          <w:rStyle w:val="SubtleReference"/>
          <w:bCs w:val="0"/>
          <w:color w:val="auto"/>
          <w:sz w:val="38"/>
          <w:szCs w:val="66"/>
        </w:rPr>
      </w:pPr>
      <w:r w:rsidRPr="00E165F8">
        <w:rPr>
          <w:rStyle w:val="SubtleReference"/>
          <w:bCs w:val="0"/>
          <w:color w:val="auto"/>
          <w:sz w:val="34"/>
          <w:szCs w:val="66"/>
        </w:rPr>
        <w:t>Data Analytics on New York City Current Job Posting data</w:t>
      </w:r>
    </w:p>
    <w:p w:rsidR="00D737B5" w:rsidRPr="00A72153" w:rsidRDefault="00D737B5" w:rsidP="005544D1">
      <w:pPr>
        <w:pStyle w:val="Heading1"/>
        <w:numPr>
          <w:ilvl w:val="0"/>
          <w:numId w:val="4"/>
        </w:numPr>
        <w:rPr>
          <w:b/>
          <w:bCs/>
          <w:color w:val="auto"/>
        </w:rPr>
      </w:pPr>
      <w:r w:rsidRPr="00A72153">
        <w:rPr>
          <w:b/>
          <w:bCs/>
          <w:color w:val="auto"/>
        </w:rPr>
        <w:t>Business Problem Understanding</w:t>
      </w:r>
    </w:p>
    <w:p w:rsidR="00D737B5" w:rsidRPr="00D737B5" w:rsidRDefault="00D737B5" w:rsidP="00A72153">
      <w:pPr>
        <w:pStyle w:val="ListParagraph"/>
        <w:rPr>
          <w:sz w:val="22"/>
          <w:szCs w:val="22"/>
        </w:rPr>
      </w:pPr>
      <w:r w:rsidRPr="00D737B5">
        <w:rPr>
          <w:sz w:val="22"/>
          <w:szCs w:val="22"/>
        </w:rPr>
        <w:t xml:space="preserve">Focus on applying the </w:t>
      </w:r>
      <w:r w:rsidR="00E54F37">
        <w:rPr>
          <w:sz w:val="22"/>
          <w:szCs w:val="22"/>
        </w:rPr>
        <w:t>d</w:t>
      </w:r>
      <w:r w:rsidRPr="00D737B5">
        <w:rPr>
          <w:sz w:val="22"/>
          <w:szCs w:val="22"/>
        </w:rPr>
        <w:t>ata analytics concepts and share findings on following aspects:</w:t>
      </w:r>
    </w:p>
    <w:p w:rsidR="00D737B5" w:rsidRPr="00D737B5" w:rsidRDefault="00D737B5" w:rsidP="00A721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37B5">
        <w:rPr>
          <w:sz w:val="22"/>
          <w:szCs w:val="22"/>
        </w:rPr>
        <w:t>What are the highest paid Skills in the US market?</w:t>
      </w:r>
    </w:p>
    <w:p w:rsidR="00D737B5" w:rsidRPr="00D737B5" w:rsidRDefault="00D737B5" w:rsidP="00A721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37B5">
        <w:rPr>
          <w:sz w:val="22"/>
          <w:szCs w:val="22"/>
        </w:rPr>
        <w:t>What are the job categories, which involve above mentioned niche skills?</w:t>
      </w:r>
    </w:p>
    <w:p w:rsidR="00D737B5" w:rsidRPr="00D737B5" w:rsidRDefault="00D737B5" w:rsidP="00A721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737B5">
        <w:rPr>
          <w:sz w:val="22"/>
          <w:szCs w:val="22"/>
        </w:rPr>
        <w:t xml:space="preserve">Applying clustering concepts, </w:t>
      </w:r>
      <w:bookmarkStart w:id="0" w:name="_GoBack"/>
      <w:bookmarkEnd w:id="0"/>
      <w:r w:rsidRPr="00D737B5">
        <w:rPr>
          <w:sz w:val="22"/>
          <w:szCs w:val="22"/>
        </w:rPr>
        <w:t>depict visually what are the different salary ranges based on job category and years of experience.</w:t>
      </w:r>
    </w:p>
    <w:p w:rsidR="00A72153" w:rsidRDefault="00A72153" w:rsidP="005544D1">
      <w:pPr>
        <w:pStyle w:val="Heading1"/>
        <w:numPr>
          <w:ilvl w:val="0"/>
          <w:numId w:val="4"/>
        </w:numPr>
        <w:rPr>
          <w:b/>
          <w:color w:val="auto"/>
        </w:rPr>
      </w:pPr>
      <w:r w:rsidRPr="00A72153">
        <w:rPr>
          <w:b/>
          <w:color w:val="auto"/>
        </w:rPr>
        <w:t>What are the highest paid Skills in the US market?</w:t>
      </w:r>
    </w:p>
    <w:p w:rsidR="005544D1" w:rsidRPr="005544D1" w:rsidRDefault="005544D1" w:rsidP="005544D1">
      <w:r>
        <w:t xml:space="preserve">Required skills for the job are mentioned in the following columns.  Column ‘Job category’ provides the required details. We shall use that column for selecting the top 10 skills. 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980"/>
        <w:gridCol w:w="2600"/>
        <w:gridCol w:w="5260"/>
      </w:tblGrid>
      <w:tr w:rsidR="005544D1" w:rsidRPr="005544D1" w:rsidTr="005544D1">
        <w:trPr>
          <w:trHeight w:val="78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Order Number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Column Description (including the unit of measure, acronyms and range of possible values)</w:t>
            </w:r>
          </w:p>
        </w:tc>
      </w:tr>
      <w:tr w:rsidR="005544D1" w:rsidRPr="005544D1" w:rsidTr="005544D1">
        <w:trPr>
          <w:trHeight w:val="37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Job Category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occupational group in which the posted job belongs, such as: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Administration &amp; Human Resources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Communications &amp; Intergovernmental Affairs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Constituent Services &amp; Community Programs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Engineering, Architecture, &amp; Planning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Finance, Accounting, &amp; Procurement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Health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Technology, Data &amp; Innovation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Legal Affairs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Building Operations &amp; Maintenance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Policy, Research &amp; Analysis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Public Safety, Inspections, &amp; Enforcement</w:t>
            </w: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- Social Services</w:t>
            </w:r>
          </w:p>
        </w:tc>
      </w:tr>
      <w:tr w:rsidR="005544D1" w:rsidRPr="005544D1" w:rsidTr="005544D1">
        <w:trPr>
          <w:trHeight w:val="5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Job Description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description of the job responsibilities for the position listed in the job posting.</w:t>
            </w:r>
          </w:p>
        </w:tc>
      </w:tr>
      <w:tr w:rsidR="005544D1" w:rsidRPr="005544D1" w:rsidTr="005544D1">
        <w:trPr>
          <w:trHeight w:val="4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Minimum Qual Requirements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Minimum qualifications (“minimum qual”) required for the position listed in the job posting.</w:t>
            </w:r>
          </w:p>
        </w:tc>
      </w:tr>
      <w:tr w:rsidR="005544D1" w:rsidRPr="005544D1" w:rsidTr="005544D1">
        <w:trPr>
          <w:trHeight w:val="5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Preferred Skills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Additional, preferred skills desired by the hiring agency for a given position.</w:t>
            </w:r>
          </w:p>
        </w:tc>
      </w:tr>
      <w:tr w:rsidR="005544D1" w:rsidRPr="005544D1" w:rsidTr="005544D1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Additional Information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Additional information provided by the hiring agency.</w:t>
            </w:r>
          </w:p>
        </w:tc>
      </w:tr>
    </w:tbl>
    <w:p w:rsidR="00A72153" w:rsidRPr="005544D1" w:rsidRDefault="00A72153" w:rsidP="00D737B5"/>
    <w:p w:rsidR="00A72153" w:rsidRDefault="005544D1" w:rsidP="00D737B5">
      <w:pPr>
        <w:rPr>
          <w:lang w:val="en-US"/>
        </w:rPr>
      </w:pPr>
      <w:r>
        <w:rPr>
          <w:lang w:val="en-US"/>
        </w:rPr>
        <w:t xml:space="preserve">Below columns provide the salary details. 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980"/>
        <w:gridCol w:w="2600"/>
        <w:gridCol w:w="5260"/>
      </w:tblGrid>
      <w:tr w:rsidR="005544D1" w:rsidRPr="005544D1" w:rsidTr="005544D1">
        <w:trPr>
          <w:trHeight w:val="78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Order Number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Column Description (including the unit of measure, acronyms and range of possible values)</w:t>
            </w:r>
          </w:p>
        </w:tc>
      </w:tr>
      <w:tr w:rsidR="005544D1" w:rsidRPr="005544D1" w:rsidTr="005544D1">
        <w:trPr>
          <w:trHeight w:val="5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Salary Range From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lowest salary on a job posting for a position within the salary band for the related civil service title.</w:t>
            </w:r>
          </w:p>
        </w:tc>
      </w:tr>
      <w:tr w:rsidR="005544D1" w:rsidRPr="005544D1" w:rsidTr="005544D1">
        <w:trPr>
          <w:trHeight w:val="5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Salary Range To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highest salary on a job posting for a position within the salary band for the related civil service title.</w:t>
            </w:r>
          </w:p>
        </w:tc>
      </w:tr>
      <w:tr w:rsidR="005544D1" w:rsidRPr="005544D1" w:rsidTr="005544D1">
        <w:trPr>
          <w:trHeight w:val="5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5544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Salary Frequency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4D1" w:rsidRPr="005544D1" w:rsidRDefault="005544D1" w:rsidP="005544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544D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frequency of proposed salary.  Possible salary frequency values include “hourly”, “daily”, and “annual”. </w:t>
            </w:r>
          </w:p>
        </w:tc>
      </w:tr>
    </w:tbl>
    <w:p w:rsidR="005544D1" w:rsidRDefault="005544D1" w:rsidP="00D737B5"/>
    <w:p w:rsidR="005544D1" w:rsidRDefault="005544D1" w:rsidP="00D737B5">
      <w:r>
        <w:t xml:space="preserve">We take the average of the ‘Salary Range From’ and ‘Salary Range To’ to get a single salary value for the job category. </w:t>
      </w:r>
    </w:p>
    <w:p w:rsidR="005544D1" w:rsidRDefault="005544D1" w:rsidP="00D737B5">
      <w:r>
        <w:t xml:space="preserve">We also convert the Hourly and Daily salaries to Annual so that the salaries can be compared. </w:t>
      </w:r>
    </w:p>
    <w:p w:rsidR="00481345" w:rsidRPr="00E44A19" w:rsidRDefault="00481345" w:rsidP="00D737B5">
      <w:pPr>
        <w:rPr>
          <w:b/>
          <w:sz w:val="26"/>
        </w:rPr>
      </w:pPr>
      <w:r w:rsidRPr="00E44A19">
        <w:rPr>
          <w:b/>
          <w:sz w:val="26"/>
        </w:rPr>
        <w:t xml:space="preserve">Following are the </w:t>
      </w:r>
      <w:r w:rsidR="00E44A19" w:rsidRPr="00E44A19">
        <w:rPr>
          <w:b/>
          <w:sz w:val="26"/>
        </w:rPr>
        <w:t>skills that are most sought after:</w:t>
      </w:r>
    </w:p>
    <w:p w:rsidR="00E44A19" w:rsidRDefault="00E44A19" w:rsidP="00D737B5">
      <w:r>
        <w:rPr>
          <w:noProof/>
          <w:lang w:val="en-US" w:bidi="ta-IN"/>
        </w:rPr>
        <w:drawing>
          <wp:inline distT="0" distB="0" distL="0" distR="0" wp14:anchorId="5E3337F3" wp14:editId="6DF660C2">
            <wp:extent cx="3914775" cy="2514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A19" w:rsidRDefault="00E44A19">
      <w:pPr>
        <w:rPr>
          <w:b/>
          <w:sz w:val="26"/>
        </w:rPr>
      </w:pPr>
      <w:r>
        <w:rPr>
          <w:b/>
          <w:sz w:val="26"/>
        </w:rPr>
        <w:br w:type="page"/>
      </w:r>
    </w:p>
    <w:p w:rsidR="00E44A19" w:rsidRPr="00E44A19" w:rsidRDefault="00E44A19" w:rsidP="00E44A19">
      <w:pPr>
        <w:rPr>
          <w:b/>
          <w:sz w:val="26"/>
        </w:rPr>
      </w:pPr>
      <w:r w:rsidRPr="00E44A19">
        <w:rPr>
          <w:b/>
          <w:sz w:val="26"/>
        </w:rPr>
        <w:lastRenderedPageBreak/>
        <w:t>Following are the skills that are highly paid:</w:t>
      </w:r>
    </w:p>
    <w:p w:rsidR="00E44A19" w:rsidRDefault="00E44A19" w:rsidP="00D737B5">
      <w:r>
        <w:rPr>
          <w:noProof/>
          <w:lang w:val="en-US" w:bidi="ta-IN"/>
        </w:rPr>
        <w:drawing>
          <wp:inline distT="0" distB="0" distL="0" distR="0" wp14:anchorId="13E1721A" wp14:editId="4AE30EC2">
            <wp:extent cx="4901352" cy="3880237"/>
            <wp:effectExtent l="19050" t="19050" r="1397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352" cy="3880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A19" w:rsidRDefault="00E44A19" w:rsidP="00E44A19">
      <w:pPr>
        <w:pStyle w:val="Heading1"/>
        <w:numPr>
          <w:ilvl w:val="0"/>
          <w:numId w:val="4"/>
        </w:numPr>
        <w:rPr>
          <w:b/>
          <w:color w:val="auto"/>
        </w:rPr>
      </w:pPr>
      <w:r w:rsidRPr="00E44A19">
        <w:rPr>
          <w:b/>
          <w:color w:val="auto"/>
        </w:rPr>
        <w:t>What are the job categories, which involve above mentioned niche skills?</w:t>
      </w:r>
    </w:p>
    <w:p w:rsidR="00764CB7" w:rsidRPr="00764CB7" w:rsidRDefault="00764CB7" w:rsidP="00764CB7">
      <w:r>
        <w:t>Following are the job categories that contain the above mentioned skills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366"/>
        <w:gridCol w:w="1418"/>
      </w:tblGrid>
      <w:tr w:rsidR="00481345" w:rsidRPr="00481345" w:rsidTr="00764CB7">
        <w:trPr>
          <w:trHeight w:val="30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64C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job category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64C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average salary</w:t>
            </w:r>
          </w:p>
        </w:tc>
      </w:tr>
      <w:tr w:rsidR="00481345" w:rsidRPr="00481345" w:rsidTr="00764CB7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Administration &amp; Human Resources Finance, Accounting, &amp; Procurement Building Operations &amp; Maintenance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218587</w:t>
            </w:r>
          </w:p>
        </w:tc>
      </w:tr>
      <w:tr w:rsidR="00481345" w:rsidRPr="00481345" w:rsidTr="00764CB7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Engineering, Architecture, &amp; Planning Maintenance &amp; Operations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198518</w:t>
            </w:r>
          </w:p>
        </w:tc>
      </w:tr>
      <w:tr w:rsidR="00481345" w:rsidRPr="00481345" w:rsidTr="00764CB7">
        <w:trPr>
          <w:trHeight w:val="6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Engineering, Architecture, &amp; Planning Finance, Accounting, &amp; Procurement Building Operations &amp; Maintenance Public Safety, Inspections, &amp; Enforcement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196043</w:t>
            </w:r>
          </w:p>
        </w:tc>
      </w:tr>
      <w:tr w:rsidR="00481345" w:rsidRPr="00481345" w:rsidTr="00764CB7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 Policy, Research &amp; Analysis Public Safety, Inspections, &amp; Enforcement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128695</w:t>
            </w:r>
          </w:p>
        </w:tc>
      </w:tr>
      <w:tr w:rsidR="00481345" w:rsidRPr="00481345" w:rsidTr="00764CB7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Engineering, Architecture, &amp; Planning Policy, Research &amp; Analysis Public Safety, Inspections, &amp; Enforcement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128248</w:t>
            </w:r>
          </w:p>
        </w:tc>
      </w:tr>
      <w:tr w:rsidR="00481345" w:rsidRPr="00481345" w:rsidTr="00764CB7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Engineering, Architecture, &amp; Planning Technology, Data &amp; Innovation Public Safety, Inspections, &amp; Enforcement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128248</w:t>
            </w:r>
          </w:p>
        </w:tc>
      </w:tr>
      <w:tr w:rsidR="00481345" w:rsidRPr="00481345" w:rsidTr="00764CB7">
        <w:trPr>
          <w:trHeight w:val="6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Communications &amp; Intergovernmental Affairs Engineering, Architecture, &amp; Planning Technology, Data &amp; Innovation Policy, Research &amp; Analysis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125000</w:t>
            </w:r>
          </w:p>
        </w:tc>
      </w:tr>
      <w:tr w:rsidR="00481345" w:rsidRPr="00481345" w:rsidTr="00764CB7">
        <w:trPr>
          <w:trHeight w:val="6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Administration &amp; Human Resources Finance, Accounting, &amp; Procurement Technology, Data &amp; Innovation Building Operations &amp; Maintenance Policy, Research &amp; Analysis Public Safety, Inspections, &amp; Enforcement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118287</w:t>
            </w:r>
          </w:p>
        </w:tc>
      </w:tr>
      <w:tr w:rsidR="00481345" w:rsidRPr="00481345" w:rsidTr="00764CB7">
        <w:trPr>
          <w:trHeight w:val="3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Constituent Services &amp; Community Programs Communications &amp; Intergovernmental Affairs Policy, Research &amp; Analysis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116900</w:t>
            </w:r>
          </w:p>
        </w:tc>
      </w:tr>
      <w:tr w:rsidR="00481345" w:rsidRPr="00481345" w:rsidTr="00764CB7">
        <w:trPr>
          <w:trHeight w:val="60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Administration &amp; Human Resources Constituent Services &amp; Community Programs Health Legal Affairs Public Safety, Inspections, &amp; Enforcement Social Services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345" w:rsidRPr="00481345" w:rsidRDefault="00481345" w:rsidP="00481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813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104552</w:t>
            </w:r>
          </w:p>
        </w:tc>
      </w:tr>
    </w:tbl>
    <w:p w:rsidR="00481345" w:rsidRDefault="00481345" w:rsidP="00D737B5"/>
    <w:p w:rsidR="00E44A19" w:rsidRDefault="00E44A19" w:rsidP="00D737B5">
      <w:r>
        <w:rPr>
          <w:noProof/>
          <w:lang w:val="en-US" w:bidi="ta-IN"/>
        </w:rPr>
        <w:drawing>
          <wp:inline distT="0" distB="0" distL="0" distR="0" wp14:anchorId="265AD996" wp14:editId="2B7A1B39">
            <wp:extent cx="4962525" cy="30956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95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692" w:rsidRDefault="00A50692" w:rsidP="00D737B5">
      <w:r>
        <w:rPr>
          <w:noProof/>
          <w:lang w:val="en-US" w:bidi="ta-IN"/>
        </w:rPr>
        <w:drawing>
          <wp:inline distT="0" distB="0" distL="0" distR="0">
            <wp:extent cx="5731231" cy="2943225"/>
            <wp:effectExtent l="19050" t="19050" r="22225" b="9525"/>
            <wp:docPr id="1" name="Picture 1" descr="C:\Users\L74709\AppData\Local\Microsoft\Windows\INetCache\Content.MSO\F7279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74709\AppData\Local\Microsoft\Windows\INetCache\Content.MSO\F7279D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00" cy="2947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A19" w:rsidRDefault="00E44A19" w:rsidP="00D737B5"/>
    <w:p w:rsidR="00764CB7" w:rsidRPr="00764CB7" w:rsidRDefault="00764CB7" w:rsidP="00764CB7">
      <w:pPr>
        <w:pStyle w:val="Heading1"/>
        <w:numPr>
          <w:ilvl w:val="0"/>
          <w:numId w:val="4"/>
        </w:numPr>
        <w:rPr>
          <w:b/>
          <w:color w:val="auto"/>
        </w:rPr>
      </w:pPr>
      <w:r w:rsidRPr="00764CB7">
        <w:rPr>
          <w:b/>
          <w:color w:val="auto"/>
        </w:rPr>
        <w:t>Applying clustering concepts, please depict visually what are the different salary ranges based on job category and years of experience.</w:t>
      </w:r>
    </w:p>
    <w:p w:rsidR="00E44A19" w:rsidRDefault="00764CB7" w:rsidP="00764CB7">
      <w:pPr>
        <w:ind w:left="360"/>
        <w:rPr>
          <w:lang w:val="en-US"/>
        </w:rPr>
      </w:pPr>
      <w:r>
        <w:rPr>
          <w:lang w:val="en-US"/>
        </w:rPr>
        <w:t xml:space="preserve">We drew a histogram with salary ranges in 20 bins, against the number of job categories. </w:t>
      </w:r>
      <w:r w:rsidRPr="00764CB7">
        <w:rPr>
          <w:lang w:val="en-US"/>
        </w:rPr>
        <w:t>We can see that most of the job categories are in the range of 50000 to 100000 which the salary at 60000 hav</w:t>
      </w:r>
      <w:r>
        <w:rPr>
          <w:lang w:val="en-US"/>
        </w:rPr>
        <w:t>ing around 500 job categories</w:t>
      </w:r>
    </w:p>
    <w:p w:rsidR="00764CB7" w:rsidRDefault="00764CB7" w:rsidP="00764CB7">
      <w:pPr>
        <w:ind w:left="360"/>
        <w:rPr>
          <w:lang w:val="en-US"/>
        </w:rPr>
      </w:pPr>
    </w:p>
    <w:p w:rsidR="00764CB7" w:rsidRDefault="00764CB7" w:rsidP="00D737B5">
      <w:pPr>
        <w:rPr>
          <w:lang w:val="en-US"/>
        </w:rPr>
      </w:pPr>
      <w:r>
        <w:rPr>
          <w:noProof/>
          <w:lang w:val="en-US" w:bidi="ta-IN"/>
        </w:rPr>
        <w:lastRenderedPageBreak/>
        <w:drawing>
          <wp:inline distT="0" distB="0" distL="0" distR="0" wp14:anchorId="67F59A64" wp14:editId="228E1C30">
            <wp:extent cx="5731510" cy="2391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7" w:rsidRDefault="00764CB7" w:rsidP="00D737B5">
      <w:pPr>
        <w:rPr>
          <w:lang w:val="en-US"/>
        </w:rPr>
      </w:pPr>
    </w:p>
    <w:p w:rsidR="00764CB7" w:rsidRDefault="00764CB7" w:rsidP="00764CB7">
      <w:pPr>
        <w:ind w:left="360"/>
        <w:rPr>
          <w:lang w:val="en-US"/>
        </w:rPr>
      </w:pPr>
      <w:r w:rsidRPr="00764CB7">
        <w:rPr>
          <w:lang w:val="en-US"/>
        </w:rPr>
        <w:t xml:space="preserve">Let us try to draw the scatter plot between the average salary and the job category. </w:t>
      </w:r>
      <w:r>
        <w:rPr>
          <w:lang w:val="en-US"/>
        </w:rPr>
        <w:t xml:space="preserve"> We have </w:t>
      </w:r>
      <w:r w:rsidRPr="00764CB7">
        <w:rPr>
          <w:lang w:val="en-US"/>
        </w:rPr>
        <w:t>hidden the job categories in the x axis as that will clutter the chart. From the scatter plot, we can see that, the salaries for the different job categories are in the range of 50000 to 100000,</w:t>
      </w:r>
      <w:r>
        <w:rPr>
          <w:lang w:val="en-US"/>
        </w:rPr>
        <w:t xml:space="preserve"> </w:t>
      </w:r>
      <w:r w:rsidRPr="00764CB7">
        <w:rPr>
          <w:lang w:val="en-US"/>
        </w:rPr>
        <w:t>with some outliers in the range of 220000.</w:t>
      </w:r>
    </w:p>
    <w:p w:rsidR="00764CB7" w:rsidRPr="00764CB7" w:rsidRDefault="00764CB7" w:rsidP="00D737B5">
      <w:pPr>
        <w:rPr>
          <w:lang w:val="en-US"/>
        </w:rPr>
      </w:pPr>
      <w:r>
        <w:rPr>
          <w:noProof/>
          <w:lang w:val="en-US" w:bidi="ta-IN"/>
        </w:rPr>
        <w:drawing>
          <wp:inline distT="0" distB="0" distL="0" distR="0">
            <wp:extent cx="5731510" cy="3764476"/>
            <wp:effectExtent l="0" t="0" r="2540" b="0"/>
            <wp:docPr id="7" name="Picture 7" descr="C:\Users\L74709\AppData\Local\Microsoft\Windows\INetCache\Content.MSO\17BB8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74709\AppData\Local\Microsoft\Windows\INetCache\Content.MSO\17BB8A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19" w:rsidRDefault="00E44A19" w:rsidP="00D737B5"/>
    <w:p w:rsidR="00E44A19" w:rsidRDefault="00E44A19" w:rsidP="00D737B5"/>
    <w:p w:rsidR="00E44A19" w:rsidRPr="005544D1" w:rsidRDefault="00E44A19" w:rsidP="00D737B5"/>
    <w:sectPr w:rsidR="00E44A19" w:rsidRPr="0055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1D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435FA"/>
    <w:multiLevelType w:val="hybridMultilevel"/>
    <w:tmpl w:val="DCEAB1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5E5988"/>
    <w:multiLevelType w:val="hybridMultilevel"/>
    <w:tmpl w:val="DBE6C1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B5"/>
    <w:rsid w:val="000F5C1A"/>
    <w:rsid w:val="00481345"/>
    <w:rsid w:val="004E6C29"/>
    <w:rsid w:val="005544D1"/>
    <w:rsid w:val="0057318F"/>
    <w:rsid w:val="00764CB7"/>
    <w:rsid w:val="00A50692"/>
    <w:rsid w:val="00A72153"/>
    <w:rsid w:val="00C51393"/>
    <w:rsid w:val="00D737B5"/>
    <w:rsid w:val="00E165F8"/>
    <w:rsid w:val="00E44A19"/>
    <w:rsid w:val="00E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B44B"/>
  <w15:chartTrackingRefBased/>
  <w15:docId w15:val="{8E81B534-0233-45D9-85B4-D3BF75F1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D737B5"/>
    <w:rPr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737B5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7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2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5139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16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Gopinath</dc:creator>
  <cp:keywords/>
  <dc:description/>
  <cp:lastModifiedBy>Kannan</cp:lastModifiedBy>
  <cp:revision>7</cp:revision>
  <dcterms:created xsi:type="dcterms:W3CDTF">2019-12-16T09:48:00Z</dcterms:created>
  <dcterms:modified xsi:type="dcterms:W3CDTF">2020-04-12T15:24:00Z</dcterms:modified>
</cp:coreProperties>
</file>