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GOVERNANCE ARTIFACT PACK  ·  WEEK 11</w:t>
      </w:r>
    </w:p>
    <w:p>
      <w:pPr>
        <w:pStyle w:val="Heading1"/>
        <w:spacing w:after="70"/>
      </w:pPr>
      <w:r>
        <w:t xml:space="preserve">Fairness &amp; Bias — the paperwork</w:t>
      </w:r>
    </w:p>
    <w:p>
      <w:pPr>
        <w:spacing w:after="60"/>
      </w:pPr>
      <w:r>
        <w:rPr>
          <w:i/>
          <w:iCs/>
          <w:color w:val="555555"/>
          <w:sz w:val="22"/>
          <w:szCs w:val="22"/>
        </w:rPr>
        <w:t xml:space="preserve">The six records an auditor asks for in this domain, as templates you can use</w:t>
      </w:r>
    </w:p>
    <w:p>
      <w:pPr>
        <w:spacing w:after="180"/>
      </w:pPr>
      <w:r>
        <w:rPr>
          <w:color w:val="1A2B49"/>
          <w:sz w:val="18"/>
          <w:szCs w:val="18"/>
        </w:rPr>
        <w:t xml:space="preserve">Kannan K  ·  AI Governance &amp; Cybersecurity Leader</w:t>
      </w:r>
    </w:p>
    <w:p>
      <w:pPr>
        <w:spacing w:after="120"/>
      </w:pPr>
      <w:r>
        <w:t xml:space="preserve">Each of these is a record an auditor will ask for in this domain. Where your organisation already has an equivalent artefact in an existing framework, use theirs and add the AI-specific fields rather than creating a parallel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How to use these.  </w:t>
            </w:r>
            <w:r>
              <w:t xml:space="preserve">Fill them from artefacts, not from memory. Each template should end up pointing at a document, a log or a test result — not summarising one.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w:t>
            </w:r>
          </w:p>
        </w:tc>
        <w:tc>
          <w:tcPr>
            <w:tcW w:type="dxa" w:w="38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Name</w:t>
            </w:r>
          </w:p>
        </w:tc>
        <w:tc>
          <w:tcPr>
            <w:tcW w:type="dxa" w:w="43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What it proves</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Fairness Definition Record</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you chose a testable definition, and why.</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Protected Attribute &amp; Proxy Map</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you know what to test against, including proxies.</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Stratified Persona Specification</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your test set could detect disparity if present.</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Disparity Measurement Results</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outcome and language differences are quantified.</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Disparity Threshold Agreement</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someone decided what unacceptable means, in advance.</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Bias Finding &amp; Remediation Register</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measurement leads to assigned, verified action.</w:t>
            </w:r>
          </w:p>
        </w:tc>
      </w:tr>
    </w:tbl>
    <w:p>
      <w:pPr>
        <w:pageBreakBefore/>
      </w:pPr>
      <w:r>
        <w:t xml:space="preserve"/>
      </w:r>
    </w:p>
    <w:p>
      <w:pPr>
        <w:pStyle w:val="Heading1"/>
        <w:spacing w:after="120" w:before="240"/>
      </w:pPr>
      <w:r>
        <w:t xml:space="preserve">A · Fairness Definition Record</w:t>
      </w:r>
    </w:p>
    <w:p>
      <w:pPr>
        <w:spacing w:after="120"/>
      </w:pPr>
      <w:r>
        <w:rPr>
          <w:i/>
          <w:iCs/>
          <w:color w:val="555555"/>
        </w:rPr>
        <w:t xml:space="preserve">That you chose a testable definition, and why.</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A fairness definition is documented per consequential output, justified against the nature of that output, approved by the accountable owner with compliance input, and translated into a measurable quantity.</w:t>
      </w:r>
    </w:p>
    <w:p>
      <w:pPr>
        <w:spacing w:after="80"/>
      </w:pPr>
      <w:r>
        <w:t xml:space="preserve">Protected attributes are identified against the relevant jurisdictions, plausible proxies are listed with reasoning, the effect of any field removal has been verified rather than assumed, and exclusions are documented.</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fairness definition exists.</w:t>
      </w:r>
    </w:p>
    <w:p>
      <w:pPr>
        <w:pStyle w:val="ListParagraph"/>
        <w:numPr>
          <w:ilvl w:val="0"/>
          <w:numId w:val="2"/>
        </w:numPr>
        <w:spacing w:after="60"/>
      </w:pPr>
      <w:r>
        <w:t xml:space="preserve">A definition stated but not operationalised into anything measurable.</w:t>
      </w:r>
    </w:p>
    <w:p>
      <w:pPr>
        <w:pStyle w:val="ListParagraph"/>
        <w:numPr>
          <w:ilvl w:val="0"/>
          <w:numId w:val="2"/>
        </w:numPr>
        <w:spacing w:after="60"/>
      </w:pPr>
      <w:r>
        <w:t xml:space="preserve">One definition applied across dissimilar outputs.</w:t>
      </w:r>
    </w:p>
    <w:p>
      <w:pPr>
        <w:pStyle w:val="ListParagraph"/>
        <w:numPr>
          <w:ilvl w:val="0"/>
          <w:numId w:val="2"/>
        </w:numPr>
        <w:spacing w:after="60"/>
      </w:pPr>
      <w:r>
        <w:t xml:space="preserve">No list of protected attributes.</w:t>
      </w:r>
    </w:p>
    <w:p>
      <w:pPr>
        <w:pStyle w:val="ListParagraph"/>
        <w:numPr>
          <w:ilvl w:val="0"/>
          <w:numId w:val="2"/>
        </w:numPr>
        <w:spacing w:after="60"/>
      </w:pPr>
      <w:r>
        <w:t xml:space="preserve">Structured fields considered but proxies ignored.</w:t>
      </w:r>
    </w:p>
    <w:p>
      <w:pPr>
        <w:pageBreakBefore/>
      </w:pPr>
      <w:r>
        <w:t xml:space="preserve"/>
      </w:r>
    </w:p>
    <w:p>
      <w:pPr>
        <w:pStyle w:val="Heading1"/>
        <w:spacing w:after="120" w:before="240"/>
      </w:pPr>
      <w:r>
        <w:t xml:space="preserve">B · Protected Attribute &amp; Proxy Map</w:t>
      </w:r>
    </w:p>
    <w:p>
      <w:pPr>
        <w:spacing w:after="120"/>
      </w:pPr>
      <w:r>
        <w:rPr>
          <w:i/>
          <w:iCs/>
          <w:color w:val="555555"/>
        </w:rPr>
        <w:t xml:space="preserve">That you know what to test against, including proxies.</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A stratified synthetic test set varies only the attribute under test while holding financial substance constant, with enough repetitions per persona to distinguish disparity from the known output variation, covering the consequential outputs.</w:t>
      </w:r>
    </w:p>
    <w:p>
      <w:pPr>
        <w:spacing w:after="80"/>
      </w:pPr>
      <w:r>
        <w:t xml:space="preserve">Outcome distributions have been compared across groups on all consequential outputs with adequate repetition, effect sizes are quantified, and any observed disparity has been checked against legitimate financial explanations.</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stratified test set.</w:t>
      </w:r>
    </w:p>
    <w:p>
      <w:pPr>
        <w:pStyle w:val="ListParagraph"/>
        <w:numPr>
          <w:ilvl w:val="0"/>
          <w:numId w:val="2"/>
        </w:numPr>
        <w:spacing w:after="60"/>
      </w:pPr>
      <w:r>
        <w:t xml:space="preserve">Personas vary on more than the attribute under test.</w:t>
      </w:r>
    </w:p>
    <w:p>
      <w:pPr>
        <w:pStyle w:val="ListParagraph"/>
        <w:numPr>
          <w:ilvl w:val="0"/>
          <w:numId w:val="2"/>
        </w:numPr>
        <w:spacing w:after="60"/>
      </w:pPr>
      <w:r>
        <w:t xml:space="preserve">Too few cases or repetitions to distinguish signal from noise.</w:t>
      </w:r>
    </w:p>
    <w:p>
      <w:pPr>
        <w:pStyle w:val="ListParagraph"/>
        <w:numPr>
          <w:ilvl w:val="0"/>
          <w:numId w:val="2"/>
        </w:numPr>
        <w:spacing w:after="60"/>
      </w:pPr>
      <w:r>
        <w:t xml:space="preserve">Outcome disparity never measured.</w:t>
      </w:r>
    </w:p>
    <w:p>
      <w:pPr>
        <w:pStyle w:val="ListParagraph"/>
        <w:numPr>
          <w:ilvl w:val="0"/>
          <w:numId w:val="2"/>
        </w:numPr>
        <w:spacing w:after="60"/>
      </w:pPr>
      <w:r>
        <w:t xml:space="preserve">Measured only on low-consequence outputs.</w:t>
      </w:r>
    </w:p>
    <w:p>
      <w:pPr>
        <w:pageBreakBefore/>
      </w:pPr>
      <w:r>
        <w:t xml:space="preserve"/>
      </w:r>
    </w:p>
    <w:p>
      <w:pPr>
        <w:pStyle w:val="Heading1"/>
        <w:spacing w:after="120" w:before="240"/>
      </w:pPr>
      <w:r>
        <w:t xml:space="preserve">C · Stratified Persona Specification</w:t>
      </w:r>
    </w:p>
    <w:p>
      <w:pPr>
        <w:spacing w:after="120"/>
      </w:pPr>
      <w:r>
        <w:rPr>
          <w:i/>
          <w:iCs/>
          <w:color w:val="555555"/>
        </w:rPr>
        <w:t xml:space="preserve">That your test set could detect disparity if present.</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Response quality has been compared across groups on length, options offered, next steps, register and differential caution, including non-standard English phrasing, with results scored rather than described.</w:t>
      </w:r>
    </w:p>
    <w:p>
      <w:pPr>
        <w:spacing w:after="80"/>
      </w:pPr>
      <w:r>
        <w:t xml:space="preserve">Removal effects have been tested empirically, individual proxies isolated, and the specific attributes carrying demographic signal identified and quantified.</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Only outcomes measured; language and tone never considered.</w:t>
      </w:r>
    </w:p>
    <w:p>
      <w:pPr>
        <w:pStyle w:val="ListParagraph"/>
        <w:numPr>
          <w:ilvl w:val="0"/>
          <w:numId w:val="2"/>
        </w:numPr>
        <w:spacing w:after="60"/>
      </w:pPr>
      <w:r>
        <w:t xml:space="preserve">Systematic terseness or reduced helpfulness for one group, unmeasured.</w:t>
      </w:r>
    </w:p>
    <w:p>
      <w:pPr>
        <w:pStyle w:val="ListParagraph"/>
        <w:numPr>
          <w:ilvl w:val="0"/>
          <w:numId w:val="2"/>
        </w:numPr>
        <w:spacing w:after="60"/>
      </w:pPr>
      <w:r>
        <w:t xml:space="preserve">Degraded response quality for non-standard English.</w:t>
      </w:r>
    </w:p>
    <w:p>
      <w:pPr>
        <w:pStyle w:val="ListParagraph"/>
        <w:numPr>
          <w:ilvl w:val="0"/>
          <w:numId w:val="2"/>
        </w:numPr>
        <w:spacing w:after="60"/>
      </w:pPr>
      <w:r>
        <w:t xml:space="preserve">Removal assumed effective without testing.</w:t>
      </w:r>
    </w:p>
    <w:p>
      <w:pPr>
        <w:pStyle w:val="ListParagraph"/>
        <w:numPr>
          <w:ilvl w:val="0"/>
          <w:numId w:val="2"/>
        </w:numPr>
        <w:spacing w:after="60"/>
      </w:pPr>
      <w:r>
        <w:t xml:space="preserve">Proxies not isolated individually.</w:t>
      </w:r>
    </w:p>
    <w:p>
      <w:pPr>
        <w:pageBreakBefore/>
      </w:pPr>
      <w:r>
        <w:t xml:space="preserve"/>
      </w:r>
    </w:p>
    <w:p>
      <w:pPr>
        <w:pStyle w:val="Heading1"/>
        <w:spacing w:after="120" w:before="240"/>
      </w:pPr>
      <w:r>
        <w:t xml:space="preserve">D · Disparity Measurement Results</w:t>
      </w:r>
    </w:p>
    <w:p>
      <w:pPr>
        <w:spacing w:after="120"/>
      </w:pPr>
      <w:r>
        <w:rPr>
          <w:i/>
          <w:iCs/>
          <w:color w:val="555555"/>
        </w:rPr>
        <w:t xml:space="preserve">That outcome and language differences are quantified.</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The intersections most represented in the customer base have been tested on consequential outputs, results compared against single-attribute findings, with counts adequate to the claims made and untested intersections documented.</w:t>
      </w:r>
    </w:p>
    <w:p>
      <w:pPr>
        <w:spacing w:after="80"/>
      </w:pPr>
      <w:r>
        <w:t xml:space="preserve">Disparity thresholds are set per consequential output before results were known, expressed in the same metric as the fairness definition, approved by the accountable owner with compliance input, with a defined breach action and current position recorded.</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Only single-attribute testing performed.</w:t>
      </w:r>
    </w:p>
    <w:p>
      <w:pPr>
        <w:pStyle w:val="ListParagraph"/>
        <w:numPr>
          <w:ilvl w:val="0"/>
          <w:numId w:val="2"/>
        </w:numPr>
        <w:spacing w:after="60"/>
      </w:pPr>
      <w:r>
        <w:t xml:space="preserve">Intersections chosen arbitrarily rather than by customer-base representation.</w:t>
      </w:r>
    </w:p>
    <w:p>
      <w:pPr>
        <w:pStyle w:val="ListParagraph"/>
        <w:numPr>
          <w:ilvl w:val="0"/>
          <w:numId w:val="2"/>
        </w:numPr>
        <w:spacing w:after="60"/>
      </w:pPr>
      <w:r>
        <w:t xml:space="preserve">Cell counts too small for the claims made.</w:t>
      </w:r>
    </w:p>
    <w:p>
      <w:pPr>
        <w:pStyle w:val="ListParagraph"/>
        <w:numPr>
          <w:ilvl w:val="0"/>
          <w:numId w:val="2"/>
        </w:numPr>
        <w:spacing w:after="60"/>
      </w:pPr>
      <w:r>
        <w:t xml:space="preserve">No threshold exists.</w:t>
      </w:r>
    </w:p>
    <w:p>
      <w:pPr>
        <w:pStyle w:val="ListParagraph"/>
        <w:numPr>
          <w:ilvl w:val="0"/>
          <w:numId w:val="2"/>
        </w:numPr>
        <w:spacing w:after="60"/>
      </w:pPr>
      <w:r>
        <w:t xml:space="preserve">Threshold set after results were known.</w:t>
      </w:r>
    </w:p>
    <w:p>
      <w:pPr>
        <w:pageBreakBefore/>
      </w:pPr>
      <w:r>
        <w:t xml:space="preserve"/>
      </w:r>
    </w:p>
    <w:p>
      <w:pPr>
        <w:pStyle w:val="Heading1"/>
        <w:spacing w:after="120" w:before="240"/>
      </w:pPr>
      <w:r>
        <w:t xml:space="preserve">E · Disparity Threshold Agreement</w:t>
      </w:r>
    </w:p>
    <w:p>
      <w:pPr>
        <w:spacing w:after="120"/>
      </w:pPr>
      <w:r>
        <w:rPr>
          <w:i/>
          <w:iCs/>
          <w:color w:val="555555"/>
        </w:rPr>
        <w:t xml:space="preserve">That someone decided what unacceptable means, in advance.</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Every disparity finding has an owner, a treatment addressing the cause, and a date; remediations are verified by re-test; acceptances carry a named authority and review date; findings reach a governance forum.</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Findings recorded but not assigned.</w:t>
      </w:r>
    </w:p>
    <w:p>
      <w:pPr>
        <w:pStyle w:val="ListParagraph"/>
        <w:numPr>
          <w:ilvl w:val="0"/>
          <w:numId w:val="2"/>
        </w:numPr>
        <w:spacing w:after="60"/>
      </w:pPr>
      <w:r>
        <w:t xml:space="preserve">Treatments addressing symptom rather than cause.</w:t>
      </w:r>
    </w:p>
    <w:p>
      <w:pPr>
        <w:pStyle w:val="ListParagraph"/>
        <w:numPr>
          <w:ilvl w:val="0"/>
          <w:numId w:val="2"/>
        </w:numPr>
        <w:spacing w:after="60"/>
      </w:pPr>
      <w:r>
        <w:t xml:space="preserve">Disparity accepted with no named authority.</w:t>
      </w:r>
    </w:p>
    <w:p>
      <w:pPr>
        <w:pageBreakBefore/>
      </w:pPr>
      <w:r>
        <w:t xml:space="preserve"/>
      </w:r>
    </w:p>
    <w:p>
      <w:pPr>
        <w:pStyle w:val="Heading1"/>
        <w:spacing w:after="120" w:before="240"/>
      </w:pPr>
      <w:r>
        <w:t xml:space="preserve">F · Bias Finding &amp; Remediation Register</w:t>
      </w:r>
    </w:p>
    <w:p>
      <w:pPr>
        <w:spacing w:after="120"/>
      </w:pPr>
      <w:r>
        <w:rPr>
          <w:i/>
          <w:iCs/>
          <w:color w:val="555555"/>
        </w:rPr>
        <w:t xml:space="preserve">That measurement leads to assigned, verified action.</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Fairness is re-measured on a defined cycle and on model, prompt, data and customer-mix change, with a maintained persona set, segment-level production signals monitored, and results reported to governance regularly.</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scheduled re-measurement.</w:t>
      </w:r>
    </w:p>
    <w:p>
      <w:pPr>
        <w:pStyle w:val="ListParagraph"/>
        <w:numPr>
          <w:ilvl w:val="0"/>
          <w:numId w:val="2"/>
        </w:numPr>
        <w:spacing w:after="60"/>
      </w:pPr>
      <w:r>
        <w:t xml:space="preserve">Trigger list omits model or prompt change.</w:t>
      </w:r>
    </w:p>
    <w:p>
      <w:pPr>
        <w:pStyle w:val="ListParagraph"/>
        <w:numPr>
          <w:ilvl w:val="0"/>
          <w:numId w:val="2"/>
        </w:numPr>
        <w:spacing w:after="60"/>
      </w:pPr>
      <w:r>
        <w:t xml:space="preserve">Persona set not maintained.</w:t>
      </w:r>
    </w:p>
    <w:p>
      <w:pPr>
        <w:pageBreakBefore/>
      </w:pPr>
      <w:r>
        <w:t xml:space="preserve"/>
      </w:r>
    </w:p>
    <w:p>
      <w:pPr>
        <w:pStyle w:val="Heading1"/>
        <w:spacing w:after="120" w:before="240"/>
      </w:pPr>
      <w:r>
        <w:t xml:space="preserve">Mapping the pack to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Document</w:t>
            </w:r>
          </w:p>
        </w:tc>
        <w:tc>
          <w:tcPr>
            <w:tcW w:type="dxa" w:w="3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Evidences checks</w:t>
            </w:r>
          </w:p>
        </w:tc>
        <w:tc>
          <w:tcPr>
            <w:tcW w:type="dxa" w:w="35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Log as</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 Fairness Definition Record</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W11-01, W11-02</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EV-W11-01</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 · Protected Attribute &amp; Proxy Map</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W11-03, W11-04</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EV-W11-02</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 · Stratified Persona Specification</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W11-05, W11-06</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EV-W11-03</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 · Disparity Measurement Results</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W11-07, W11-08</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EV-W11-04</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 · Disparity Threshold Agreement</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W11-09</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EV-W11-05</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 · Bias Finding &amp; Remediation Register</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W11-10</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EV-W11-06</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Governance Artifact Pack · Week 11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Governance Artifact Pack · Week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2026-08-05T11:34:21.192Z</dcterms:created>
  <dcterms:modified xsi:type="dcterms:W3CDTF">2026-08-05T11:34:21.192Z</dcterms:modified>
</cp:coreProperties>
</file>

<file path=docProps/custom.xml><?xml version="1.0" encoding="utf-8"?>
<Properties xmlns="http://schemas.openxmlformats.org/officeDocument/2006/custom-properties" xmlns:vt="http://schemas.openxmlformats.org/officeDocument/2006/docPropsVTypes"/>
</file>