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FIELD GUIDE  ·  WEEK 11</w:t>
      </w:r>
    </w:p>
    <w:p>
      <w:pPr>
        <w:pStyle w:val="Heading1"/>
        <w:spacing w:after="70"/>
      </w:pPr>
      <w:r>
        <w:t xml:space="preserve">Fairness &amp; Bias</w:t>
      </w:r>
    </w:p>
    <w:p>
      <w:pPr>
        <w:spacing w:after="60"/>
      </w:pPr>
      <w:r>
        <w:rPr>
          <w:i/>
          <w:iCs/>
          <w:color w:val="555555"/>
          <w:sz w:val="22"/>
          <w:szCs w:val="22"/>
        </w:rPr>
        <w:t xml:space="preserve">Does it treat comparable customers comparably — in what it decides, and in how it speaks?</w:t>
      </w:r>
    </w:p>
    <w:p>
      <w:pPr>
        <w:spacing w:after="180"/>
      </w:pPr>
      <w:r>
        <w:rPr>
          <w:color w:val="1A2B49"/>
          <w:sz w:val="18"/>
          <w:szCs w:val="18"/>
        </w:rPr>
        <w:t xml:space="preserve">Kannan K  ·  AI Governance &amp; Cybersecurity Leader  ·  Part of AI Governance, Unpacked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idea in this week.  </w:t>
            </w:r>
            <w:r>
              <w:t xml:space="preserve">Bias testing fails for a boring reason far more often than a dramatic one. Not because organisations discover unfairness and hide it, but because they never chose a definition of fairness, never built a test that could detect it, and concluded from the absence of evidence that there was nothing there. You cannot find what you have not looked for, and 'no complaints' is not a measurement.</w:t>
            </w:r>
          </w:p>
        </w:tc>
      </w:tr>
    </w:tbl>
    <w:p>
      <w:pPr>
        <w:spacing w:after="140"/>
      </w:pPr>
      <w:r>
        <w:t xml:space="preserve"/>
      </w:r>
    </w:p>
    <w:p>
      <w:pPr>
        <w:pStyle w:val="Heading1"/>
        <w:spacing w:after="120" w:before="240"/>
      </w:pPr>
      <w:r>
        <w:t xml:space="preserve">Where the obligations sit — and where they do not</w:t>
      </w:r>
    </w:p>
    <w:p>
      <w:pPr>
        <w:spacing w:after="120"/>
      </w:pPr>
      <w:r>
        <w:t xml:space="preserve">This is the domain where overstating the law is most tempting and most damaging. EU AI Act Article 10(2)(f) and (g) require examination for possible biases and measures to detect, prevent and mitigate them — but those duties attach to high-risk systems. The reference system in this series is classified limited-risk, so they do not bind it. Say that plainly, then explain why the testing is necessary anyway.</w:t>
      </w:r>
    </w:p>
    <w:p>
      <w:pPr>
        <w:spacing w:after="120"/>
      </w:pPr>
      <w:r>
        <w:t xml:space="preserve">What does bind, and is frequently overlooked: if an output amounts to a decision producing legal or similarly significant effects based solely on automated processing, GDPR Article 22 engages regardless of AI Act tier — with rights to human intervention and to contest. The Week 06 eligibility question resurfaces here in a different regime. And consumer-conduct and fair-lending duties apply to a bank whether or not an AI system is involved; the technology does not create the obligation and does not excuse it.</w:t>
      </w:r>
    </w:p>
    <w:p>
      <w:pPr>
        <w:spacing w:after="120"/>
      </w:pPr>
      <w:r>
        <w:t xml:space="preserve">On standards: ISO/IEC TR 24027 covers bias in AI systems and AI-aided decision-making, and ISO/IEC TS 12791 addresses treatment of unwanted bias in classification and regression tasks. Both are referenced in the European standardisation work but, like the rest of the JTC 21 programme, nothing has yet been cited in the Official Journal, so none confers presumption of conformity.</w:t>
      </w:r>
    </w:p>
    <w:p>
      <w:pPr>
        <w:spacing w:after="120"/>
      </w:pPr>
      <w:r>
        <w:t xml:space="preserve">In India, the DPDP framework governs the personal data underlying any such analysis, and the RBI's fair-practices expectations apply to anything touching credit decisioning. The obligation to treat customers fairly long predates the assistant.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E8A33D" w:sz="18"/>
              <w:bottom w:val="single" w:color="DDDDDD" w:sz="2"/>
              <w:right w:val="single" w:color="DDDDDD" w:sz="2"/>
            </w:tcBorders>
            <w:shd w:fill="FBF7F0" w:val="clear"/>
            <w:tcMar>
              <w:top w:type="dxa" w:w="130"/>
              <w:left w:type="dxa" w:w="170"/>
              <w:bottom w:type="dxa" w:w="130"/>
              <w:right w:type="dxa" w:w="170"/>
            </w:tcMar>
          </w:tcPr>
          <w:p>
            <w:r>
              <w:rPr>
                <w:b/>
                <w:bCs/>
                <w:color w:val="1A2B49"/>
              </w:rPr>
              <w:t xml:space="preserve">The framing that works.  </w:t>
            </w:r>
            <w:r>
              <w:t xml:space="preserve">Do not tell a limited-risk deployer that Article 10 obliges them to test for bias — it does not, and a competent DPO will know. Tell them instead: this is not required of you, the harm is real, it is invisible in your complaint data, and GDPR Article 22 may well bite on your consequential output regardless of tier. That is both accurate and more persuasive than a misstated obligation.</w:t>
            </w:r>
          </w:p>
        </w:tc>
      </w:tr>
    </w:tbl>
    <w:p>
      <w:pPr>
        <w:spacing w:after="140"/>
      </w:pPr>
      <w:r>
        <w:t xml:space="preserve"/>
      </w:r>
    </w:p>
    <w:p>
      <w:pPr>
        <w:pStyle w:val="Heading1"/>
        <w:spacing w:after="120" w:before="240"/>
      </w:pPr>
      <w:r>
        <w:t xml:space="preserve">The ten questions to ask of your own AI system</w:t>
      </w:r>
    </w:p>
    <w:p>
      <w:pPr>
        <w:spacing w:after="120"/>
      </w:pPr>
      <w:r>
        <w:t xml:space="preserve">These map one-to-one to the W11 tab in the workbook. Work them in order.</w:t>
      </w:r>
    </w:p>
    <w:p>
      <w:pPr>
        <w:spacing w:after="50" w:before="180"/>
      </w:pPr>
      <w:r>
        <w:rPr>
          <w:b/>
          <w:bCs/>
          <w:color w:val="E8A33D"/>
          <w:sz w:val="22"/>
          <w:szCs w:val="22"/>
        </w:rPr>
        <w:t xml:space="preserve">01   </w:t>
      </w:r>
      <w:r>
        <w:rPr>
          <w:b/>
          <w:bCs/>
          <w:color w:val="1A2B49"/>
          <w:sz w:val="22"/>
          <w:szCs w:val="22"/>
        </w:rPr>
        <w:t xml:space="preserve">Which definition of fairness are you testing for?</w:t>
      </w:r>
    </w:p>
    <w:p>
      <w:pPr>
        <w:spacing w:after="60"/>
      </w:pPr>
      <w:r>
        <w:t xml:space="preserve">If the question feels unfamiliar, that is the finding. Fairness definitions conflict mathematically — equal outcome rates across groups and equal error rates across groups cannot generally both hold. Choosing none is not neutrality; it makes the question untestable. And this is a policy decision with legal implications, so it should not be made by the delivery team.</w:t>
      </w:r>
    </w:p>
    <w:p>
      <w:pPr>
        <w:spacing w:after="50" w:before="180"/>
      </w:pPr>
      <w:r>
        <w:rPr>
          <w:b/>
          <w:bCs/>
          <w:color w:val="E8A33D"/>
          <w:sz w:val="22"/>
          <w:szCs w:val="22"/>
        </w:rPr>
        <w:t xml:space="preserve">02   </w:t>
      </w:r>
      <w:r>
        <w:rPr>
          <w:b/>
          <w:bCs/>
          <w:color w:val="1A2B49"/>
          <w:sz w:val="22"/>
          <w:szCs w:val="22"/>
        </w:rPr>
        <w:t xml:space="preserve">What carries the signal after you remove the obvious field?</w:t>
      </w:r>
    </w:p>
    <w:p>
      <w:pPr>
        <w:spacing w:after="60"/>
      </w:pPr>
      <w:r>
        <w:t xml:space="preserve">Postcode, name, language of the query, product history, account tenure. Here is the test that takes an afternoon: if you removed a demographic field and outcomes did not change, the field was not driving the outcome and something else is. Removal without verification is the most common cosmetic fix in this industry.</w:t>
      </w:r>
    </w:p>
    <w:p>
      <w:pPr>
        <w:spacing w:after="50" w:before="180"/>
      </w:pPr>
      <w:r>
        <w:rPr>
          <w:b/>
          <w:bCs/>
          <w:color w:val="E8A33D"/>
          <w:sz w:val="22"/>
          <w:szCs w:val="22"/>
        </w:rPr>
        <w:t xml:space="preserve">03   </w:t>
      </w:r>
      <w:r>
        <w:rPr>
          <w:b/>
          <w:bCs/>
          <w:color w:val="1A2B49"/>
          <w:sz w:val="22"/>
          <w:szCs w:val="22"/>
        </w:rPr>
        <w:t xml:space="preserve">Can your test set actually detect disparity?</w:t>
      </w:r>
    </w:p>
    <w:p>
      <w:pPr>
        <w:spacing w:after="60"/>
      </w:pPr>
      <w:r>
        <w:t xml:space="preserve">You need synthetic personas that vary only the attribute under test while holding financial substance constant — identical income, identical tenure, different name. And enough repetitions to see past the output variation you measured in Week 10, because single-shot comparison on a non-deterministic system produces confident nonsense.</w:t>
      </w:r>
    </w:p>
    <w:p>
      <w:pPr>
        <w:spacing w:after="50" w:before="180"/>
      </w:pPr>
      <w:r>
        <w:rPr>
          <w:b/>
          <w:bCs/>
          <w:color w:val="E8A33D"/>
          <w:sz w:val="22"/>
          <w:szCs w:val="22"/>
        </w:rPr>
        <w:t xml:space="preserve">04   </w:t>
      </w:r>
      <w:r>
        <w:rPr>
          <w:b/>
          <w:bCs/>
          <w:color w:val="1A2B49"/>
          <w:sz w:val="22"/>
          <w:szCs w:val="22"/>
        </w:rPr>
        <w:t xml:space="preserve">Do comparable customers get comparable answers on the things that matter?</w:t>
      </w:r>
    </w:p>
    <w:p>
      <w:pPr>
        <w:spacing w:after="60"/>
      </w:pPr>
      <w:r>
        <w:t xml:space="preserve">Run the personas against your consequential outputs and compare distributions, not individual responses. Then quantify: “one group receives discouraging guidance 40% of the time and another 15%” supports a decision. “There appears to be some difference” does not. And check whether any gap tracks something legitimately financial before calling it unfairness.</w:t>
      </w:r>
    </w:p>
    <w:p>
      <w:pPr>
        <w:spacing w:after="50" w:before="180"/>
      </w:pPr>
      <w:r>
        <w:rPr>
          <w:b/>
          <w:bCs/>
          <w:color w:val="E8A33D"/>
          <w:sz w:val="22"/>
          <w:szCs w:val="22"/>
        </w:rPr>
        <w:t xml:space="preserve">05   </w:t>
      </w:r>
      <w:r>
        <w:rPr>
          <w:b/>
          <w:bCs/>
          <w:color w:val="1A2B49"/>
          <w:sz w:val="22"/>
          <w:szCs w:val="22"/>
        </w:rPr>
        <w:t xml:space="preserve">Does it speak to everyone the same way?</w:t>
      </w:r>
    </w:p>
    <w:p>
      <w:pPr>
        <w:spacing w:after="60"/>
      </w:pPr>
      <w:r>
        <w:t xml:space="preserve">Not just what it decides — how it answers. Length, options offered, whether it volunteers next steps, how much it hedges. An assistant that is consistently terser or more cautious with one group is discouraging them at the margin, and no outcome metric will ever show it. Test non-standard and regional English specifically; for most banks that is not an edge case, it is the customer base.</w:t>
      </w:r>
    </w:p>
    <w:p>
      <w:pPr>
        <w:spacing w:after="50" w:before="180"/>
      </w:pPr>
      <w:r>
        <w:rPr>
          <w:b/>
          <w:bCs/>
          <w:color w:val="E8A33D"/>
          <w:sz w:val="22"/>
          <w:szCs w:val="22"/>
        </w:rPr>
        <w:t xml:space="preserve">06   </w:t>
      </w:r>
      <w:r>
        <w:rPr>
          <w:b/>
          <w:bCs/>
          <w:color w:val="1A2B49"/>
          <w:sz w:val="22"/>
          <w:szCs w:val="22"/>
        </w:rPr>
        <w:t xml:space="preserve">Have you tested combinations, not just single attributes?</w:t>
      </w:r>
    </w:p>
    <w:p>
      <w:pPr>
        <w:spacing w:after="60"/>
      </w:pPr>
      <w:r>
        <w:t xml:space="preserve">Disparity can be small on each attribute alone and large at the intersection — and single-attribute testing is structurally blind to it. You cannot test every combination, so choose by what is actually represented in your customer base. Be honest about which intersectional results are indicative rather than firm; the cells are smaller by construction.</w:t>
      </w:r>
    </w:p>
    <w:p>
      <w:pPr>
        <w:spacing w:after="50" w:before="180"/>
      </w:pPr>
      <w:r>
        <w:rPr>
          <w:b/>
          <w:bCs/>
          <w:color w:val="E8A33D"/>
          <w:sz w:val="22"/>
          <w:szCs w:val="22"/>
        </w:rPr>
        <w:t xml:space="preserve">07   </w:t>
      </w:r>
      <w:r>
        <w:rPr>
          <w:b/>
          <w:bCs/>
          <w:color w:val="1A2B49"/>
          <w:sz w:val="22"/>
          <w:szCs w:val="22"/>
        </w:rPr>
        <w:t xml:space="preserve">What level of difference is unacceptable — and who decided, when?</w:t>
      </w:r>
    </w:p>
    <w:p>
      <w:pPr>
        <w:spacing w:after="60"/>
      </w:pPr>
      <w:r>
        <w:t xml:space="preserve">Look at the sequence. A threshold set after the results are known is a rationalisation of current performance. It should be set per output type, in the same metric you are measuring, by someone with authority to accept the residual risk. And define what happens on breach, because “we will keep monitoring” is not a treatment.</w:t>
      </w:r>
    </w:p>
    <w:p>
      <w:pPr>
        <w:spacing w:after="50" w:before="180"/>
      </w:pPr>
      <w:r>
        <w:rPr>
          <w:b/>
          <w:bCs/>
          <w:color w:val="E8A33D"/>
          <w:sz w:val="22"/>
          <w:szCs w:val="22"/>
        </w:rPr>
        <w:t xml:space="preserve">08   </w:t>
      </w:r>
      <w:r>
        <w:rPr>
          <w:b/>
          <w:bCs/>
          <w:color w:val="1A2B49"/>
          <w:sz w:val="22"/>
          <w:szCs w:val="22"/>
        </w:rPr>
        <w:t xml:space="preserve">Does a finding change anything?</w:t>
      </w:r>
    </w:p>
    <w:p>
      <w:pPr>
        <w:spacing w:after="60"/>
      </w:pPr>
      <w:r>
        <w:t xml:space="preserve">Trace each disparity forward. Owner, treatment, date. Check the treatment addresses the cause — removing a proxy from display does not remove it from the model's reasoning. And watch for silent acceptance: disparity accepted with no named authority and no review date is the finding most likely to hurt if it ever surfaces externally.</w:t>
      </w:r>
    </w:p>
    <w:p>
      <w:pPr>
        <w:spacing w:after="50" w:before="180"/>
      </w:pPr>
      <w:r>
        <w:rPr>
          <w:b/>
          <w:bCs/>
          <w:color w:val="E8A33D"/>
          <w:sz w:val="22"/>
          <w:szCs w:val="22"/>
        </w:rPr>
        <w:t xml:space="preserve">09   </w:t>
      </w:r>
      <w:r>
        <w:rPr>
          <w:b/>
          <w:bCs/>
          <w:color w:val="1A2B49"/>
          <w:sz w:val="22"/>
          <w:szCs w:val="22"/>
        </w:rPr>
        <w:t xml:space="preserve">Was it re-tested after you fixed it?</w:t>
      </w:r>
    </w:p>
    <w:p>
      <w:pPr>
        <w:spacing w:after="60"/>
      </w:pPr>
      <w:r>
        <w:t xml:space="preserve">Fairness remediations frequently move the disparity to a different group rather than removing it. A fix that has not been re-measured is a change, not a remediation.</w:t>
      </w:r>
    </w:p>
    <w:p>
      <w:pPr>
        <w:spacing w:after="50" w:before="180"/>
      </w:pPr>
      <w:r>
        <w:rPr>
          <w:b/>
          <w:bCs/>
          <w:color w:val="E8A33D"/>
          <w:sz w:val="22"/>
          <w:szCs w:val="22"/>
        </w:rPr>
        <w:t xml:space="preserve">10   </w:t>
      </w:r>
      <w:r>
        <w:rPr>
          <w:b/>
          <w:bCs/>
          <w:color w:val="1A2B49"/>
          <w:sz w:val="22"/>
          <w:szCs w:val="22"/>
        </w:rPr>
        <w:t xml:space="preserve">Would you notice if it got worse?</w:t>
      </w:r>
    </w:p>
    <w:p>
      <w:pPr>
        <w:spacing w:after="60"/>
      </w:pPr>
      <w:r>
        <w:t xml:space="preserve">Fairness is not a launch gate — it moves with every model change, every prompt change, and every shift in your customer mix. If you did Weeks 08 and 09, both have already happened. And ask honestly how you would learn that the assistant had started discouraging one group more than another. Complaint data cannot tell you: the harm is silent by construction.</w:t>
      </w:r>
    </w:p>
    <w:p>
      <w:pPr>
        <w:spacing w:after="160"/>
      </w:pPr>
      <w:r>
        <w:t xml:space="preserve"/>
      </w:r>
    </w:p>
    <w:p>
      <w:pPr>
        <w:pStyle w:val="Heading1"/>
        <w:spacing w:after="120" w:before="240"/>
      </w:pPr>
      <w:r>
        <w:t xml:space="preserve">What we found in the reference system</w:t>
      </w:r>
    </w:p>
    <w:p>
      <w:pPr>
        <w:spacing w:after="120"/>
      </w:pPr>
      <w:r>
        <w:t xml:space="preserve">Kannan's Virtual Bank is a fictional retail bank and its assistant is deliberately imperfect — that is the point of it. Running the ten checks produced three findings.</w:t>
      </w:r>
    </w:p>
    <w:p>
      <w:pPr>
        <w:pStyle w:val="Heading3"/>
        <w:spacing w:after="80" w:before="160"/>
      </w:pPr>
      <w:r>
        <w:t xml:space="preserve">1 · No fairness definition was ever chosen, so nothing could be tested</w:t>
      </w:r>
    </w:p>
    <w:p>
      <w:pPr>
        <w:spacing w:after="120"/>
      </w:pPr>
      <w:r>
        <w:t xml:space="preserve">Fairness definitions conflict mathematically — you cannot satisfy equal outcomes and equal error rates simultaneously except in trivial cases. Choosing none is not neutrality; it makes the question untestable. Headline finding. Maps to W11-01.</w:t>
      </w:r>
    </w:p>
    <w:p>
      <w:pPr>
        <w:pStyle w:val="Heading3"/>
        <w:spacing w:after="80" w:before="160"/>
      </w:pPr>
      <w:r>
        <w:t xml:space="preserve">2 · Identical questions asked as different personas produce materially different eligibility guidance</w:t>
      </w:r>
    </w:p>
    <w:p>
      <w:pPr>
        <w:spacing w:after="120"/>
      </w:pPr>
      <w:r>
        <w:t xml:space="preserve">The consequential output from Week 06 treats comparable customers differently, and this had never been measured. Maps to W11-04, W11-06.</w:t>
      </w:r>
    </w:p>
    <w:p>
      <w:pPr>
        <w:pStyle w:val="Heading3"/>
        <w:spacing w:after="80" w:before="160"/>
      </w:pPr>
      <w:r>
        <w:t xml:space="preserve">3 · Language and tone disparity was never considered at all</w:t>
      </w:r>
    </w:p>
    <w:p>
      <w:pPr>
        <w:spacing w:after="120"/>
      </w:pPr>
      <w:r>
        <w:t xml:space="preserve">Even organisations that test outcomes rarely test how the assistant speaks. Systematically terser or more cautious responses to one group is a genuine harm that outcome metrics cannot see. Maps to W11-05.</w:t>
      </w:r>
    </w:p>
    <w:p>
      <w:pPr>
        <w:spacing w:after="140"/>
      </w:pPr>
      <w:r>
        <w:t xml:space="preserve"/>
      </w:r>
    </w:p>
    <w:p>
      <w:pPr>
        <w:pStyle w:val="Heading1"/>
        <w:spacing w:after="120" w:before="240"/>
      </w:pPr>
      <w:r>
        <w:t xml:space="preserve">Using the workbook this week</w:t>
      </w:r>
    </w:p>
    <w:p>
      <w:pPr>
        <w:pStyle w:val="ListParagraph"/>
        <w:numPr>
          <w:ilvl w:val="0"/>
          <w:numId w:val="2"/>
        </w:numPr>
        <w:spacing w:after="60"/>
      </w:pPr>
      <w:r>
        <w:t xml:space="preserve">Open the W11 tab — ten checks mapped to the questions above.</w:t>
      </w:r>
    </w:p>
    <w:p>
      <w:pPr>
        <w:pStyle w:val="ListParagraph"/>
        <w:numPr>
          <w:ilvl w:val="0"/>
          <w:numId w:val="2"/>
        </w:numPr>
        <w:spacing w:after="60"/>
      </w:pPr>
      <w:r>
        <w:t xml:space="preserve">Work them against your own system, not a description of it. Set a Status and write what you actually saw.</w:t>
      </w:r>
    </w:p>
    <w:p>
      <w:pPr>
        <w:pStyle w:val="ListParagraph"/>
        <w:numPr>
          <w:ilvl w:val="0"/>
          <w:numId w:val="2"/>
        </w:numPr>
        <w:spacing w:after="60"/>
      </w:pPr>
      <w:r>
        <w:t xml:space="preserve">Every Fail or Partial gets a Findings Register line with a severity you would defend. Every Pass gets an Evidence Log item.</w:t>
      </w:r>
    </w:p>
    <w:p>
      <w:pPr>
        <w:pStyle w:val="ListParagraph"/>
        <w:numPr>
          <w:ilvl w:val="0"/>
          <w:numId w:val="2"/>
        </w:numPr>
        <w:spacing w:after="60"/>
      </w:pPr>
      <w:r>
        <w:t xml:space="preserve">Capture evidence as you test, not afterwards. Screenshots need the date and the input visible.</w:t>
      </w:r>
    </w:p>
    <w:p>
      <w:pPr>
        <w:pStyle w:val="ListParagraph"/>
        <w:numPr>
          <w:ilvl w:val="0"/>
          <w:numId w:val="2"/>
        </w:numPr>
        <w:spacing w:after="60"/>
      </w:pPr>
      <w:r>
        <w:t xml:space="preserve">Carry anything unresolved forward rather than closing it to keep the register tidy. An open finding is more useful than a clean one.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Next week — Week 12: Safety &amp; Red-teaming.  </w:t>
            </w:r>
            <w:r>
              <w:t xml:space="preserve">Every test so far has assumed a cooperative user. Next week we assume the opposite.</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p>
      <w:pPr>
        <w:spacing w:after="100"/>
      </w:pPr>
      <w:r>
        <w:rPr>
          <w:color w:val="555555"/>
          <w:sz w:val="17"/>
          <w:szCs w:val="17"/>
        </w:rPr>
        <w:t xml:space="preserve">Kannan K  ·  AI Governance &amp; Cybersecurity Leader  ·  AIGP · CISM · CISA · ISO 27001 &amp; 42001 LA · SC-100 · MCT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Field Guide · Week 11 Fairness &amp; Bias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Practical AI Auditing  ·  Week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2026-08-05T11:34:21.122Z</dcterms:created>
  <dcterms:modified xsi:type="dcterms:W3CDTF">2026-08-05T11:34:21.122Z</dcterms:modified>
</cp:coreProperties>
</file>

<file path=docProps/custom.xml><?xml version="1.0" encoding="utf-8"?>
<Properties xmlns="http://schemas.openxmlformats.org/officeDocument/2006/custom-properties" xmlns:vt="http://schemas.openxmlformats.org/officeDocument/2006/docPropsVTypes"/>
</file>