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FIELD GUIDE  ·  WEEK 10</w:t>
      </w:r>
    </w:p>
    <w:p>
      <w:pPr>
        <w:pStyle w:val="Heading1"/>
        <w:spacing w:after="70"/>
      </w:pPr>
      <w:r>
        <w:t xml:space="preserve">Functional &amp; Accuracy</w:t>
      </w:r>
    </w:p>
    <w:p>
      <w:pPr>
        <w:spacing w:after="60"/>
      </w:pPr>
      <w:r>
        <w:rPr>
          <w:i/>
          <w:iCs/>
          <w:color w:val="555555"/>
          <w:sz w:val="22"/>
          <w:szCs w:val="22"/>
        </w:rPr>
        <w:t xml:space="preserve">How often is it right? And how would you know?</w:t>
      </w:r>
    </w:p>
    <w:p>
      <w:pPr>
        <w:spacing w:after="180"/>
      </w:pPr>
      <w:r>
        <w:rPr>
          <w:color w:val="1A2B49"/>
          <w:sz w:val="18"/>
          <w:szCs w:val="18"/>
        </w:rPr>
        <w:t xml:space="preserve">Kannan K  ·  AI Governance &amp; Cybersecurity Leader  ·  Part of AI Governance, Unpacked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idea in this week.  </w:t>
            </w:r>
            <w:r>
              <w:t xml:space="preserve">Almost every organisation running an AI assistant will tell you it works well. Very few can tell you how often it is correct, because almost nobody defined what correct means before they shipped. Accuracy that has never been measured is not a fact about the system — it is a feeling about the demo.</w:t>
            </w:r>
          </w:p>
        </w:tc>
      </w:tr>
    </w:tbl>
    <w:p>
      <w:pPr>
        <w:spacing w:after="140"/>
      </w:pPr>
      <w:r>
        <w:t xml:space="preserve"/>
      </w:r>
    </w:p>
    <w:p>
      <w:pPr>
        <w:pStyle w:val="Heading1"/>
        <w:spacing w:after="120" w:before="240"/>
      </w:pPr>
      <w:r>
        <w:t xml:space="preserve">Where the obligations sit — and an important precision point</w:t>
      </w:r>
    </w:p>
    <w:p>
      <w:pPr>
        <w:spacing w:after="120"/>
      </w:pPr>
      <w:r>
        <w:t xml:space="preserve">EU AI Act Article 15 requires high-risk AI systems to achieve an appropriate level of accuracy and robustness, and to declare the accuracy metrics in their instructions for use. For a limited-risk system like the one in this series, that does not bind — but it is exactly the right benchmark, because it describes what a competent organisation would do anyway.</w:t>
      </w:r>
    </w:p>
    <w:p>
      <w:pPr>
        <w:spacing w:after="120"/>
      </w:pPr>
      <w:r>
        <w:t xml:space="preserve">The standards picture is worth stating precisely, because it is widely misdescribed. CEN-CENELEC's JTC 21 is developing the harmonised European standards that will support the AI Act, covering accuracy, robustness, data quality and the rest. As of mid-2026 none of those deliverables had been cited in the Official Journal of the EU, which means none yet confers a presumption of conformity. CEN-CENELEC has targeted availability of the priority deliverables by the end of 2026.</w:t>
      </w:r>
    </w:p>
    <w:p>
      <w:pPr>
        <w:spacing w:after="120"/>
      </w:pPr>
      <w:r>
        <w:t xml:space="preserve">The practical consequence: aligning your testing to a draft standard builds readiness and produces audit evidence, but it does not yet give you presumption of conformity, and anyone telling you otherwise is ahead of the facts. In the meantime EN ISO/IEC 25059 on the quality model for AI systems and ISO/IEC TR 24029-1 on robustness assessment are the most useful published references.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E8A33D" w:sz="18"/>
              <w:bottom w:val="single" w:color="DDDDDD" w:sz="2"/>
              <w:right w:val="single" w:color="DDDDDD" w:sz="2"/>
            </w:tcBorders>
            <w:shd w:fill="FBF7F0" w:val="clear"/>
            <w:tcMar>
              <w:top w:type="dxa" w:w="130"/>
              <w:left w:type="dxa" w:w="170"/>
              <w:bottom w:type="dxa" w:w="130"/>
              <w:right w:type="dxa" w:w="170"/>
            </w:tcMar>
          </w:tcPr>
          <w:p>
            <w:r>
              <w:rPr>
                <w:b/>
                <w:bCs/>
                <w:color w:val="1A2B49"/>
              </w:rPr>
              <w:t xml:space="preserve">Say this precisely.  </w:t>
            </w:r>
            <w:r>
              <w:t xml:space="preserve">“The harmonised standards are published” is wrong, and it is the kind of error that costs you credibility with an audience that includes people tracking this closely. The accurate statement as of now: the standards are in development, targeted for availability by end-2026, and none has yet been cited in the Official Journal — so none confers presumption of conformity today.</w:t>
            </w:r>
          </w:p>
        </w:tc>
      </w:tr>
    </w:tbl>
    <w:p>
      <w:pPr>
        <w:spacing w:after="140"/>
      </w:pPr>
      <w:r>
        <w:t xml:space="preserve"/>
      </w:r>
    </w:p>
    <w:p>
      <w:pPr>
        <w:pStyle w:val="Heading1"/>
        <w:spacing w:after="120" w:before="240"/>
      </w:pPr>
      <w:r>
        <w:t xml:space="preserve">The ten questions to ask of your own AI system</w:t>
      </w:r>
    </w:p>
    <w:p>
      <w:pPr>
        <w:spacing w:after="120"/>
      </w:pPr>
      <w:r>
        <w:t xml:space="preserve">These map one-to-one to the W10 tab in the workbook. Work them in order.</w:t>
      </w:r>
    </w:p>
    <w:p>
      <w:pPr>
        <w:spacing w:after="50" w:before="180"/>
      </w:pPr>
      <w:r>
        <w:rPr>
          <w:b/>
          <w:bCs/>
          <w:color w:val="E8A33D"/>
          <w:sz w:val="22"/>
          <w:szCs w:val="22"/>
        </w:rPr>
        <w:t xml:space="preserve">01   </w:t>
      </w:r>
      <w:r>
        <w:rPr>
          <w:b/>
          <w:bCs/>
          <w:color w:val="1A2B49"/>
          <w:sz w:val="22"/>
          <w:szCs w:val="22"/>
        </w:rPr>
        <w:t xml:space="preserve">What does 'correct' mean for each of your outputs — in writing?</w:t>
      </w:r>
    </w:p>
    <w:p>
      <w:pPr>
        <w:spacing w:after="60"/>
      </w:pPr>
      <w:r>
        <w:t xml:space="preserve">Different outputs need different standards. A balance enquiry is correct if it matches the source system exactly. An eligibility statement is correct if it reflects published criteria and does not overstate certainty. And define the hard cases too: what is a correct response to a question the assistant cannot answer? If correctness has only been defined for the happy path, most of your real traffic is unjudged.</w:t>
      </w:r>
    </w:p>
    <w:p>
      <w:pPr>
        <w:spacing w:after="50" w:before="180"/>
      </w:pPr>
      <w:r>
        <w:rPr>
          <w:b/>
          <w:bCs/>
          <w:color w:val="E8A33D"/>
          <w:sz w:val="22"/>
          <w:szCs w:val="22"/>
        </w:rPr>
        <w:t xml:space="preserve">02   </w:t>
      </w:r>
      <w:r>
        <w:rPr>
          <w:b/>
          <w:bCs/>
          <w:color w:val="1A2B49"/>
          <w:sz w:val="22"/>
          <w:szCs w:val="22"/>
        </w:rPr>
        <w:t xml:space="preserve">Do you have a set of questions with known-correct answers?</w:t>
      </w:r>
    </w:p>
    <w:p>
      <w:pPr>
        <w:spacing w:after="60"/>
      </w:pPr>
      <w:r>
        <w:t xml:space="preserve">Not demo prompts — questions paired with answers someone with policy authority has agreed. Then check it reflects what customers actually ask, rather than what the system handles well. That gap is the entire reason for measuring. And use synthetic data: test sets get copied, shared and stored casually.</w:t>
      </w:r>
    </w:p>
    <w:p>
      <w:pPr>
        <w:spacing w:after="50" w:before="180"/>
      </w:pPr>
      <w:r>
        <w:rPr>
          <w:b/>
          <w:bCs/>
          <w:color w:val="E8A33D"/>
          <w:sz w:val="22"/>
          <w:szCs w:val="22"/>
        </w:rPr>
        <w:t xml:space="preserve">03   </w:t>
      </w:r>
      <w:r>
        <w:rPr>
          <w:b/>
          <w:bCs/>
          <w:color w:val="1A2B49"/>
          <w:sz w:val="22"/>
          <w:szCs w:val="22"/>
        </w:rPr>
        <w:t xml:space="preserve">What is your accuracy number, and when was it measured?</w:t>
      </w:r>
    </w:p>
    <w:p>
      <w:pPr>
        <w:spacing w:after="60"/>
      </w:pPr>
      <w:r>
        <w:t xml:space="preserve">Ask what version of the model it was measured on. If a model change has happened since — and if you did Week 08 you may have found one — the number describes a system you no longer run. Then do the fifteen-minute version yourself: take ten test questions, run them, and compare to the recorded figure.</w:t>
      </w:r>
    </w:p>
    <w:p>
      <w:pPr>
        <w:spacing w:after="50" w:before="180"/>
      </w:pPr>
      <w:r>
        <w:rPr>
          <w:b/>
          <w:bCs/>
          <w:color w:val="E8A33D"/>
          <w:sz w:val="22"/>
          <w:szCs w:val="22"/>
        </w:rPr>
        <w:t xml:space="preserve">04   </w:t>
      </w:r>
      <w:r>
        <w:rPr>
          <w:b/>
          <w:bCs/>
          <w:color w:val="1A2B49"/>
          <w:sz w:val="22"/>
          <w:szCs w:val="22"/>
        </w:rPr>
        <w:t xml:space="preserve">What happens when you ask about a product that does not exist?</w:t>
      </w:r>
    </w:p>
    <w:p>
      <w:pPr>
        <w:spacing w:after="60"/>
      </w:pPr>
      <w:r>
        <w:t xml:space="preserve">This is the characteristic failure mode and most organisations have never quantified it. Ask about a plausible-sounding product you do not offer — not an absurd one, because nobody asks about those. Then count: correct decline, hedged invention, or confident invention. Twenty questions gives you a rate. Three gives you an anecdote.</w:t>
      </w:r>
    </w:p>
    <w:p>
      <w:pPr>
        <w:spacing w:after="50" w:before="180"/>
      </w:pPr>
      <w:r>
        <w:rPr>
          <w:b/>
          <w:bCs/>
          <w:color w:val="E8A33D"/>
          <w:sz w:val="22"/>
          <w:szCs w:val="22"/>
        </w:rPr>
        <w:t xml:space="preserve">05   </w:t>
      </w:r>
      <w:r>
        <w:rPr>
          <w:b/>
          <w:bCs/>
          <w:color w:val="1A2B49"/>
          <w:sz w:val="22"/>
          <w:szCs w:val="22"/>
        </w:rPr>
        <w:t xml:space="preserve">Does it refuse what it should — and does it over-refuse?</w:t>
      </w:r>
    </w:p>
    <w:p>
      <w:pPr>
        <w:spacing w:after="60"/>
      </w:pPr>
      <w:r>
        <w:t xml:space="preserve">Test each documented boundary across several phrasings, because refusal that depends on wording is not a control. Then test the other direction: an assistant that declines legitimate questions is failing customers, and that failure never appears in an incident report because nothing alarming happened. Pay particular attention to hardship and complaint scenarios.</w:t>
      </w:r>
    </w:p>
    <w:p>
      <w:pPr>
        <w:spacing w:after="50" w:before="180"/>
      </w:pPr>
      <w:r>
        <w:rPr>
          <w:b/>
          <w:bCs/>
          <w:color w:val="E8A33D"/>
          <w:sz w:val="22"/>
          <w:szCs w:val="22"/>
        </w:rPr>
        <w:t xml:space="preserve">06   </w:t>
      </w:r>
      <w:r>
        <w:rPr>
          <w:b/>
          <w:bCs/>
          <w:color w:val="1A2B49"/>
          <w:sz w:val="22"/>
          <w:szCs w:val="22"/>
        </w:rPr>
        <w:t xml:space="preserve">How much does the answer change when you ask the same thing twice?</w:t>
      </w:r>
    </w:p>
    <w:p>
      <w:pPr>
        <w:spacing w:after="60"/>
      </w:pPr>
      <w:r>
        <w:t xml:space="preserve">Ask a consequential question ten times in fresh sessions. Cosmetic wording differences are fine. Substantively different guidance is not — it means two identical customers get different treatment for no reason, which is an accuracy problem and a fairness problem at once. Most teams know the model is non-deterministic and have never measured what that means for their outputs.</w:t>
      </w:r>
    </w:p>
    <w:p>
      <w:pPr>
        <w:spacing w:after="50" w:before="180"/>
      </w:pPr>
      <w:r>
        <w:rPr>
          <w:b/>
          <w:bCs/>
          <w:color w:val="E8A33D"/>
          <w:sz w:val="22"/>
          <w:szCs w:val="22"/>
        </w:rPr>
        <w:t xml:space="preserve">07   </w:t>
      </w:r>
      <w:r>
        <w:rPr>
          <w:b/>
          <w:bCs/>
          <w:color w:val="1A2B49"/>
          <w:sz w:val="22"/>
          <w:szCs w:val="22"/>
        </w:rPr>
        <w:t xml:space="preserve">Have you tested how customers actually write?</w:t>
      </w:r>
    </w:p>
    <w:p>
      <w:pPr>
        <w:spacing w:after="60"/>
      </w:pPr>
      <w:r>
        <w:t xml:space="preserve">Incomplete questions, two questions at once, contradictory information, misspellings, mixed-language input, regional phrasing. For most banks that is not an edge case, it is the customer base. And watch for the specific failure: confidently answering a question that was genuinely ambiguous. That is worse than declining.</w:t>
      </w:r>
    </w:p>
    <w:p>
      <w:pPr>
        <w:spacing w:after="50" w:before="180"/>
      </w:pPr>
      <w:r>
        <w:rPr>
          <w:b/>
          <w:bCs/>
          <w:color w:val="E8A33D"/>
          <w:sz w:val="22"/>
          <w:szCs w:val="22"/>
        </w:rPr>
        <w:t xml:space="preserve">08   </w:t>
      </w:r>
      <w:r>
        <w:rPr>
          <w:b/>
          <w:bCs/>
          <w:color w:val="1A2B49"/>
          <w:sz w:val="22"/>
          <w:szCs w:val="22"/>
        </w:rPr>
        <w:t xml:space="preserve">Is your accuracy figure hiding your worst category?</w:t>
      </w:r>
    </w:p>
    <w:p>
      <w:pPr>
        <w:spacing w:after="60"/>
      </w:pPr>
      <w:r>
        <w:t xml:space="preserve">Aggregate accuracy is a weighted average and the weights are usually accidental. Break it down by output type. If your test set is mostly easy questions, a strong headline number can sit on top of poor performance exactly where it matters. Report the consequential outputs separately and prominently — especially to management, who otherwise see only the average.</w:t>
      </w:r>
    </w:p>
    <w:p>
      <w:pPr>
        <w:spacing w:after="50" w:before="180"/>
      </w:pPr>
      <w:r>
        <w:rPr>
          <w:b/>
          <w:bCs/>
          <w:color w:val="E8A33D"/>
          <w:sz w:val="22"/>
          <w:szCs w:val="22"/>
        </w:rPr>
        <w:t xml:space="preserve">09   </w:t>
      </w:r>
      <w:r>
        <w:rPr>
          <w:b/>
          <w:bCs/>
          <w:color w:val="1A2B49"/>
          <w:sz w:val="22"/>
          <w:szCs w:val="22"/>
        </w:rPr>
        <w:t xml:space="preserve">Who agreed what 'good enough' is, and when?</w:t>
      </w:r>
    </w:p>
    <w:p>
      <w:pPr>
        <w:spacing w:after="60"/>
      </w:pPr>
      <w:r>
        <w:t xml:space="preserve">Look at the sequence. Thresholds set after results were known are not thresholds, they are a description of current performance. They should be set per output type by the accountable owner, differentiated by consequence — the same threshold on a balance enquiry and on eligibility guidance implies those failures cost the same. And define what happens on breach, or the threshold is just a target.</w:t>
      </w:r>
    </w:p>
    <w:p>
      <w:pPr>
        <w:spacing w:after="50" w:before="180"/>
      </w:pPr>
      <w:r>
        <w:rPr>
          <w:b/>
          <w:bCs/>
          <w:color w:val="E8A33D"/>
          <w:sz w:val="22"/>
          <w:szCs w:val="22"/>
        </w:rPr>
        <w:t xml:space="preserve">10   </w:t>
      </w:r>
      <w:r>
        <w:rPr>
          <w:b/>
          <w:bCs/>
          <w:color w:val="1A2B49"/>
          <w:sz w:val="22"/>
          <w:szCs w:val="22"/>
        </w:rPr>
        <w:t xml:space="preserve">Would you notice if it got worse?</w:t>
      </w:r>
    </w:p>
    <w:p>
      <w:pPr>
        <w:spacing w:after="60"/>
      </w:pPr>
      <w:r>
        <w:t xml:space="preserve">Ask how you would learn that the assistant had started giving subtly wrong eligibility guidance. For most systems the honest answer is that you would not — the customer simply goes away and does not complain. That is the same invisible harm from Week 06, showing up again. Pre-release testing measures the system you launched, not the one running now.</w:t>
      </w:r>
    </w:p>
    <w:p>
      <w:pPr>
        <w:spacing w:after="160"/>
      </w:pPr>
      <w:r>
        <w:t xml:space="preserve"/>
      </w:r>
    </w:p>
    <w:p>
      <w:pPr>
        <w:pStyle w:val="Heading1"/>
        <w:spacing w:after="120" w:before="240"/>
      </w:pPr>
      <w:r>
        <w:t xml:space="preserve">What we found in the reference system</w:t>
      </w:r>
    </w:p>
    <w:p>
      <w:pPr>
        <w:spacing w:after="120"/>
      </w:pPr>
      <w:r>
        <w:t xml:space="preserve">Kannan's Virtual Bank is a fictional retail bank and its assistant is deliberately imperfect — that is the point of it. Running the ten checks produced three findings.</w:t>
      </w:r>
    </w:p>
    <w:p>
      <w:pPr>
        <w:pStyle w:val="Heading3"/>
        <w:spacing w:after="80" w:before="160"/>
      </w:pPr>
      <w:r>
        <w:t xml:space="preserve">1 · Nobody defined what 'correct' means, so accuracy has never been measured</w:t>
      </w:r>
    </w:p>
    <w:p>
      <w:pPr>
        <w:spacing w:after="120"/>
      </w:pPr>
      <w:r>
        <w:t xml:space="preserve">There is no ground-truth test set, no baseline, and no acceptance threshold. Confidence in the system rests on demonstrations and the absence of complaints. Headline finding. Maps to W10-01, W10-02, W10-03.</w:t>
      </w:r>
    </w:p>
    <w:p>
      <w:pPr>
        <w:pStyle w:val="Heading3"/>
        <w:spacing w:after="80" w:before="160"/>
      </w:pPr>
      <w:r>
        <w:t xml:space="preserve">2 · Asked about products that do not exist, the assistant invents them</w:t>
      </w:r>
    </w:p>
    <w:p>
      <w:pPr>
        <w:spacing w:after="120"/>
      </w:pPr>
      <w:r>
        <w:t xml:space="preserve">Confident invention of rates and terms for a non-existent product, with no measurement of how often this happens. The characteristic failure mode of the technology, entirely unquantified. Maps to W10-04.</w:t>
      </w:r>
    </w:p>
    <w:p>
      <w:pPr>
        <w:pStyle w:val="Heading3"/>
        <w:spacing w:after="80" w:before="160"/>
      </w:pPr>
      <w:r>
        <w:t xml:space="preserve">3 · Accuracy is not broken down by output type, so the consequential output hides inside the average</w:t>
      </w:r>
    </w:p>
    <w:p>
      <w:pPr>
        <w:spacing w:after="120"/>
      </w:pPr>
      <w:r>
        <w:t xml:space="preserve">Even where informal testing happened, results were aggregate. The eligibility output — the one that matters most — has never been measured separately. Maps to W10-08.</w:t>
      </w:r>
    </w:p>
    <w:p>
      <w:pPr>
        <w:spacing w:after="140"/>
      </w:pPr>
      <w:r>
        <w:t xml:space="preserve"/>
      </w:r>
    </w:p>
    <w:p>
      <w:pPr>
        <w:pStyle w:val="Heading1"/>
        <w:spacing w:after="120" w:before="240"/>
      </w:pPr>
      <w:r>
        <w:t xml:space="preserve">Using the workbook this week</w:t>
      </w:r>
    </w:p>
    <w:p>
      <w:pPr>
        <w:pStyle w:val="ListParagraph"/>
        <w:numPr>
          <w:ilvl w:val="0"/>
          <w:numId w:val="2"/>
        </w:numPr>
        <w:spacing w:after="60"/>
      </w:pPr>
      <w:r>
        <w:t xml:space="preserve">Open the W10 tab — ten checks mapped to the questions above.</w:t>
      </w:r>
    </w:p>
    <w:p>
      <w:pPr>
        <w:pStyle w:val="ListParagraph"/>
        <w:numPr>
          <w:ilvl w:val="0"/>
          <w:numId w:val="2"/>
        </w:numPr>
        <w:spacing w:after="60"/>
      </w:pPr>
      <w:r>
        <w:t xml:space="preserve">Work them against your own system, not a description of it. Set a Status and write what you actually saw.</w:t>
      </w:r>
    </w:p>
    <w:p>
      <w:pPr>
        <w:pStyle w:val="ListParagraph"/>
        <w:numPr>
          <w:ilvl w:val="0"/>
          <w:numId w:val="2"/>
        </w:numPr>
        <w:spacing w:after="60"/>
      </w:pPr>
      <w:r>
        <w:t xml:space="preserve">Every Fail or Partial gets a Findings Register line with a severity you would defend. Every Pass gets an Evidence Log item.</w:t>
      </w:r>
    </w:p>
    <w:p>
      <w:pPr>
        <w:pStyle w:val="ListParagraph"/>
        <w:numPr>
          <w:ilvl w:val="0"/>
          <w:numId w:val="2"/>
        </w:numPr>
        <w:spacing w:after="60"/>
      </w:pPr>
      <w:r>
        <w:t xml:space="preserve">Capture evidence as you test, not afterwards. Screenshots need the date and the input visible.</w:t>
      </w:r>
    </w:p>
    <w:p>
      <w:pPr>
        <w:pStyle w:val="ListParagraph"/>
        <w:numPr>
          <w:ilvl w:val="0"/>
          <w:numId w:val="2"/>
        </w:numPr>
        <w:spacing w:after="60"/>
      </w:pPr>
      <w:r>
        <w:t xml:space="preserve">Carry anything unresolved forward rather than closing it to keep the register tidy. An open finding is more useful than a clean one.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Next week — Week 11: Fairness &amp; Bias.  </w:t>
            </w:r>
            <w:r>
              <w:t xml:space="preserve">We have measured whether it is right. Next: whether it is right equally, for everyone.</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p>
      <w:pPr>
        <w:spacing w:after="100"/>
      </w:pPr>
      <w:r>
        <w:rPr>
          <w:color w:val="555555"/>
          <w:sz w:val="17"/>
          <w:szCs w:val="17"/>
        </w:rPr>
        <w:t xml:space="preserve">Kannan K  ·  AI Governance &amp; Cybersecurity Leader  ·  AIGP · CISM · CISA · ISO 27001 &amp; 42001 LA · SC-100 · MCT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Field Guide · Week 10 Functional &amp; Accuracy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Practical AI Auditing  ·  Week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2026-08-05T11:34:20.755Z</dcterms:created>
  <dcterms:modified xsi:type="dcterms:W3CDTF">2026-08-05T11:34:20.755Z</dcterms:modified>
</cp:coreProperties>
</file>

<file path=docProps/custom.xml><?xml version="1.0" encoding="utf-8"?>
<Properties xmlns="http://schemas.openxmlformats.org/officeDocument/2006/custom-properties" xmlns:vt="http://schemas.openxmlformats.org/officeDocument/2006/docPropsVTypes"/>
</file>