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69C3C" w14:textId="77777777" w:rsidR="009B3D4E" w:rsidRDefault="002570DD">
      <w:pPr>
        <w:spacing w:after="40"/>
      </w:pPr>
      <w:r>
        <w:rPr>
          <w:b/>
          <w:bCs/>
          <w:color w:val="0B6B62"/>
          <w:spacing w:val="40"/>
          <w:sz w:val="20"/>
          <w:szCs w:val="20"/>
        </w:rPr>
        <w:t xml:space="preserve">FIELD </w:t>
      </w:r>
      <w:proofErr w:type="gramStart"/>
      <w:r>
        <w:rPr>
          <w:b/>
          <w:bCs/>
          <w:color w:val="0B6B62"/>
          <w:spacing w:val="40"/>
          <w:sz w:val="20"/>
          <w:szCs w:val="20"/>
        </w:rPr>
        <w:t>GUIDE  ·</w:t>
      </w:r>
      <w:proofErr w:type="gramEnd"/>
      <w:r>
        <w:rPr>
          <w:b/>
          <w:bCs/>
          <w:color w:val="0B6B62"/>
          <w:spacing w:val="40"/>
          <w:sz w:val="20"/>
          <w:szCs w:val="20"/>
        </w:rPr>
        <w:t xml:space="preserve">  WEEK 07</w:t>
      </w:r>
    </w:p>
    <w:p w14:paraId="4ED69C3D" w14:textId="77777777" w:rsidR="009B3D4E" w:rsidRDefault="002570DD">
      <w:pPr>
        <w:pStyle w:val="Heading1"/>
        <w:spacing w:after="70"/>
      </w:pPr>
      <w:r>
        <w:t>Data Governance</w:t>
      </w:r>
    </w:p>
    <w:p w14:paraId="4ED69C3E" w14:textId="77777777" w:rsidR="009B3D4E" w:rsidRDefault="002570DD">
      <w:pPr>
        <w:spacing w:after="60"/>
      </w:pPr>
      <w:r>
        <w:rPr>
          <w:i/>
          <w:iCs/>
          <w:color w:val="555555"/>
          <w:sz w:val="22"/>
          <w:szCs w:val="22"/>
        </w:rPr>
        <w:t>What right do you have to the data flowing through your AI system — and can you prove it?</w:t>
      </w:r>
    </w:p>
    <w:p w14:paraId="4ED69C3F" w14:textId="77777777" w:rsidR="009B3D4E" w:rsidRDefault="002570DD">
      <w:pPr>
        <w:spacing w:after="180"/>
      </w:pPr>
      <w:r>
        <w:rPr>
          <w:color w:val="1A2B49"/>
          <w:sz w:val="18"/>
          <w:szCs w:val="18"/>
        </w:rPr>
        <w:t xml:space="preserve">Kannan </w:t>
      </w:r>
      <w:proofErr w:type="gramStart"/>
      <w:r>
        <w:rPr>
          <w:color w:val="1A2B49"/>
          <w:sz w:val="18"/>
          <w:szCs w:val="18"/>
        </w:rPr>
        <w:t>K  ·</w:t>
      </w:r>
      <w:proofErr w:type="gramEnd"/>
      <w:r>
        <w:rPr>
          <w:color w:val="1A2B49"/>
          <w:sz w:val="18"/>
          <w:szCs w:val="18"/>
        </w:rPr>
        <w:t xml:space="preserve">  AI Governance &amp; Cybersecurity </w:t>
      </w:r>
      <w:proofErr w:type="gramStart"/>
      <w:r>
        <w:rPr>
          <w:color w:val="1A2B49"/>
          <w:sz w:val="18"/>
          <w:szCs w:val="18"/>
        </w:rPr>
        <w:t>Leader  ·</w:t>
      </w:r>
      <w:proofErr w:type="gramEnd"/>
      <w:r>
        <w:rPr>
          <w:color w:val="1A2B49"/>
          <w:sz w:val="18"/>
          <w:szCs w:val="18"/>
        </w:rPr>
        <w:t xml:space="preserve">  Part of AI Governance, Unpacked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3D4E" w14:paraId="4ED69C41" w14:textId="77777777">
        <w:tblPrEx>
          <w:tblCellMar>
            <w:top w:w="0" w:type="dxa"/>
            <w:bottom w:w="0" w:type="dxa"/>
          </w:tblCellMar>
        </w:tblPrEx>
        <w:tc>
          <w:tcPr>
            <w:tcW w:w="9360" w:type="dxa"/>
            <w:tcBorders>
              <w:top w:val="single" w:sz="2" w:space="0" w:color="DDDDDD"/>
              <w:left w:val="single" w:sz="18" w:space="0" w:color="0B6B62"/>
              <w:bottom w:val="single" w:sz="2" w:space="0" w:color="DDDDDD"/>
              <w:right w:val="single" w:sz="2" w:space="0" w:color="DDDDDD"/>
            </w:tcBorders>
            <w:shd w:val="clear" w:color="auto" w:fill="F2F4F7"/>
            <w:tcMar>
              <w:top w:w="130" w:type="dxa"/>
              <w:left w:w="170" w:type="dxa"/>
              <w:bottom w:w="130" w:type="dxa"/>
              <w:right w:w="170" w:type="dxa"/>
            </w:tcMar>
          </w:tcPr>
          <w:p w14:paraId="4ED69C40" w14:textId="77777777" w:rsidR="009B3D4E" w:rsidRDefault="002570DD">
            <w:r>
              <w:rPr>
                <w:b/>
                <w:bCs/>
                <w:color w:val="1A2B49"/>
              </w:rPr>
              <w:t xml:space="preserve">The one idea in this week.  </w:t>
            </w:r>
            <w:r>
              <w:t>Most AI data problems are not breaches. They are purpose creep. Data gathered for one reason quietly starts powering an AI system for another, and nobody records a lawful basis for the new use or checks whether it is even compatible with the old one. The data may well be usable — but if nobody decided that, you cannot prove it, and “it is all our data anyway” is not the defence people think it is.</w:t>
            </w:r>
          </w:p>
        </w:tc>
      </w:tr>
    </w:tbl>
    <w:p w14:paraId="4ED69C42" w14:textId="77777777" w:rsidR="009B3D4E" w:rsidRDefault="009B3D4E">
      <w:pPr>
        <w:spacing w:after="140"/>
      </w:pPr>
    </w:p>
    <w:p w14:paraId="4ED69C43" w14:textId="77777777" w:rsidR="009B3D4E" w:rsidRDefault="002570DD">
      <w:pPr>
        <w:pStyle w:val="Heading1"/>
      </w:pPr>
      <w:r>
        <w:t>A change of spine</w:t>
      </w:r>
    </w:p>
    <w:p w14:paraId="4ED69C44" w14:textId="77777777" w:rsidR="009B3D4E" w:rsidRDefault="002570DD">
      <w:pPr>
        <w:spacing w:after="120"/>
      </w:pPr>
      <w:r>
        <w:t>For the last two weeks the EU AI Act has been our reference point. This week it steps back. Lawful basis, purpose limitation, data minimisation, retention, the rights of the individual — these are data-protection concepts, and they live in the GDPR and in India's DPDP Act, not primarily in the AI Act.</w:t>
      </w:r>
    </w:p>
    <w:p w14:paraId="4ED69C45" w14:textId="77777777" w:rsidR="009B3D4E" w:rsidRDefault="002570DD">
      <w:pPr>
        <w:spacing w:after="120"/>
      </w:pPr>
      <w:r>
        <w:t xml:space="preserve">The AI Act does have a data-governance article — Article 10 — and it is a good benchmark for what quality data governance looks like. But its obligations bite hardest on high-risk systems, and most customer-facing assistants are not classified that way. </w:t>
      </w:r>
      <w:proofErr w:type="gramStart"/>
      <w:r>
        <w:t>So</w:t>
      </w:r>
      <w:proofErr w:type="gramEnd"/>
      <w:r>
        <w:t xml:space="preserve"> this week, data-protection law leads, and Article 10 rides alongside as the standard to aim for. If your organisation operates in India, the DPDP Act now carries a hard deadline of its own, which we will come to.</w:t>
      </w:r>
    </w:p>
    <w:p w14:paraId="4ED69C46" w14:textId="77777777" w:rsidR="009B3D4E" w:rsidRDefault="002570DD">
      <w:pPr>
        <w:pStyle w:val="Heading1"/>
      </w:pPr>
      <w:r>
        <w:t>The five questions data governance really asks</w:t>
      </w:r>
    </w:p>
    <w:p w14:paraId="4ED69C47" w14:textId="77777777" w:rsidR="009B3D4E" w:rsidRDefault="002570DD">
      <w:pPr>
        <w:spacing w:after="120"/>
      </w:pPr>
      <w:r>
        <w:t>Strip away the vocabulary and every framework is asking the same five things about the data flowing through your AI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B3D4E" w14:paraId="4ED69C4A"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ED69C48" w14:textId="77777777" w:rsidR="009B3D4E" w:rsidRDefault="002570DD">
            <w:r>
              <w:rPr>
                <w:b/>
                <w:bCs/>
                <w:color w:val="FFFFFF"/>
                <w:sz w:val="18"/>
                <w:szCs w:val="18"/>
              </w:rPr>
              <w:t>The question</w:t>
            </w:r>
          </w:p>
        </w:tc>
        <w:tc>
          <w:tcPr>
            <w:tcW w:w="676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ED69C49" w14:textId="77777777" w:rsidR="009B3D4E" w:rsidRDefault="002570DD">
            <w:r>
              <w:rPr>
                <w:b/>
                <w:bCs/>
                <w:color w:val="FFFFFF"/>
                <w:sz w:val="18"/>
                <w:szCs w:val="18"/>
              </w:rPr>
              <w:t>What it means in practice</w:t>
            </w:r>
          </w:p>
        </w:tc>
      </w:tr>
      <w:tr w:rsidR="009B3D4E" w14:paraId="4ED69C4D"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ED69C4B" w14:textId="77777777" w:rsidR="009B3D4E" w:rsidRDefault="002570DD">
            <w:r>
              <w:rPr>
                <w:color w:val="000000"/>
                <w:sz w:val="18"/>
                <w:szCs w:val="18"/>
              </w:rPr>
              <w:t>Do you have the right to use it?</w:t>
            </w:r>
          </w:p>
        </w:tc>
        <w:tc>
          <w:tcPr>
            <w:tcW w:w="67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ED69C4C" w14:textId="77777777" w:rsidR="009B3D4E" w:rsidRDefault="002570DD">
            <w:r>
              <w:rPr>
                <w:color w:val="000000"/>
                <w:sz w:val="18"/>
                <w:szCs w:val="18"/>
              </w:rPr>
              <w:t>A lawful basis for this use, not just for holding the data. New purpose can mean new basis.</w:t>
            </w:r>
          </w:p>
        </w:tc>
      </w:tr>
      <w:tr w:rsidR="009B3D4E" w14:paraId="4ED69C50"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ED69C4E" w14:textId="77777777" w:rsidR="009B3D4E" w:rsidRDefault="002570DD">
            <w:r>
              <w:rPr>
                <w:color w:val="000000"/>
                <w:sz w:val="18"/>
                <w:szCs w:val="18"/>
              </w:rPr>
              <w:t>Is this what you collected it for?</w:t>
            </w:r>
          </w:p>
        </w:tc>
        <w:tc>
          <w:tcPr>
            <w:tcW w:w="676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ED69C4F" w14:textId="77777777" w:rsidR="009B3D4E" w:rsidRDefault="002570DD">
            <w:r>
              <w:rPr>
                <w:color w:val="000000"/>
                <w:sz w:val="18"/>
                <w:szCs w:val="18"/>
              </w:rPr>
              <w:t>Purpose limitation. Data gathered to service an account now feeding an AI assistant is a new purpose that needs assessing.</w:t>
            </w:r>
          </w:p>
        </w:tc>
      </w:tr>
      <w:tr w:rsidR="009B3D4E" w14:paraId="4ED69C53"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ED69C51" w14:textId="77777777" w:rsidR="009B3D4E" w:rsidRDefault="002570DD">
            <w:r>
              <w:rPr>
                <w:color w:val="000000"/>
                <w:sz w:val="18"/>
                <w:szCs w:val="18"/>
              </w:rPr>
              <w:t>Do you need all of it?</w:t>
            </w:r>
          </w:p>
        </w:tc>
        <w:tc>
          <w:tcPr>
            <w:tcW w:w="67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ED69C52" w14:textId="77777777" w:rsidR="009B3D4E" w:rsidRDefault="002570DD">
            <w:r>
              <w:rPr>
                <w:color w:val="000000"/>
                <w:sz w:val="18"/>
                <w:szCs w:val="18"/>
              </w:rPr>
              <w:t>Minimisation. Every field the system can reach should be one it actually needs. 'It was in the table' is not a reason.</w:t>
            </w:r>
          </w:p>
        </w:tc>
      </w:tr>
      <w:tr w:rsidR="009B3D4E" w14:paraId="4ED69C56"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ED69C54" w14:textId="77777777" w:rsidR="009B3D4E" w:rsidRDefault="002570DD">
            <w:r>
              <w:rPr>
                <w:color w:val="000000"/>
                <w:sz w:val="18"/>
                <w:szCs w:val="18"/>
              </w:rPr>
              <w:t>Where does it go?</w:t>
            </w:r>
          </w:p>
        </w:tc>
        <w:tc>
          <w:tcPr>
            <w:tcW w:w="676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ED69C55" w14:textId="77777777" w:rsidR="009B3D4E" w:rsidRDefault="002570DD">
            <w:r>
              <w:rPr>
                <w:color w:val="000000"/>
                <w:sz w:val="18"/>
                <w:szCs w:val="18"/>
              </w:rPr>
              <w:t>The data leaving your boundary to a model provider on every query — what is sent, retained, and whether it trains their models.</w:t>
            </w:r>
          </w:p>
        </w:tc>
      </w:tr>
      <w:tr w:rsidR="009B3D4E" w14:paraId="4ED69C59"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ED69C57" w14:textId="77777777" w:rsidR="009B3D4E" w:rsidRDefault="002570DD">
            <w:r>
              <w:rPr>
                <w:color w:val="000000"/>
                <w:sz w:val="18"/>
                <w:szCs w:val="18"/>
              </w:rPr>
              <w:t>When does it end?</w:t>
            </w:r>
          </w:p>
        </w:tc>
        <w:tc>
          <w:tcPr>
            <w:tcW w:w="67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ED69C58" w14:textId="77777777" w:rsidR="009B3D4E" w:rsidRDefault="002570DD">
            <w:r>
              <w:rPr>
                <w:color w:val="000000"/>
                <w:sz w:val="18"/>
                <w:szCs w:val="18"/>
              </w:rPr>
              <w:t>Retention and erasure. Data needs an end date, and the individual's right to have it deleted has to actually work.</w:t>
            </w:r>
          </w:p>
        </w:tc>
      </w:tr>
    </w:tbl>
    <w:p w14:paraId="4ED69C5A" w14:textId="77777777" w:rsidR="009B3D4E" w:rsidRDefault="009B3D4E">
      <w:pPr>
        <w:spacing w:after="140"/>
      </w:pPr>
    </w:p>
    <w:p w14:paraId="4ED69C5B" w14:textId="77777777" w:rsidR="009B3D4E" w:rsidRDefault="002570DD">
      <w:pPr>
        <w:pStyle w:val="Heading1"/>
      </w:pPr>
      <w:r>
        <w:t>The ten questions to ask of your own AI system</w:t>
      </w:r>
    </w:p>
    <w:p w14:paraId="4ED69C5C" w14:textId="77777777" w:rsidR="009B3D4E" w:rsidRDefault="002570DD">
      <w:pPr>
        <w:spacing w:after="120"/>
      </w:pPr>
      <w:r>
        <w:t>These map one-to-one to the W07 tab in the workbook. Work them in order.</w:t>
      </w:r>
    </w:p>
    <w:p w14:paraId="4ED69C5D" w14:textId="77777777" w:rsidR="009B3D4E" w:rsidRDefault="002570DD">
      <w:pPr>
        <w:spacing w:before="180" w:after="50"/>
      </w:pPr>
      <w:r>
        <w:rPr>
          <w:b/>
          <w:bCs/>
          <w:color w:val="E8A33D"/>
          <w:sz w:val="22"/>
          <w:szCs w:val="22"/>
        </w:rPr>
        <w:t xml:space="preserve">01   </w:t>
      </w:r>
      <w:r>
        <w:rPr>
          <w:b/>
          <w:bCs/>
          <w:color w:val="1A2B49"/>
          <w:sz w:val="22"/>
          <w:szCs w:val="22"/>
        </w:rPr>
        <w:t>Do you have a field-level list of what data your assistant can touch?</w:t>
      </w:r>
    </w:p>
    <w:p w14:paraId="4ED69C5E" w14:textId="77777777" w:rsidR="009B3D4E" w:rsidRDefault="002570DD">
      <w:pPr>
        <w:spacing w:after="60"/>
      </w:pPr>
      <w:r>
        <w:lastRenderedPageBreak/>
        <w:t>Not the enterprise data catalogue — that tells you what the organisation holds. You need the specific list of every field this assistant can read, write or send onward. You cannot govern what you have not enumerated, and most teams have never written this down.</w:t>
      </w:r>
    </w:p>
    <w:p w14:paraId="4ED69C5F" w14:textId="77777777" w:rsidR="009B3D4E" w:rsidRDefault="002570DD">
      <w:pPr>
        <w:spacing w:before="180" w:after="50"/>
      </w:pPr>
      <w:r>
        <w:rPr>
          <w:b/>
          <w:bCs/>
          <w:color w:val="E8A33D"/>
          <w:sz w:val="22"/>
          <w:szCs w:val="22"/>
        </w:rPr>
        <w:t xml:space="preserve">02   </w:t>
      </w:r>
      <w:r>
        <w:rPr>
          <w:b/>
          <w:bCs/>
          <w:color w:val="1A2B49"/>
          <w:sz w:val="22"/>
          <w:szCs w:val="22"/>
        </w:rPr>
        <w:t>Is there a lawful basis for this use — not just the original one?</w:t>
      </w:r>
    </w:p>
    <w:p w14:paraId="4ED69C60" w14:textId="77777777" w:rsidR="009B3D4E" w:rsidRDefault="002570DD">
      <w:pPr>
        <w:spacing w:after="60"/>
      </w:pPr>
      <w:r>
        <w:t>Data collected to run an account has a lawful basis for running the account. Using it to power an AI assistant is a new purpose, and it may need its own basis. 'Legitimate interest' is a real basis, but only if someone actually did the assessment behind it rather than reaching for the phrase.</w:t>
      </w:r>
    </w:p>
    <w:p w14:paraId="4ED69C61" w14:textId="77777777" w:rsidR="009B3D4E" w:rsidRDefault="002570DD">
      <w:pPr>
        <w:spacing w:before="180" w:after="50"/>
      </w:pPr>
      <w:r>
        <w:rPr>
          <w:b/>
          <w:bCs/>
          <w:color w:val="E8A33D"/>
          <w:sz w:val="22"/>
          <w:szCs w:val="22"/>
        </w:rPr>
        <w:t xml:space="preserve">03   </w:t>
      </w:r>
      <w:r>
        <w:rPr>
          <w:b/>
          <w:bCs/>
          <w:color w:val="1A2B49"/>
          <w:sz w:val="22"/>
          <w:szCs w:val="22"/>
        </w:rPr>
        <w:t>Did anyone check the new purpose is compatible with the old one?</w:t>
      </w:r>
    </w:p>
    <w:p w14:paraId="4ED69C62" w14:textId="77777777" w:rsidR="009B3D4E" w:rsidRDefault="002570DD">
      <w:pPr>
        <w:spacing w:after="60"/>
      </w:pPr>
      <w:r>
        <w:t>This is where purpose creep is caught or missed. Lending data gathered to administer a loan now helping decide what to tell a customer about a future one is a visible example of drift. If no one assessed whether that is compatible with why the data was collected, that gap is your headline finding.</w:t>
      </w:r>
    </w:p>
    <w:p w14:paraId="4ED69C63" w14:textId="77777777" w:rsidR="009B3D4E" w:rsidRDefault="002570DD">
      <w:pPr>
        <w:spacing w:before="180" w:after="50"/>
      </w:pPr>
      <w:r>
        <w:rPr>
          <w:b/>
          <w:bCs/>
          <w:color w:val="E8A33D"/>
          <w:sz w:val="22"/>
          <w:szCs w:val="22"/>
        </w:rPr>
        <w:t xml:space="preserve">04   </w:t>
      </w:r>
      <w:r>
        <w:rPr>
          <w:b/>
          <w:bCs/>
          <w:color w:val="1A2B49"/>
          <w:sz w:val="22"/>
          <w:szCs w:val="22"/>
        </w:rPr>
        <w:t>Does the assistant need every field it can reach?</w:t>
      </w:r>
    </w:p>
    <w:p w14:paraId="4ED69C64" w14:textId="77777777" w:rsidR="009B3D4E" w:rsidRDefault="002570DD">
      <w:pPr>
        <w:spacing w:after="60"/>
      </w:pPr>
      <w:r>
        <w:t>A balance enquiry needs an account number and a balance. It does not need a date of birth or a demographic marker. If the assistant can read those anyway — because it was pointed at whole tables — that is a minimisation failure. Ask what it needs, not what it can see.</w:t>
      </w:r>
    </w:p>
    <w:p w14:paraId="4ED69C65" w14:textId="77777777" w:rsidR="009B3D4E" w:rsidRDefault="002570DD">
      <w:pPr>
        <w:spacing w:before="180" w:after="50"/>
      </w:pPr>
      <w:r>
        <w:rPr>
          <w:b/>
          <w:bCs/>
          <w:color w:val="E8A33D"/>
          <w:sz w:val="22"/>
          <w:szCs w:val="22"/>
        </w:rPr>
        <w:t xml:space="preserve">05   </w:t>
      </w:r>
      <w:r>
        <w:rPr>
          <w:b/>
          <w:bCs/>
          <w:color w:val="1A2B49"/>
          <w:sz w:val="22"/>
          <w:szCs w:val="22"/>
        </w:rPr>
        <w:t>Are sensitive fields handled with the extra conditions they require?</w:t>
      </w:r>
    </w:p>
    <w:p w14:paraId="4ED69C66" w14:textId="77777777" w:rsidR="009B3D4E" w:rsidRDefault="002570DD">
      <w:pPr>
        <w:spacing w:after="60"/>
      </w:pPr>
      <w:r>
        <w:t>Special-category data — and demographic markers that can act as proxies for it — needs more than an ordinary lawful basis. Where such a field is reachable with no additional condition, the honest fix is usually to remove it from reach, not to invent a justification after the fact. This is the exposure question, not the bias question — that comes in Week 11.</w:t>
      </w:r>
    </w:p>
    <w:p w14:paraId="4ED69C67" w14:textId="77777777" w:rsidR="009B3D4E" w:rsidRDefault="002570DD">
      <w:pPr>
        <w:spacing w:before="180" w:after="50"/>
      </w:pPr>
      <w:r>
        <w:rPr>
          <w:b/>
          <w:bCs/>
          <w:color w:val="E8A33D"/>
          <w:sz w:val="22"/>
          <w:szCs w:val="22"/>
        </w:rPr>
        <w:t xml:space="preserve">06   </w:t>
      </w:r>
      <w:r>
        <w:rPr>
          <w:b/>
          <w:bCs/>
          <w:color w:val="1A2B49"/>
          <w:sz w:val="22"/>
          <w:szCs w:val="22"/>
        </w:rPr>
        <w:t>Do you know exactly what leaves your boundary on every query?</w:t>
      </w:r>
    </w:p>
    <w:p w14:paraId="4ED69C68" w14:textId="77777777" w:rsidR="009B3D4E" w:rsidRDefault="002570DD">
      <w:pPr>
        <w:spacing w:after="60"/>
      </w:pPr>
      <w:r>
        <w:t>On each interaction, something is sent to your model provider: the prompt, the message, and whatever customer data was pulled in to answer. Can you produce a record of what? And does your contract — not their marketing page — confirm your inputs are not retained or used to train their models? For most organisations, the honest answer to both is no.</w:t>
      </w:r>
    </w:p>
    <w:p w14:paraId="4ED69C69" w14:textId="77777777" w:rsidR="009B3D4E" w:rsidRDefault="002570DD">
      <w:pPr>
        <w:spacing w:before="180" w:after="50"/>
      </w:pPr>
      <w:r>
        <w:rPr>
          <w:b/>
          <w:bCs/>
          <w:color w:val="E8A33D"/>
          <w:sz w:val="22"/>
          <w:szCs w:val="22"/>
        </w:rPr>
        <w:t xml:space="preserve">07   </w:t>
      </w:r>
      <w:r>
        <w:rPr>
          <w:b/>
          <w:bCs/>
          <w:color w:val="1A2B49"/>
          <w:sz w:val="22"/>
          <w:szCs w:val="22"/>
        </w:rPr>
        <w:t>Does your data have an end date, and does erasure actually work?</w:t>
      </w:r>
    </w:p>
    <w:p w14:paraId="4ED69C6A" w14:textId="77777777" w:rsidR="009B3D4E" w:rsidRDefault="002570DD">
      <w:pPr>
        <w:spacing w:after="60"/>
      </w:pPr>
      <w:r>
        <w:t>Conversation logs that accumulate personal data forever 'just in case' fail this. Set a retention period, and test that when a customer withdraws consent, their data can actually be deleted — including from logs and backups, not just from the live system. A policy that says erasure works is not the same as erasure working.</w:t>
      </w:r>
    </w:p>
    <w:p w14:paraId="4ED69C6B" w14:textId="77777777" w:rsidR="009B3D4E" w:rsidRDefault="002570DD">
      <w:pPr>
        <w:spacing w:before="180" w:after="50"/>
      </w:pPr>
      <w:r>
        <w:rPr>
          <w:b/>
          <w:bCs/>
          <w:color w:val="E8A33D"/>
          <w:sz w:val="22"/>
          <w:szCs w:val="22"/>
        </w:rPr>
        <w:t xml:space="preserve">08   </w:t>
      </w:r>
      <w:r>
        <w:rPr>
          <w:b/>
          <w:bCs/>
          <w:color w:val="1A2B49"/>
          <w:sz w:val="22"/>
          <w:szCs w:val="22"/>
        </w:rPr>
        <w:t>Can a person exercise their rights over AI-held data?</w:t>
      </w:r>
    </w:p>
    <w:p w14:paraId="4ED69C6C" w14:textId="77777777" w:rsidR="009B3D4E" w:rsidRDefault="002570DD">
      <w:pPr>
        <w:spacing w:after="60"/>
      </w:pPr>
      <w:r>
        <w:t>If a customer asks for a copy of their data, or asks you to correct or delete it, can you reach the data held in the assistant's conversation history? Most rights processes were built before the assistant existed and have never been updated to include it — which means that data is invisible to them.</w:t>
      </w:r>
    </w:p>
    <w:p w14:paraId="4ED69C6D" w14:textId="77777777" w:rsidR="009B3D4E" w:rsidRDefault="002570DD">
      <w:pPr>
        <w:spacing w:before="180" w:after="50"/>
      </w:pPr>
      <w:r>
        <w:rPr>
          <w:b/>
          <w:bCs/>
          <w:color w:val="E8A33D"/>
          <w:sz w:val="22"/>
          <w:szCs w:val="22"/>
        </w:rPr>
        <w:t xml:space="preserve">09   </w:t>
      </w:r>
      <w:r>
        <w:rPr>
          <w:b/>
          <w:bCs/>
          <w:color w:val="1A2B49"/>
          <w:sz w:val="22"/>
          <w:szCs w:val="22"/>
        </w:rPr>
        <w:t>Is the data your assistant relies on actually kept accurate?</w:t>
      </w:r>
    </w:p>
    <w:p w14:paraId="4ED69C6E" w14:textId="77777777" w:rsidR="009B3D4E" w:rsidRDefault="002570DD">
      <w:pPr>
        <w:spacing w:after="60"/>
      </w:pPr>
      <w:r>
        <w:t>The assistant answers from reference sources — policy documents, product data, rates. If no one owns keeping those current, the assistant will confidently tell customers things that stopped being true months ago. That is a data-governance failure, not a model failure, and a perfect model fed stale data still misinforms.</w:t>
      </w:r>
    </w:p>
    <w:p w14:paraId="4ED69C6F" w14:textId="77777777" w:rsidR="009B3D4E" w:rsidRDefault="002570DD">
      <w:pPr>
        <w:spacing w:before="180" w:after="50"/>
      </w:pPr>
      <w:r>
        <w:rPr>
          <w:b/>
          <w:bCs/>
          <w:color w:val="E8A33D"/>
          <w:sz w:val="22"/>
          <w:szCs w:val="22"/>
        </w:rPr>
        <w:t xml:space="preserve">10   </w:t>
      </w:r>
      <w:r>
        <w:rPr>
          <w:b/>
          <w:bCs/>
          <w:color w:val="1A2B49"/>
          <w:sz w:val="22"/>
          <w:szCs w:val="22"/>
        </w:rPr>
        <w:t>Are customers actually told any of this?</w:t>
      </w:r>
    </w:p>
    <w:p w14:paraId="4ED69C70" w14:textId="77777777" w:rsidR="009B3D4E" w:rsidRDefault="002570DD">
      <w:pPr>
        <w:spacing w:after="60"/>
      </w:pPr>
      <w:r>
        <w:t>A privacy notice that mentions the AI assistant — the purposes, the basis, the retention, the third parties — reachable where they interact with it, not buried in a policy nobody opens. This is related to but distinct from telling them they are talking to an AI at all, which was Week 06. Both have to be true.</w:t>
      </w:r>
    </w:p>
    <w:p w14:paraId="4ED69C71" w14:textId="77777777" w:rsidR="009B3D4E" w:rsidRDefault="009B3D4E">
      <w:pPr>
        <w:spacing w:after="160"/>
      </w:pPr>
    </w:p>
    <w:p w14:paraId="4ED69C72" w14:textId="77777777" w:rsidR="009B3D4E" w:rsidRDefault="002570DD">
      <w:pPr>
        <w:pStyle w:val="Heading1"/>
      </w:pPr>
      <w:r>
        <w:lastRenderedPageBreak/>
        <w:t>What we found in the reference system</w:t>
      </w:r>
    </w:p>
    <w:p w14:paraId="4ED69C73" w14:textId="77777777" w:rsidR="009B3D4E" w:rsidRDefault="002570DD">
      <w:pPr>
        <w:spacing w:after="120"/>
      </w:pPr>
      <w:r>
        <w:t>Kannan's Virtual Bank is a fictional retail bank, and its assistant reads from synthetic customer, account and product data — and sends some of it to a third-party AI model on every query. Running the ten checks produced three findings, and they are the three that show up almost everywhere.</w:t>
      </w:r>
    </w:p>
    <w:p w14:paraId="4ED69C74" w14:textId="77777777" w:rsidR="009B3D4E" w:rsidRDefault="002570DD">
      <w:pPr>
        <w:pStyle w:val="Heading3"/>
        <w:spacing w:before="160"/>
      </w:pPr>
      <w:r>
        <w:t>1 · Purpose creep, with nothing written down</w:t>
      </w:r>
    </w:p>
    <w:p w14:paraId="4ED69C75" w14:textId="77777777" w:rsidR="009B3D4E" w:rsidRDefault="002570DD">
      <w:pPr>
        <w:spacing w:after="120"/>
      </w:pPr>
      <w:r>
        <w:t>Customer data collected to service accounts and assess lending now powers the assistant. No one recorded a lawful basis for that specific use, and no one assessed whether it is compatible with why the data was collected. The data might be perfectly usable this way — but nobody decided that, so the bank cannot show it. The failure is the undocumented decision, not a dramatic breach, which is exactly why it is so easy to miss.</w:t>
      </w:r>
    </w:p>
    <w:p w14:paraId="4ED69C76" w14:textId="77777777" w:rsidR="009B3D4E" w:rsidRDefault="002570DD">
      <w:pPr>
        <w:pStyle w:val="Heading3"/>
        <w:spacing w:before="160"/>
      </w:pPr>
      <w:r>
        <w:t>2 · Customer data leaves the building on every query, uncontrolled</w:t>
      </w:r>
    </w:p>
    <w:p w14:paraId="4ED69C77" w14:textId="77777777" w:rsidR="009B3D4E" w:rsidRDefault="002570DD">
      <w:pPr>
        <w:spacing w:after="120"/>
      </w:pPr>
      <w:r>
        <w:t>To answer a question, the assistant sends customer data to its model provider. There is no record of exactly what is sent, and no contractual confirmation of whether those inputs are retained or used to train the provider's models. 'They probably don't' is not a control, and for regulated data it is not a position you want to explain after the fact.</w:t>
      </w:r>
    </w:p>
    <w:p w14:paraId="4ED69C78" w14:textId="77777777" w:rsidR="009B3D4E" w:rsidRDefault="002570DD">
      <w:pPr>
        <w:pStyle w:val="Heading3"/>
        <w:spacing w:before="160"/>
      </w:pPr>
      <w:r>
        <w:t>3 · The assistant can reach data it never needs</w:t>
      </w:r>
    </w:p>
    <w:p w14:paraId="4ED69C79" w14:textId="77777777" w:rsidR="009B3D4E" w:rsidRDefault="002570DD">
      <w:pPr>
        <w:spacing w:after="120"/>
      </w:pPr>
      <w:r>
        <w:t>Because it was pointed at whole tables, the assistant can read demographic and other sensitive fields that none of its actual tasks require. The question this week is not whether that produces biased outcomes — that is Week 11 — but whether that data should be reachable at all. Minimisation was never applied, so the exposure simply sits there.</w:t>
      </w:r>
    </w:p>
    <w:p w14:paraId="4ED69C7A" w14:textId="77777777" w:rsidR="009B3D4E" w:rsidRDefault="009B3D4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3D4E" w14:paraId="4ED69C7C" w14:textId="77777777">
        <w:tblPrEx>
          <w:tblCellMar>
            <w:top w:w="0" w:type="dxa"/>
            <w:bottom w:w="0" w:type="dxa"/>
          </w:tblCellMar>
        </w:tblPrEx>
        <w:tc>
          <w:tcPr>
            <w:tcW w:w="9360" w:type="dxa"/>
            <w:tcBorders>
              <w:top w:val="single" w:sz="2" w:space="0" w:color="DDDDDD"/>
              <w:left w:val="single" w:sz="18" w:space="0" w:color="0B6B62"/>
              <w:bottom w:val="single" w:sz="2" w:space="0" w:color="DDDDDD"/>
              <w:right w:val="single" w:sz="2" w:space="0" w:color="DDDDDD"/>
            </w:tcBorders>
            <w:shd w:val="clear" w:color="auto" w:fill="F2F4F7"/>
            <w:tcMar>
              <w:top w:w="130" w:type="dxa"/>
              <w:left w:w="170" w:type="dxa"/>
              <w:bottom w:w="130" w:type="dxa"/>
              <w:right w:w="170" w:type="dxa"/>
            </w:tcMar>
          </w:tcPr>
          <w:p w14:paraId="4ED69C7B" w14:textId="77777777" w:rsidR="009B3D4E" w:rsidRDefault="002570DD">
            <w:r>
              <w:rPr>
                <w:b/>
                <w:bCs/>
                <w:color w:val="1A2B49"/>
              </w:rPr>
              <w:t xml:space="preserve">And in India — the clock is now running.  </w:t>
            </w:r>
            <w:r>
              <w:t>This is no longer a 'watch this space'. The Digital Personal Data Protection Rules, 2025 were notified on 13 November 2025, operationalising the DPDP Act. The core obligations — notice, consent, security, breach reporting, retention and erasure, and the rights of the data principal — become enforceable on 13 May 2027. The Data Protection Board was constituted in November 2025, though its chair and members were still awaiting appointment as of mid-2026, so treat the deadline as real and the enforcement machi</w:t>
            </w:r>
            <w:r>
              <w:t xml:space="preserve">nery as still assembling. The notice and consent requirements are prescriptive, and retention must end when the purpose does. One thing to watch if you are in financial services: a bank may be designated a Significant Data Fiduciary, which brings an annual data-protection impact assessment and an independent audit — and in January 2026 MeitY proposed compressing the SDF compliance window from eighteen months to twelve, which would pull that deadline forward to November 2026. It has not been gazetted, so 13 </w:t>
            </w:r>
            <w:r>
              <w:t>May 2027 stands. But if you are the population that proposal targets, it is worth knowing which deadline could become yours. A dedicated week later in this series goes into the India picture properly.</w:t>
            </w:r>
          </w:p>
        </w:tc>
      </w:tr>
    </w:tbl>
    <w:p w14:paraId="4ED69C7D" w14:textId="77777777" w:rsidR="009B3D4E" w:rsidRDefault="009B3D4E">
      <w:pPr>
        <w:spacing w:after="140"/>
      </w:pPr>
    </w:p>
    <w:p w14:paraId="4ED69C7E" w14:textId="77777777" w:rsidR="009B3D4E" w:rsidRDefault="002570DD">
      <w:pPr>
        <w:pStyle w:val="Heading1"/>
      </w:pPr>
      <w:r>
        <w:t>Using the workbook this week</w:t>
      </w:r>
    </w:p>
    <w:p w14:paraId="4ED69C7F" w14:textId="77777777" w:rsidR="009B3D4E" w:rsidRDefault="002570DD">
      <w:pPr>
        <w:pStyle w:val="ListParagraph"/>
        <w:numPr>
          <w:ilvl w:val="0"/>
          <w:numId w:val="2"/>
        </w:numPr>
        <w:spacing w:after="60"/>
      </w:pPr>
      <w:r>
        <w:t>Open the W07 Data tab — it joins W05 and W06, ten checks mapped to the questions above.</w:t>
      </w:r>
    </w:p>
    <w:p w14:paraId="4ED69C80" w14:textId="77777777" w:rsidR="009B3D4E" w:rsidRDefault="002570DD">
      <w:pPr>
        <w:pStyle w:val="ListParagraph"/>
        <w:numPr>
          <w:ilvl w:val="0"/>
          <w:numId w:val="2"/>
        </w:numPr>
        <w:spacing w:after="60"/>
      </w:pPr>
      <w:r>
        <w:t>Start from your Week 05 data-flow map. This week builds directly on it: the fields you mapped there are what you govern here.</w:t>
      </w:r>
    </w:p>
    <w:p w14:paraId="4ED69C81" w14:textId="77777777" w:rsidR="009B3D4E" w:rsidRDefault="002570DD">
      <w:pPr>
        <w:pStyle w:val="ListParagraph"/>
        <w:numPr>
          <w:ilvl w:val="0"/>
          <w:numId w:val="2"/>
        </w:numPr>
        <w:spacing w:after="60"/>
      </w:pPr>
      <w:r>
        <w:t>Set a Status and write what you actually found. For this domain, the evidence is often a contract clause or a configuration export — capture the document, not a description of it.</w:t>
      </w:r>
    </w:p>
    <w:p w14:paraId="4ED69C82" w14:textId="77777777" w:rsidR="009B3D4E" w:rsidRDefault="002570DD">
      <w:pPr>
        <w:pStyle w:val="ListParagraph"/>
        <w:numPr>
          <w:ilvl w:val="0"/>
          <w:numId w:val="2"/>
        </w:numPr>
        <w:spacing w:after="60"/>
      </w:pPr>
      <w:r>
        <w:t>Every Fail or Partial gets a Findings Register line with a severity. Every Pass gets an Evidence Log item.</w:t>
      </w:r>
    </w:p>
    <w:p w14:paraId="4ED69C83" w14:textId="77777777" w:rsidR="009B3D4E" w:rsidRDefault="002570DD">
      <w:pPr>
        <w:pStyle w:val="ListParagraph"/>
        <w:numPr>
          <w:ilvl w:val="0"/>
          <w:numId w:val="2"/>
        </w:numPr>
        <w:spacing w:after="60"/>
      </w:pPr>
      <w:r>
        <w:lastRenderedPageBreak/>
        <w:t>Keep the exposure question and the fairness question separate. This week asks whether sensitive data should be reachable at all; whether its use is fair is Week 11.</w:t>
      </w:r>
    </w:p>
    <w:p w14:paraId="4ED69C84" w14:textId="77777777" w:rsidR="009B3D4E" w:rsidRDefault="009B3D4E">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3D4E" w14:paraId="4ED69C86" w14:textId="77777777">
        <w:tblPrEx>
          <w:tblCellMar>
            <w:top w:w="0" w:type="dxa"/>
            <w:bottom w:w="0" w:type="dxa"/>
          </w:tblCellMar>
        </w:tblPrEx>
        <w:tc>
          <w:tcPr>
            <w:tcW w:w="9360" w:type="dxa"/>
            <w:tcBorders>
              <w:top w:val="single" w:sz="2" w:space="0" w:color="DDDDDD"/>
              <w:left w:val="single" w:sz="18" w:space="0" w:color="0B6B62"/>
              <w:bottom w:val="single" w:sz="2" w:space="0" w:color="DDDDDD"/>
              <w:right w:val="single" w:sz="2" w:space="0" w:color="DDDDDD"/>
            </w:tcBorders>
            <w:shd w:val="clear" w:color="auto" w:fill="F2F4F7"/>
            <w:tcMar>
              <w:top w:w="130" w:type="dxa"/>
              <w:left w:w="170" w:type="dxa"/>
              <w:bottom w:w="130" w:type="dxa"/>
              <w:right w:w="170" w:type="dxa"/>
            </w:tcMar>
          </w:tcPr>
          <w:p w14:paraId="4ED69C85" w14:textId="77777777" w:rsidR="009B3D4E" w:rsidRDefault="002570DD">
            <w:r>
              <w:rPr>
                <w:b/>
                <w:bCs/>
                <w:color w:val="1A2B49"/>
              </w:rPr>
              <w:t xml:space="preserve">Next week — Week 08: Model &amp; Provider Due Diligence.  </w:t>
            </w:r>
            <w:r>
              <w:t>This week we mapped what leaves your boundary. Next week we turn to the party on the other end of it: who is your model provider, what have they told you, and what can you actually verify?</w:t>
            </w:r>
          </w:p>
        </w:tc>
      </w:tr>
    </w:tbl>
    <w:p w14:paraId="4ED69C87" w14:textId="77777777" w:rsidR="009B3D4E" w:rsidRDefault="009B3D4E">
      <w:pPr>
        <w:pBdr>
          <w:top w:val="single" w:sz="4" w:space="6" w:color="DDDDDD"/>
        </w:pBdr>
        <w:spacing w:before="160" w:after="120"/>
      </w:pPr>
    </w:p>
    <w:p w14:paraId="4ED69C88" w14:textId="77777777" w:rsidR="009B3D4E" w:rsidRDefault="002570DD">
      <w:pPr>
        <w:spacing w:after="120"/>
      </w:pPr>
      <w:r>
        <w:rPr>
          <w:i/>
          <w:iCs/>
          <w:color w:val="555555"/>
        </w:rPr>
        <w:t>Kannan's Virtual Bank is a fictional institution; all data used in this series is synthetic. This material is an educational accelerator, not legal advice or a compliance guarantee. Adapt it to your own regulatory context before any real-world use.</w:t>
      </w:r>
    </w:p>
    <w:p w14:paraId="4ED69C89" w14:textId="77777777" w:rsidR="009B3D4E" w:rsidRDefault="002570DD">
      <w:pPr>
        <w:spacing w:after="100"/>
      </w:pPr>
      <w:r>
        <w:rPr>
          <w:color w:val="555555"/>
          <w:sz w:val="17"/>
          <w:szCs w:val="17"/>
        </w:rPr>
        <w:t xml:space="preserve">Kannan </w:t>
      </w:r>
      <w:proofErr w:type="gramStart"/>
      <w:r>
        <w:rPr>
          <w:color w:val="555555"/>
          <w:sz w:val="17"/>
          <w:szCs w:val="17"/>
        </w:rPr>
        <w:t>K  ·</w:t>
      </w:r>
      <w:proofErr w:type="gramEnd"/>
      <w:r>
        <w:rPr>
          <w:color w:val="555555"/>
          <w:sz w:val="17"/>
          <w:szCs w:val="17"/>
        </w:rPr>
        <w:t xml:space="preserve">  AI Governance &amp; Cybersecurity </w:t>
      </w:r>
      <w:proofErr w:type="gramStart"/>
      <w:r>
        <w:rPr>
          <w:color w:val="555555"/>
          <w:sz w:val="17"/>
          <w:szCs w:val="17"/>
        </w:rPr>
        <w:t>Leader  ·</w:t>
      </w:r>
      <w:proofErr w:type="gramEnd"/>
      <w:r>
        <w:rPr>
          <w:color w:val="555555"/>
          <w:sz w:val="17"/>
          <w:szCs w:val="17"/>
        </w:rPr>
        <w:t xml:space="preserve">  AIGP · CISM · CISA · ISO 27001 &amp; 42001 LA · SC-100 · MCT</w:t>
      </w:r>
    </w:p>
    <w:p w14:paraId="4ED69C8A" w14:textId="77777777" w:rsidR="009B3D4E" w:rsidRDefault="002570DD">
      <w:pPr>
        <w:spacing w:after="100"/>
      </w:pPr>
      <w:r>
        <w:rPr>
          <w:color w:val="555555"/>
          <w:sz w:val="17"/>
          <w:szCs w:val="17"/>
        </w:rPr>
        <w:t>Sources: EU GDPR (Regulation (EU) 2016/679) · India DPDP Act 2023 and DPDP Rules 2025 (notified 13 November 2025; core obligations enforceable 13 May 2027) · EU AI Act (Regulation (EU) 2024/1689, as amended) Art. 10 · ISO/IEC 42001:2023 · ISO/IEC 27001:2022 · NIST AI RMF 1.0 · MeitY India AI Governance Guidelines.</w:t>
      </w:r>
    </w:p>
    <w:sectPr w:rsidR="009B3D4E">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D29C8" w14:textId="77777777" w:rsidR="002570DD" w:rsidRDefault="002570DD">
      <w:pPr>
        <w:spacing w:line="240" w:lineRule="auto"/>
      </w:pPr>
      <w:r>
        <w:separator/>
      </w:r>
    </w:p>
  </w:endnote>
  <w:endnote w:type="continuationSeparator" w:id="0">
    <w:p w14:paraId="078A39FD" w14:textId="77777777" w:rsidR="002570DD" w:rsidRDefault="002570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69C8C" w14:textId="19FBDE4F" w:rsidR="009B3D4E" w:rsidRDefault="002570DD">
    <w:pPr>
      <w:jc w:val="center"/>
    </w:pPr>
    <w:r>
      <w:rPr>
        <w:color w:val="555555"/>
        <w:sz w:val="15"/>
        <w:szCs w:val="15"/>
      </w:rPr>
      <w:t xml:space="preserve">Field Guide · Week 07 Data Governance · Kannan K   ·   </w:t>
    </w:r>
    <w:r>
      <w:rPr>
        <w:color w:val="555555"/>
        <w:sz w:val="15"/>
        <w:szCs w:val="15"/>
      </w:rPr>
      <w:fldChar w:fldCharType="begin"/>
    </w:r>
    <w:r>
      <w:rPr>
        <w:color w:val="555555"/>
        <w:sz w:val="15"/>
        <w:szCs w:val="15"/>
      </w:rPr>
      <w:instrText>PAGE</w:instrText>
    </w:r>
    <w:r>
      <w:rPr>
        <w:color w:val="555555"/>
        <w:sz w:val="15"/>
        <w:szCs w:val="15"/>
      </w:rPr>
      <w:fldChar w:fldCharType="separate"/>
    </w:r>
    <w:r w:rsidR="006D6D65">
      <w:rPr>
        <w:noProof/>
        <w:color w:val="555555"/>
        <w:sz w:val="15"/>
        <w:szCs w:val="15"/>
      </w:rPr>
      <w:t>1</w:t>
    </w:r>
    <w:r>
      <w:rPr>
        <w:color w:val="55555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99FD8" w14:textId="77777777" w:rsidR="002570DD" w:rsidRDefault="002570DD">
      <w:pPr>
        <w:spacing w:line="240" w:lineRule="auto"/>
      </w:pPr>
      <w:r>
        <w:separator/>
      </w:r>
    </w:p>
  </w:footnote>
  <w:footnote w:type="continuationSeparator" w:id="0">
    <w:p w14:paraId="0DE1A050" w14:textId="77777777" w:rsidR="002570DD" w:rsidRDefault="002570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69C8B" w14:textId="77777777" w:rsidR="009B3D4E" w:rsidRDefault="002570DD">
    <w:pPr>
      <w:pBdr>
        <w:bottom w:val="single" w:sz="4" w:space="4" w:color="DDDDDD"/>
      </w:pBdr>
      <w:spacing w:after="60"/>
      <w:jc w:val="right"/>
    </w:pPr>
    <w:r>
      <w:rPr>
        <w:color w:val="555555"/>
        <w:sz w:val="15"/>
        <w:szCs w:val="15"/>
      </w:rPr>
      <w:t xml:space="preserve">AI Governance, </w:t>
    </w:r>
    <w:proofErr w:type="gramStart"/>
    <w:r>
      <w:rPr>
        <w:color w:val="555555"/>
        <w:sz w:val="15"/>
        <w:szCs w:val="15"/>
      </w:rPr>
      <w:t>Unpacked  ·</w:t>
    </w:r>
    <w:proofErr w:type="gramEnd"/>
    <w:r>
      <w:rPr>
        <w:color w:val="555555"/>
        <w:sz w:val="15"/>
        <w:szCs w:val="15"/>
      </w:rPr>
      <w:t xml:space="preserve">  Practical AI </w:t>
    </w:r>
    <w:proofErr w:type="gramStart"/>
    <w:r>
      <w:rPr>
        <w:color w:val="555555"/>
        <w:sz w:val="15"/>
        <w:szCs w:val="15"/>
      </w:rPr>
      <w:t>Auditing  ·</w:t>
    </w:r>
    <w:proofErr w:type="gramEnd"/>
    <w:r>
      <w:rPr>
        <w:color w:val="555555"/>
        <w:sz w:val="15"/>
        <w:szCs w:val="15"/>
      </w:rPr>
      <w:t xml:space="preserve">  Week 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32C02"/>
    <w:multiLevelType w:val="hybridMultilevel"/>
    <w:tmpl w:val="260C15F8"/>
    <w:lvl w:ilvl="0" w:tplc="45285B02">
      <w:start w:val="1"/>
      <w:numFmt w:val="decimal"/>
      <w:lvlText w:val="%1."/>
      <w:lvlJc w:val="left"/>
      <w:pPr>
        <w:ind w:left="540" w:hanging="280"/>
      </w:pPr>
    </w:lvl>
    <w:lvl w:ilvl="1" w:tplc="EDC8AF04">
      <w:numFmt w:val="decimal"/>
      <w:lvlText w:val=""/>
      <w:lvlJc w:val="left"/>
    </w:lvl>
    <w:lvl w:ilvl="2" w:tplc="DB62D7A2">
      <w:numFmt w:val="decimal"/>
      <w:lvlText w:val=""/>
      <w:lvlJc w:val="left"/>
    </w:lvl>
    <w:lvl w:ilvl="3" w:tplc="EFB20166">
      <w:numFmt w:val="decimal"/>
      <w:lvlText w:val=""/>
      <w:lvlJc w:val="left"/>
    </w:lvl>
    <w:lvl w:ilvl="4" w:tplc="16541306">
      <w:numFmt w:val="decimal"/>
      <w:lvlText w:val=""/>
      <w:lvlJc w:val="left"/>
    </w:lvl>
    <w:lvl w:ilvl="5" w:tplc="3ABCC1EE">
      <w:numFmt w:val="decimal"/>
      <w:lvlText w:val=""/>
      <w:lvlJc w:val="left"/>
    </w:lvl>
    <w:lvl w:ilvl="6" w:tplc="628E3E1E">
      <w:numFmt w:val="decimal"/>
      <w:lvlText w:val=""/>
      <w:lvlJc w:val="left"/>
    </w:lvl>
    <w:lvl w:ilvl="7" w:tplc="6A861954">
      <w:numFmt w:val="decimal"/>
      <w:lvlText w:val=""/>
      <w:lvlJc w:val="left"/>
    </w:lvl>
    <w:lvl w:ilvl="8" w:tplc="012C75F2">
      <w:numFmt w:val="decimal"/>
      <w:lvlText w:val=""/>
      <w:lvlJc w:val="left"/>
    </w:lvl>
  </w:abstractNum>
  <w:abstractNum w:abstractNumId="1" w15:restartNumberingAfterBreak="0">
    <w:nsid w:val="0ED41B09"/>
    <w:multiLevelType w:val="hybridMultilevel"/>
    <w:tmpl w:val="A738839A"/>
    <w:lvl w:ilvl="0" w:tplc="3C4482BE">
      <w:start w:val="1"/>
      <w:numFmt w:val="decimal"/>
      <w:lvlText w:val="%1."/>
      <w:lvlJc w:val="left"/>
      <w:pPr>
        <w:ind w:left="540" w:hanging="280"/>
      </w:pPr>
    </w:lvl>
    <w:lvl w:ilvl="1" w:tplc="46963B76">
      <w:numFmt w:val="decimal"/>
      <w:lvlText w:val=""/>
      <w:lvlJc w:val="left"/>
    </w:lvl>
    <w:lvl w:ilvl="2" w:tplc="8E000600">
      <w:numFmt w:val="decimal"/>
      <w:lvlText w:val=""/>
      <w:lvlJc w:val="left"/>
    </w:lvl>
    <w:lvl w:ilvl="3" w:tplc="76AE54DA">
      <w:numFmt w:val="decimal"/>
      <w:lvlText w:val=""/>
      <w:lvlJc w:val="left"/>
    </w:lvl>
    <w:lvl w:ilvl="4" w:tplc="8F38FB5E">
      <w:numFmt w:val="decimal"/>
      <w:lvlText w:val=""/>
      <w:lvlJc w:val="left"/>
    </w:lvl>
    <w:lvl w:ilvl="5" w:tplc="D73EF4F0">
      <w:numFmt w:val="decimal"/>
      <w:lvlText w:val=""/>
      <w:lvlJc w:val="left"/>
    </w:lvl>
    <w:lvl w:ilvl="6" w:tplc="4510CDEC">
      <w:numFmt w:val="decimal"/>
      <w:lvlText w:val=""/>
      <w:lvlJc w:val="left"/>
    </w:lvl>
    <w:lvl w:ilvl="7" w:tplc="4DBC9A82">
      <w:numFmt w:val="decimal"/>
      <w:lvlText w:val=""/>
      <w:lvlJc w:val="left"/>
    </w:lvl>
    <w:lvl w:ilvl="8" w:tplc="EE20CB58">
      <w:numFmt w:val="decimal"/>
      <w:lvlText w:val=""/>
      <w:lvlJc w:val="left"/>
    </w:lvl>
  </w:abstractNum>
  <w:abstractNum w:abstractNumId="2" w15:restartNumberingAfterBreak="0">
    <w:nsid w:val="188A1D1A"/>
    <w:multiLevelType w:val="hybridMultilevel"/>
    <w:tmpl w:val="6B8EA430"/>
    <w:lvl w:ilvl="0" w:tplc="34CE33A8">
      <w:start w:val="1"/>
      <w:numFmt w:val="decimal"/>
      <w:lvlText w:val="%1."/>
      <w:lvlJc w:val="left"/>
      <w:pPr>
        <w:ind w:left="540" w:hanging="280"/>
      </w:pPr>
    </w:lvl>
    <w:lvl w:ilvl="1" w:tplc="402655B6">
      <w:numFmt w:val="decimal"/>
      <w:lvlText w:val=""/>
      <w:lvlJc w:val="left"/>
    </w:lvl>
    <w:lvl w:ilvl="2" w:tplc="837E2148">
      <w:numFmt w:val="decimal"/>
      <w:lvlText w:val=""/>
      <w:lvlJc w:val="left"/>
    </w:lvl>
    <w:lvl w:ilvl="3" w:tplc="1172ACEE">
      <w:numFmt w:val="decimal"/>
      <w:lvlText w:val=""/>
      <w:lvlJc w:val="left"/>
    </w:lvl>
    <w:lvl w:ilvl="4" w:tplc="AFF0FC7A">
      <w:numFmt w:val="decimal"/>
      <w:lvlText w:val=""/>
      <w:lvlJc w:val="left"/>
    </w:lvl>
    <w:lvl w:ilvl="5" w:tplc="956A800C">
      <w:numFmt w:val="decimal"/>
      <w:lvlText w:val=""/>
      <w:lvlJc w:val="left"/>
    </w:lvl>
    <w:lvl w:ilvl="6" w:tplc="CCF6980A">
      <w:numFmt w:val="decimal"/>
      <w:lvlText w:val=""/>
      <w:lvlJc w:val="left"/>
    </w:lvl>
    <w:lvl w:ilvl="7" w:tplc="2AA8CEF0">
      <w:numFmt w:val="decimal"/>
      <w:lvlText w:val=""/>
      <w:lvlJc w:val="left"/>
    </w:lvl>
    <w:lvl w:ilvl="8" w:tplc="88746538">
      <w:numFmt w:val="decimal"/>
      <w:lvlText w:val=""/>
      <w:lvlJc w:val="left"/>
    </w:lvl>
  </w:abstractNum>
  <w:abstractNum w:abstractNumId="3" w15:restartNumberingAfterBreak="0">
    <w:nsid w:val="19CF4D7B"/>
    <w:multiLevelType w:val="hybridMultilevel"/>
    <w:tmpl w:val="54DE19D0"/>
    <w:lvl w:ilvl="0" w:tplc="AD68FDC2">
      <w:start w:val="1"/>
      <w:numFmt w:val="decimal"/>
      <w:lvlText w:val="%1."/>
      <w:lvlJc w:val="left"/>
      <w:pPr>
        <w:ind w:left="540" w:hanging="280"/>
      </w:pPr>
    </w:lvl>
    <w:lvl w:ilvl="1" w:tplc="96688704">
      <w:numFmt w:val="decimal"/>
      <w:lvlText w:val=""/>
      <w:lvlJc w:val="left"/>
    </w:lvl>
    <w:lvl w:ilvl="2" w:tplc="2A848526">
      <w:numFmt w:val="decimal"/>
      <w:lvlText w:val=""/>
      <w:lvlJc w:val="left"/>
    </w:lvl>
    <w:lvl w:ilvl="3" w:tplc="8EF0FAE6">
      <w:numFmt w:val="decimal"/>
      <w:lvlText w:val=""/>
      <w:lvlJc w:val="left"/>
    </w:lvl>
    <w:lvl w:ilvl="4" w:tplc="D23AAD80">
      <w:numFmt w:val="decimal"/>
      <w:lvlText w:val=""/>
      <w:lvlJc w:val="left"/>
    </w:lvl>
    <w:lvl w:ilvl="5" w:tplc="826CCB76">
      <w:numFmt w:val="decimal"/>
      <w:lvlText w:val=""/>
      <w:lvlJc w:val="left"/>
    </w:lvl>
    <w:lvl w:ilvl="6" w:tplc="ED08E58E">
      <w:numFmt w:val="decimal"/>
      <w:lvlText w:val=""/>
      <w:lvlJc w:val="left"/>
    </w:lvl>
    <w:lvl w:ilvl="7" w:tplc="0DD61AF6">
      <w:numFmt w:val="decimal"/>
      <w:lvlText w:val=""/>
      <w:lvlJc w:val="left"/>
    </w:lvl>
    <w:lvl w:ilvl="8" w:tplc="8F565080">
      <w:numFmt w:val="decimal"/>
      <w:lvlText w:val=""/>
      <w:lvlJc w:val="left"/>
    </w:lvl>
  </w:abstractNum>
  <w:abstractNum w:abstractNumId="4" w15:restartNumberingAfterBreak="0">
    <w:nsid w:val="1A346D6A"/>
    <w:multiLevelType w:val="hybridMultilevel"/>
    <w:tmpl w:val="8D880BC8"/>
    <w:lvl w:ilvl="0" w:tplc="7C1E320C">
      <w:start w:val="1"/>
      <w:numFmt w:val="bullet"/>
      <w:lvlText w:val="●"/>
      <w:lvlJc w:val="left"/>
      <w:pPr>
        <w:ind w:left="720" w:hanging="360"/>
      </w:pPr>
    </w:lvl>
    <w:lvl w:ilvl="1" w:tplc="6310CB16">
      <w:start w:val="1"/>
      <w:numFmt w:val="bullet"/>
      <w:lvlText w:val="○"/>
      <w:lvlJc w:val="left"/>
      <w:pPr>
        <w:ind w:left="1440" w:hanging="360"/>
      </w:pPr>
    </w:lvl>
    <w:lvl w:ilvl="2" w:tplc="B39E5462">
      <w:start w:val="1"/>
      <w:numFmt w:val="bullet"/>
      <w:lvlText w:val="■"/>
      <w:lvlJc w:val="left"/>
      <w:pPr>
        <w:ind w:left="2160" w:hanging="360"/>
      </w:pPr>
    </w:lvl>
    <w:lvl w:ilvl="3" w:tplc="A2841EA8">
      <w:start w:val="1"/>
      <w:numFmt w:val="bullet"/>
      <w:lvlText w:val="●"/>
      <w:lvlJc w:val="left"/>
      <w:pPr>
        <w:ind w:left="2880" w:hanging="360"/>
      </w:pPr>
    </w:lvl>
    <w:lvl w:ilvl="4" w:tplc="595EFB9C">
      <w:start w:val="1"/>
      <w:numFmt w:val="bullet"/>
      <w:lvlText w:val="○"/>
      <w:lvlJc w:val="left"/>
      <w:pPr>
        <w:ind w:left="3600" w:hanging="360"/>
      </w:pPr>
    </w:lvl>
    <w:lvl w:ilvl="5" w:tplc="2C541108">
      <w:start w:val="1"/>
      <w:numFmt w:val="bullet"/>
      <w:lvlText w:val="■"/>
      <w:lvlJc w:val="left"/>
      <w:pPr>
        <w:ind w:left="4320" w:hanging="360"/>
      </w:pPr>
    </w:lvl>
    <w:lvl w:ilvl="6" w:tplc="E054AE4A">
      <w:start w:val="1"/>
      <w:numFmt w:val="bullet"/>
      <w:lvlText w:val="●"/>
      <w:lvlJc w:val="left"/>
      <w:pPr>
        <w:ind w:left="5040" w:hanging="360"/>
      </w:pPr>
    </w:lvl>
    <w:lvl w:ilvl="7" w:tplc="CA1E98DA">
      <w:start w:val="1"/>
      <w:numFmt w:val="bullet"/>
      <w:lvlText w:val="●"/>
      <w:lvlJc w:val="left"/>
      <w:pPr>
        <w:ind w:left="5760" w:hanging="360"/>
      </w:pPr>
    </w:lvl>
    <w:lvl w:ilvl="8" w:tplc="532C1522">
      <w:start w:val="1"/>
      <w:numFmt w:val="bullet"/>
      <w:lvlText w:val="●"/>
      <w:lvlJc w:val="left"/>
      <w:pPr>
        <w:ind w:left="6480" w:hanging="360"/>
      </w:pPr>
    </w:lvl>
  </w:abstractNum>
  <w:abstractNum w:abstractNumId="5" w15:restartNumberingAfterBreak="0">
    <w:nsid w:val="2AF8220F"/>
    <w:multiLevelType w:val="hybridMultilevel"/>
    <w:tmpl w:val="BDC6D5AC"/>
    <w:lvl w:ilvl="0" w:tplc="DCD0D158">
      <w:start w:val="1"/>
      <w:numFmt w:val="decimal"/>
      <w:lvlText w:val="%1."/>
      <w:lvlJc w:val="left"/>
      <w:pPr>
        <w:ind w:left="540" w:hanging="280"/>
      </w:pPr>
    </w:lvl>
    <w:lvl w:ilvl="1" w:tplc="A4F00410">
      <w:numFmt w:val="decimal"/>
      <w:lvlText w:val=""/>
      <w:lvlJc w:val="left"/>
    </w:lvl>
    <w:lvl w:ilvl="2" w:tplc="423AF630">
      <w:numFmt w:val="decimal"/>
      <w:lvlText w:val=""/>
      <w:lvlJc w:val="left"/>
    </w:lvl>
    <w:lvl w:ilvl="3" w:tplc="4A46B550">
      <w:numFmt w:val="decimal"/>
      <w:lvlText w:val=""/>
      <w:lvlJc w:val="left"/>
    </w:lvl>
    <w:lvl w:ilvl="4" w:tplc="6FDCCC4C">
      <w:numFmt w:val="decimal"/>
      <w:lvlText w:val=""/>
      <w:lvlJc w:val="left"/>
    </w:lvl>
    <w:lvl w:ilvl="5" w:tplc="1E18DEFE">
      <w:numFmt w:val="decimal"/>
      <w:lvlText w:val=""/>
      <w:lvlJc w:val="left"/>
    </w:lvl>
    <w:lvl w:ilvl="6" w:tplc="60A648D6">
      <w:numFmt w:val="decimal"/>
      <w:lvlText w:val=""/>
      <w:lvlJc w:val="left"/>
    </w:lvl>
    <w:lvl w:ilvl="7" w:tplc="8E34067A">
      <w:numFmt w:val="decimal"/>
      <w:lvlText w:val=""/>
      <w:lvlJc w:val="left"/>
    </w:lvl>
    <w:lvl w:ilvl="8" w:tplc="FA10C722">
      <w:numFmt w:val="decimal"/>
      <w:lvlText w:val=""/>
      <w:lvlJc w:val="left"/>
    </w:lvl>
  </w:abstractNum>
  <w:abstractNum w:abstractNumId="6" w15:restartNumberingAfterBreak="0">
    <w:nsid w:val="312F260D"/>
    <w:multiLevelType w:val="hybridMultilevel"/>
    <w:tmpl w:val="0D643896"/>
    <w:lvl w:ilvl="0" w:tplc="4CEA3172">
      <w:start w:val="1"/>
      <w:numFmt w:val="bullet"/>
      <w:lvlText w:val="•"/>
      <w:lvlJc w:val="left"/>
      <w:pPr>
        <w:ind w:left="540" w:hanging="260"/>
      </w:pPr>
    </w:lvl>
    <w:lvl w:ilvl="1" w:tplc="66E268C4">
      <w:numFmt w:val="decimal"/>
      <w:lvlText w:val=""/>
      <w:lvlJc w:val="left"/>
    </w:lvl>
    <w:lvl w:ilvl="2" w:tplc="C24A3C16">
      <w:numFmt w:val="decimal"/>
      <w:lvlText w:val=""/>
      <w:lvlJc w:val="left"/>
    </w:lvl>
    <w:lvl w:ilvl="3" w:tplc="6246B454">
      <w:numFmt w:val="decimal"/>
      <w:lvlText w:val=""/>
      <w:lvlJc w:val="left"/>
    </w:lvl>
    <w:lvl w:ilvl="4" w:tplc="94B08752">
      <w:numFmt w:val="decimal"/>
      <w:lvlText w:val=""/>
      <w:lvlJc w:val="left"/>
    </w:lvl>
    <w:lvl w:ilvl="5" w:tplc="F02A050A">
      <w:numFmt w:val="decimal"/>
      <w:lvlText w:val=""/>
      <w:lvlJc w:val="left"/>
    </w:lvl>
    <w:lvl w:ilvl="6" w:tplc="A5A8ACD6">
      <w:numFmt w:val="decimal"/>
      <w:lvlText w:val=""/>
      <w:lvlJc w:val="left"/>
    </w:lvl>
    <w:lvl w:ilvl="7" w:tplc="40BAA790">
      <w:numFmt w:val="decimal"/>
      <w:lvlText w:val=""/>
      <w:lvlJc w:val="left"/>
    </w:lvl>
    <w:lvl w:ilvl="8" w:tplc="F0F68C66">
      <w:numFmt w:val="decimal"/>
      <w:lvlText w:val=""/>
      <w:lvlJc w:val="left"/>
    </w:lvl>
  </w:abstractNum>
  <w:abstractNum w:abstractNumId="7" w15:restartNumberingAfterBreak="0">
    <w:nsid w:val="3353418E"/>
    <w:multiLevelType w:val="hybridMultilevel"/>
    <w:tmpl w:val="28FA6782"/>
    <w:lvl w:ilvl="0" w:tplc="7B36426E">
      <w:start w:val="1"/>
      <w:numFmt w:val="decimal"/>
      <w:lvlText w:val="%1."/>
      <w:lvlJc w:val="left"/>
      <w:pPr>
        <w:ind w:left="540" w:hanging="280"/>
      </w:pPr>
    </w:lvl>
    <w:lvl w:ilvl="1" w:tplc="E2429AAE">
      <w:numFmt w:val="decimal"/>
      <w:lvlText w:val=""/>
      <w:lvlJc w:val="left"/>
    </w:lvl>
    <w:lvl w:ilvl="2" w:tplc="7108A880">
      <w:numFmt w:val="decimal"/>
      <w:lvlText w:val=""/>
      <w:lvlJc w:val="left"/>
    </w:lvl>
    <w:lvl w:ilvl="3" w:tplc="A8AEA038">
      <w:numFmt w:val="decimal"/>
      <w:lvlText w:val=""/>
      <w:lvlJc w:val="left"/>
    </w:lvl>
    <w:lvl w:ilvl="4" w:tplc="021641BC">
      <w:numFmt w:val="decimal"/>
      <w:lvlText w:val=""/>
      <w:lvlJc w:val="left"/>
    </w:lvl>
    <w:lvl w:ilvl="5" w:tplc="414A03D6">
      <w:numFmt w:val="decimal"/>
      <w:lvlText w:val=""/>
      <w:lvlJc w:val="left"/>
    </w:lvl>
    <w:lvl w:ilvl="6" w:tplc="87A2C66A">
      <w:numFmt w:val="decimal"/>
      <w:lvlText w:val=""/>
      <w:lvlJc w:val="left"/>
    </w:lvl>
    <w:lvl w:ilvl="7" w:tplc="5AE46C08">
      <w:numFmt w:val="decimal"/>
      <w:lvlText w:val=""/>
      <w:lvlJc w:val="left"/>
    </w:lvl>
    <w:lvl w:ilvl="8" w:tplc="0A584032">
      <w:numFmt w:val="decimal"/>
      <w:lvlText w:val=""/>
      <w:lvlJc w:val="left"/>
    </w:lvl>
  </w:abstractNum>
  <w:abstractNum w:abstractNumId="8" w15:restartNumberingAfterBreak="0">
    <w:nsid w:val="3B712508"/>
    <w:multiLevelType w:val="hybridMultilevel"/>
    <w:tmpl w:val="B92C61F0"/>
    <w:lvl w:ilvl="0" w:tplc="B19ADFE2">
      <w:start w:val="1"/>
      <w:numFmt w:val="decimal"/>
      <w:lvlText w:val="%1."/>
      <w:lvlJc w:val="left"/>
      <w:pPr>
        <w:ind w:left="540" w:hanging="280"/>
      </w:pPr>
    </w:lvl>
    <w:lvl w:ilvl="1" w:tplc="612AE44E">
      <w:numFmt w:val="decimal"/>
      <w:lvlText w:val=""/>
      <w:lvlJc w:val="left"/>
    </w:lvl>
    <w:lvl w:ilvl="2" w:tplc="24DA203C">
      <w:numFmt w:val="decimal"/>
      <w:lvlText w:val=""/>
      <w:lvlJc w:val="left"/>
    </w:lvl>
    <w:lvl w:ilvl="3" w:tplc="1FDEFDB2">
      <w:numFmt w:val="decimal"/>
      <w:lvlText w:val=""/>
      <w:lvlJc w:val="left"/>
    </w:lvl>
    <w:lvl w:ilvl="4" w:tplc="296C95D8">
      <w:numFmt w:val="decimal"/>
      <w:lvlText w:val=""/>
      <w:lvlJc w:val="left"/>
    </w:lvl>
    <w:lvl w:ilvl="5" w:tplc="06B0EDB6">
      <w:numFmt w:val="decimal"/>
      <w:lvlText w:val=""/>
      <w:lvlJc w:val="left"/>
    </w:lvl>
    <w:lvl w:ilvl="6" w:tplc="1E9EE180">
      <w:numFmt w:val="decimal"/>
      <w:lvlText w:val=""/>
      <w:lvlJc w:val="left"/>
    </w:lvl>
    <w:lvl w:ilvl="7" w:tplc="B0ECDA9C">
      <w:numFmt w:val="decimal"/>
      <w:lvlText w:val=""/>
      <w:lvlJc w:val="left"/>
    </w:lvl>
    <w:lvl w:ilvl="8" w:tplc="0DFE4664">
      <w:numFmt w:val="decimal"/>
      <w:lvlText w:val=""/>
      <w:lvlJc w:val="left"/>
    </w:lvl>
  </w:abstractNum>
  <w:abstractNum w:abstractNumId="9" w15:restartNumberingAfterBreak="0">
    <w:nsid w:val="40A7777C"/>
    <w:multiLevelType w:val="hybridMultilevel"/>
    <w:tmpl w:val="252A02E4"/>
    <w:lvl w:ilvl="0" w:tplc="4B4E510C">
      <w:start w:val="1"/>
      <w:numFmt w:val="decimal"/>
      <w:lvlText w:val="%1."/>
      <w:lvlJc w:val="left"/>
      <w:pPr>
        <w:ind w:left="540" w:hanging="280"/>
      </w:pPr>
    </w:lvl>
    <w:lvl w:ilvl="1" w:tplc="C734A65E">
      <w:numFmt w:val="decimal"/>
      <w:lvlText w:val=""/>
      <w:lvlJc w:val="left"/>
    </w:lvl>
    <w:lvl w:ilvl="2" w:tplc="DC846668">
      <w:numFmt w:val="decimal"/>
      <w:lvlText w:val=""/>
      <w:lvlJc w:val="left"/>
    </w:lvl>
    <w:lvl w:ilvl="3" w:tplc="03F07DCC">
      <w:numFmt w:val="decimal"/>
      <w:lvlText w:val=""/>
      <w:lvlJc w:val="left"/>
    </w:lvl>
    <w:lvl w:ilvl="4" w:tplc="5A5CD8B2">
      <w:numFmt w:val="decimal"/>
      <w:lvlText w:val=""/>
      <w:lvlJc w:val="left"/>
    </w:lvl>
    <w:lvl w:ilvl="5" w:tplc="A7CCBF1C">
      <w:numFmt w:val="decimal"/>
      <w:lvlText w:val=""/>
      <w:lvlJc w:val="left"/>
    </w:lvl>
    <w:lvl w:ilvl="6" w:tplc="3BC8ED56">
      <w:numFmt w:val="decimal"/>
      <w:lvlText w:val=""/>
      <w:lvlJc w:val="left"/>
    </w:lvl>
    <w:lvl w:ilvl="7" w:tplc="9CE8F15A">
      <w:numFmt w:val="decimal"/>
      <w:lvlText w:val=""/>
      <w:lvlJc w:val="left"/>
    </w:lvl>
    <w:lvl w:ilvl="8" w:tplc="C4244112">
      <w:numFmt w:val="decimal"/>
      <w:lvlText w:val=""/>
      <w:lvlJc w:val="left"/>
    </w:lvl>
  </w:abstractNum>
  <w:abstractNum w:abstractNumId="10" w15:restartNumberingAfterBreak="0">
    <w:nsid w:val="460D270E"/>
    <w:multiLevelType w:val="hybridMultilevel"/>
    <w:tmpl w:val="E60275C6"/>
    <w:lvl w:ilvl="0" w:tplc="972E541C">
      <w:start w:val="1"/>
      <w:numFmt w:val="decimal"/>
      <w:lvlText w:val="%1."/>
      <w:lvlJc w:val="left"/>
      <w:pPr>
        <w:ind w:left="540" w:hanging="280"/>
      </w:pPr>
    </w:lvl>
    <w:lvl w:ilvl="1" w:tplc="36E8AF0C">
      <w:numFmt w:val="decimal"/>
      <w:lvlText w:val=""/>
      <w:lvlJc w:val="left"/>
    </w:lvl>
    <w:lvl w:ilvl="2" w:tplc="DC02F804">
      <w:numFmt w:val="decimal"/>
      <w:lvlText w:val=""/>
      <w:lvlJc w:val="left"/>
    </w:lvl>
    <w:lvl w:ilvl="3" w:tplc="70CCABDC">
      <w:numFmt w:val="decimal"/>
      <w:lvlText w:val=""/>
      <w:lvlJc w:val="left"/>
    </w:lvl>
    <w:lvl w:ilvl="4" w:tplc="B7C48F62">
      <w:numFmt w:val="decimal"/>
      <w:lvlText w:val=""/>
      <w:lvlJc w:val="left"/>
    </w:lvl>
    <w:lvl w:ilvl="5" w:tplc="2D7C440C">
      <w:numFmt w:val="decimal"/>
      <w:lvlText w:val=""/>
      <w:lvlJc w:val="left"/>
    </w:lvl>
    <w:lvl w:ilvl="6" w:tplc="F1749BE8">
      <w:numFmt w:val="decimal"/>
      <w:lvlText w:val=""/>
      <w:lvlJc w:val="left"/>
    </w:lvl>
    <w:lvl w:ilvl="7" w:tplc="9C1089EA">
      <w:numFmt w:val="decimal"/>
      <w:lvlText w:val=""/>
      <w:lvlJc w:val="left"/>
    </w:lvl>
    <w:lvl w:ilvl="8" w:tplc="3F7CDDFE">
      <w:numFmt w:val="decimal"/>
      <w:lvlText w:val=""/>
      <w:lvlJc w:val="left"/>
    </w:lvl>
  </w:abstractNum>
  <w:abstractNum w:abstractNumId="11" w15:restartNumberingAfterBreak="0">
    <w:nsid w:val="5774453F"/>
    <w:multiLevelType w:val="hybridMultilevel"/>
    <w:tmpl w:val="716E1DA8"/>
    <w:lvl w:ilvl="0" w:tplc="3D3C919C">
      <w:start w:val="1"/>
      <w:numFmt w:val="decimal"/>
      <w:lvlText w:val="%1."/>
      <w:lvlJc w:val="left"/>
      <w:pPr>
        <w:ind w:left="540" w:hanging="280"/>
      </w:pPr>
    </w:lvl>
    <w:lvl w:ilvl="1" w:tplc="7CE6093C">
      <w:numFmt w:val="decimal"/>
      <w:lvlText w:val=""/>
      <w:lvlJc w:val="left"/>
    </w:lvl>
    <w:lvl w:ilvl="2" w:tplc="C34CF330">
      <w:numFmt w:val="decimal"/>
      <w:lvlText w:val=""/>
      <w:lvlJc w:val="left"/>
    </w:lvl>
    <w:lvl w:ilvl="3" w:tplc="19E26A6E">
      <w:numFmt w:val="decimal"/>
      <w:lvlText w:val=""/>
      <w:lvlJc w:val="left"/>
    </w:lvl>
    <w:lvl w:ilvl="4" w:tplc="8818A144">
      <w:numFmt w:val="decimal"/>
      <w:lvlText w:val=""/>
      <w:lvlJc w:val="left"/>
    </w:lvl>
    <w:lvl w:ilvl="5" w:tplc="336896D8">
      <w:numFmt w:val="decimal"/>
      <w:lvlText w:val=""/>
      <w:lvlJc w:val="left"/>
    </w:lvl>
    <w:lvl w:ilvl="6" w:tplc="75BC528A">
      <w:numFmt w:val="decimal"/>
      <w:lvlText w:val=""/>
      <w:lvlJc w:val="left"/>
    </w:lvl>
    <w:lvl w:ilvl="7" w:tplc="08B0BCD6">
      <w:numFmt w:val="decimal"/>
      <w:lvlText w:val=""/>
      <w:lvlJc w:val="left"/>
    </w:lvl>
    <w:lvl w:ilvl="8" w:tplc="0706CB72">
      <w:numFmt w:val="decimal"/>
      <w:lvlText w:val=""/>
      <w:lvlJc w:val="left"/>
    </w:lvl>
  </w:abstractNum>
  <w:abstractNum w:abstractNumId="12" w15:restartNumberingAfterBreak="0">
    <w:nsid w:val="738911D2"/>
    <w:multiLevelType w:val="hybridMultilevel"/>
    <w:tmpl w:val="B62A0668"/>
    <w:lvl w:ilvl="0" w:tplc="03ECB518">
      <w:start w:val="1"/>
      <w:numFmt w:val="decimal"/>
      <w:lvlText w:val="%1."/>
      <w:lvlJc w:val="left"/>
      <w:pPr>
        <w:ind w:left="540" w:hanging="280"/>
      </w:pPr>
    </w:lvl>
    <w:lvl w:ilvl="1" w:tplc="EE0616BE">
      <w:numFmt w:val="decimal"/>
      <w:lvlText w:val=""/>
      <w:lvlJc w:val="left"/>
    </w:lvl>
    <w:lvl w:ilvl="2" w:tplc="D5886804">
      <w:numFmt w:val="decimal"/>
      <w:lvlText w:val=""/>
      <w:lvlJc w:val="left"/>
    </w:lvl>
    <w:lvl w:ilvl="3" w:tplc="D1984E2C">
      <w:numFmt w:val="decimal"/>
      <w:lvlText w:val=""/>
      <w:lvlJc w:val="left"/>
    </w:lvl>
    <w:lvl w:ilvl="4" w:tplc="6CC403B0">
      <w:numFmt w:val="decimal"/>
      <w:lvlText w:val=""/>
      <w:lvlJc w:val="left"/>
    </w:lvl>
    <w:lvl w:ilvl="5" w:tplc="C3AAFC9C">
      <w:numFmt w:val="decimal"/>
      <w:lvlText w:val=""/>
      <w:lvlJc w:val="left"/>
    </w:lvl>
    <w:lvl w:ilvl="6" w:tplc="BAC81D56">
      <w:numFmt w:val="decimal"/>
      <w:lvlText w:val=""/>
      <w:lvlJc w:val="left"/>
    </w:lvl>
    <w:lvl w:ilvl="7" w:tplc="D924D6A2">
      <w:numFmt w:val="decimal"/>
      <w:lvlText w:val=""/>
      <w:lvlJc w:val="left"/>
    </w:lvl>
    <w:lvl w:ilvl="8" w:tplc="C52E22CE">
      <w:numFmt w:val="decimal"/>
      <w:lvlText w:val=""/>
      <w:lvlJc w:val="left"/>
    </w:lvl>
  </w:abstractNum>
  <w:abstractNum w:abstractNumId="13" w15:restartNumberingAfterBreak="0">
    <w:nsid w:val="76B129F7"/>
    <w:multiLevelType w:val="hybridMultilevel"/>
    <w:tmpl w:val="45425884"/>
    <w:lvl w:ilvl="0" w:tplc="4EB6009C">
      <w:start w:val="1"/>
      <w:numFmt w:val="decimal"/>
      <w:lvlText w:val="%1."/>
      <w:lvlJc w:val="left"/>
      <w:pPr>
        <w:ind w:left="540" w:hanging="280"/>
      </w:pPr>
    </w:lvl>
    <w:lvl w:ilvl="1" w:tplc="BB2AB9EC">
      <w:numFmt w:val="decimal"/>
      <w:lvlText w:val=""/>
      <w:lvlJc w:val="left"/>
    </w:lvl>
    <w:lvl w:ilvl="2" w:tplc="3D94D56E">
      <w:numFmt w:val="decimal"/>
      <w:lvlText w:val=""/>
      <w:lvlJc w:val="left"/>
    </w:lvl>
    <w:lvl w:ilvl="3" w:tplc="80F47E12">
      <w:numFmt w:val="decimal"/>
      <w:lvlText w:val=""/>
      <w:lvlJc w:val="left"/>
    </w:lvl>
    <w:lvl w:ilvl="4" w:tplc="0FEC1DE6">
      <w:numFmt w:val="decimal"/>
      <w:lvlText w:val=""/>
      <w:lvlJc w:val="left"/>
    </w:lvl>
    <w:lvl w:ilvl="5" w:tplc="5D0AB736">
      <w:numFmt w:val="decimal"/>
      <w:lvlText w:val=""/>
      <w:lvlJc w:val="left"/>
    </w:lvl>
    <w:lvl w:ilvl="6" w:tplc="045A6DDA">
      <w:numFmt w:val="decimal"/>
      <w:lvlText w:val=""/>
      <w:lvlJc w:val="left"/>
    </w:lvl>
    <w:lvl w:ilvl="7" w:tplc="A00C928E">
      <w:numFmt w:val="decimal"/>
      <w:lvlText w:val=""/>
      <w:lvlJc w:val="left"/>
    </w:lvl>
    <w:lvl w:ilvl="8" w:tplc="CE647704">
      <w:numFmt w:val="decimal"/>
      <w:lvlText w:val=""/>
      <w:lvlJc w:val="left"/>
    </w:lvl>
  </w:abstractNum>
  <w:abstractNum w:abstractNumId="14" w15:restartNumberingAfterBreak="0">
    <w:nsid w:val="7C3F55EE"/>
    <w:multiLevelType w:val="hybridMultilevel"/>
    <w:tmpl w:val="93A6B54E"/>
    <w:lvl w:ilvl="0" w:tplc="FC68D114">
      <w:start w:val="1"/>
      <w:numFmt w:val="decimal"/>
      <w:lvlText w:val="%1."/>
      <w:lvlJc w:val="left"/>
      <w:pPr>
        <w:ind w:left="540" w:hanging="280"/>
      </w:pPr>
    </w:lvl>
    <w:lvl w:ilvl="1" w:tplc="927AC9B6">
      <w:numFmt w:val="decimal"/>
      <w:lvlText w:val=""/>
      <w:lvlJc w:val="left"/>
    </w:lvl>
    <w:lvl w:ilvl="2" w:tplc="D6784A00">
      <w:numFmt w:val="decimal"/>
      <w:lvlText w:val=""/>
      <w:lvlJc w:val="left"/>
    </w:lvl>
    <w:lvl w:ilvl="3" w:tplc="79900D52">
      <w:numFmt w:val="decimal"/>
      <w:lvlText w:val=""/>
      <w:lvlJc w:val="left"/>
    </w:lvl>
    <w:lvl w:ilvl="4" w:tplc="6484A8D4">
      <w:numFmt w:val="decimal"/>
      <w:lvlText w:val=""/>
      <w:lvlJc w:val="left"/>
    </w:lvl>
    <w:lvl w:ilvl="5" w:tplc="4C389386">
      <w:numFmt w:val="decimal"/>
      <w:lvlText w:val=""/>
      <w:lvlJc w:val="left"/>
    </w:lvl>
    <w:lvl w:ilvl="6" w:tplc="1BB665D0">
      <w:numFmt w:val="decimal"/>
      <w:lvlText w:val=""/>
      <w:lvlJc w:val="left"/>
    </w:lvl>
    <w:lvl w:ilvl="7" w:tplc="5EEC0558">
      <w:numFmt w:val="decimal"/>
      <w:lvlText w:val=""/>
      <w:lvlJc w:val="left"/>
    </w:lvl>
    <w:lvl w:ilvl="8" w:tplc="81C87070">
      <w:numFmt w:val="decimal"/>
      <w:lvlText w:val=""/>
      <w:lvlJc w:val="left"/>
    </w:lvl>
  </w:abstractNum>
  <w:num w:numId="1" w16cid:durableId="1141313839">
    <w:abstractNumId w:val="4"/>
    <w:lvlOverride w:ilvl="0">
      <w:startOverride w:val="1"/>
    </w:lvlOverride>
  </w:num>
  <w:num w:numId="2" w16cid:durableId="165494384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D4E"/>
    <w:rsid w:val="002570DD"/>
    <w:rsid w:val="006D6D65"/>
    <w:rsid w:val="008E2B31"/>
    <w:rsid w:val="009B3D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69C3C"/>
  <w15:docId w15:val="{A5D76600-7F67-4517-A477-56BD56301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2B49"/>
      <w:sz w:val="34"/>
      <w:szCs w:val="34"/>
    </w:rPr>
  </w:style>
  <w:style w:type="paragraph" w:styleId="Heading2">
    <w:name w:val="heading 2"/>
    <w:uiPriority w:val="9"/>
    <w:unhideWhenUsed/>
    <w:qFormat/>
    <w:pPr>
      <w:spacing w:before="240" w:after="110"/>
      <w:outlineLvl w:val="1"/>
    </w:pPr>
    <w:rPr>
      <w:b/>
      <w:bCs/>
      <w:color w:val="0B6B62"/>
      <w:sz w:val="26"/>
      <w:szCs w:val="26"/>
    </w:rPr>
  </w:style>
  <w:style w:type="paragraph" w:styleId="Heading3">
    <w:name w:val="heading 3"/>
    <w:uiPriority w:val="9"/>
    <w:unhideWhenUsed/>
    <w:qFormat/>
    <w:pPr>
      <w:spacing w:before="180" w:after="80"/>
      <w:outlineLvl w:val="2"/>
    </w:pPr>
    <w:rPr>
      <w:b/>
      <w:bCs/>
      <w:color w:val="1A2B4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1601</Words>
  <Characters>9130</Characters>
  <Application>Microsoft Office Word</Application>
  <DocSecurity>0</DocSecurity>
  <Lines>76</Lines>
  <Paragraphs>21</Paragraphs>
  <ScaleCrop>false</ScaleCrop>
  <Company/>
  <LinksUpToDate>false</LinksUpToDate>
  <CharactersWithSpaces>10710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Kannan Kuppusamy</dc:creator>
  <cp:lastModifiedBy>Kannan Kuppusamy</cp:lastModifiedBy>
  <cp:revision>2</cp:revision>
  <dcterms:created xsi:type="dcterms:W3CDTF">2026-07-29T11:20:00Z</dcterms:created>
  <dcterms:modified xsi:type="dcterms:W3CDTF">2026-07-29T11:20:00Z</dcterms:modified>
</cp:coreProperties>
</file>