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FIELD GUIDE  ·  WEEK 12</w:t>
      </w:r>
    </w:p>
    <w:p>
      <w:pPr>
        <w:pStyle w:val="Heading1"/>
        <w:spacing w:after="70"/>
      </w:pPr>
      <w:r>
        <w:t xml:space="preserve">Safety &amp; Red-teaming</w:t>
      </w:r>
    </w:p>
    <w:p>
      <w:pPr>
        <w:spacing w:after="60"/>
      </w:pPr>
      <w:r>
        <w:rPr>
          <w:i/>
          <w:iCs/>
          <w:color w:val="555555"/>
          <w:sz w:val="22"/>
          <w:szCs w:val="22"/>
        </w:rPr>
        <w:t xml:space="preserve">What does it do when someone is actively trying to make it misbehave?</w:t>
      </w:r>
    </w:p>
    <w:p>
      <w:pPr>
        <w:spacing w:after="180"/>
      </w:pPr>
      <w:r>
        <w:rPr>
          <w:color w:val="1A2B49"/>
          <w:sz w:val="18"/>
          <w:szCs w:val="18"/>
        </w:rPr>
        <w:t xml:space="preserve">Kannan K  ·  AI Governance &amp; Cybersecurity Leader  ·  Part of AI Governance, Unpacked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idea in this week.  </w:t>
            </w:r>
            <w:r>
              <w:t xml:space="preserve">Every test so far has assumed a cooperative user — someone asking ordinary questions in good faith. Red-teaming assumes the opposite. And the gap between those two populations is where most AI incidents actually live, because a system that performs well for honest users can fail completely against someone with an afternoon and a motive.</w:t>
            </w:r>
          </w:p>
        </w:tc>
      </w:tr>
    </w:tbl>
    <w:p>
      <w:pPr>
        <w:spacing w:after="140"/>
      </w:pPr>
      <w:r>
        <w:t xml:space="preserve"/>
      </w:r>
    </w:p>
    <w:p>
      <w:pPr>
        <w:pStyle w:val="Heading1"/>
        <w:spacing w:after="120" w:before="240"/>
      </w:pPr>
      <w:r>
        <w:t xml:space="preserve">Where the obligations sit — and an important honesty point</w:t>
      </w:r>
    </w:p>
    <w:p>
      <w:pPr>
        <w:spacing w:after="120"/>
      </w:pPr>
      <w:r>
        <w:t xml:space="preserve">Be precise here, because this is the domain where the temptation to overstate is strongest. The EU AI Act's adversarial-testing duties sit in two places, and neither is likely to bind the organisation reading this. Article 55 requires model evaluation including adversarial testing for providers of general-purpose AI models with systemic risk — a population of a handful of frontier labs, not deployers. Article 9's risk management requirements, which encompass robustness testing, attach to high-risk systems.</w:t>
      </w:r>
    </w:p>
    <w:p>
      <w:pPr>
        <w:spacing w:after="120"/>
      </w:pPr>
      <w:r>
        <w:t xml:space="preserve">If your system is limited-risk and you buy your model rather than train it, neither applies to you. Say so. Then explain why the testing matters anyway: the failure modes are real, they are exploitable by anyone with a browser, and the reputational and conduct consequences of a customer-facing assistant being talked into giving guaranteed investment advice do not depend on which tier the system sits in.</w:t>
      </w:r>
    </w:p>
    <w:p>
      <w:pPr>
        <w:spacing w:after="120"/>
      </w:pPr>
      <w:r>
        <w:t xml:space="preserve">What does apply: your existing security testing obligations, which for a regulated financial entity include DORA's digital operational resilience testing requirements; your conduct duties; and your data protection obligations, since several of the attacks in this domain are data exfiltration attempts by another name.</w:t>
      </w:r>
    </w:p>
    <w:p>
      <w:pPr>
        <w:spacing w:after="120"/>
      </w:pPr>
      <w:r>
        <w:t xml:space="preserve">For method, use OWASP's Top 10 for LLM Applications as the coverage checklist and MITRE ATLAS as the taxonomy for describing what you found. Both are free, both are widely recognised, and using a shared vocabulary makes your findings legible to a security team that has never assessed an AI system.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E8A33D" w:sz="18"/>
              <w:bottom w:val="single" w:color="DDDDDD" w:sz="2"/>
              <w:right w:val="single" w:color="DDDDDD" w:sz="2"/>
            </w:tcBorders>
            <w:shd w:fill="FBF7F0" w:val="clear"/>
            <w:tcMar>
              <w:top w:type="dxa" w:w="130"/>
              <w:left w:type="dxa" w:w="170"/>
              <w:bottom w:type="dxa" w:w="130"/>
              <w:right w:type="dxa" w:w="170"/>
            </w:tcMar>
          </w:tcPr>
          <w:p>
            <w:r>
              <w:rPr>
                <w:b/>
                <w:bCs/>
                <w:color w:val="1A2B49"/>
              </w:rPr>
              <w:t xml:space="preserve">Do not claim Article 55 applies to your chatbot.  </w:t>
            </w:r>
            <w:r>
              <w:t xml:space="preserve">It binds providers of GPAI models with systemic risk — a very small group of frontier model developers. A deployer running a support assistant on a purchased API is not in scope, and asserting otherwise in front of anyone who has read the Act costs you the room. The honest framing is stronger: this is not required of you, and here is why you should do it anyway.</w:t>
            </w:r>
          </w:p>
        </w:tc>
      </w:tr>
    </w:tbl>
    <w:p>
      <w:pPr>
        <w:spacing w:after="140"/>
      </w:pPr>
      <w:r>
        <w:t xml:space="preserve"/>
      </w:r>
    </w:p>
    <w:p>
      <w:pPr>
        <w:pStyle w:val="Heading1"/>
        <w:spacing w:after="120" w:before="240"/>
      </w:pPr>
      <w:r>
        <w:t xml:space="preserve">The ten questions to ask of your own AI system</w:t>
      </w:r>
    </w:p>
    <w:p>
      <w:pPr>
        <w:spacing w:after="120"/>
      </w:pPr>
      <w:r>
        <w:t xml:space="preserve">These map one-to-one to the W12 tab in the workbook. Work them in order.</w:t>
      </w:r>
    </w:p>
    <w:p>
      <w:pPr>
        <w:spacing w:after="50" w:before="180"/>
      </w:pPr>
      <w:r>
        <w:rPr>
          <w:b/>
          <w:bCs/>
          <w:color w:val="E8A33D"/>
          <w:sz w:val="22"/>
          <w:szCs w:val="22"/>
        </w:rPr>
        <w:t xml:space="preserve">01   </w:t>
      </w:r>
      <w:r>
        <w:rPr>
          <w:b/>
          <w:bCs/>
          <w:color w:val="1A2B49"/>
          <w:sz w:val="22"/>
          <w:szCs w:val="22"/>
        </w:rPr>
        <w:t xml:space="preserve">Is the testing itself authorised, and in writing?</w:t>
      </w:r>
    </w:p>
    <w:p>
      <w:pPr>
        <w:spacing w:after="60"/>
      </w:pPr>
      <w:r>
        <w:t xml:space="preserve">Adversarial testing of a production customer-facing system needs documented authorisation, a synthetic-data-only rule, and a stop condition — if you find real customer data exposed, you stop and escalate rather than continuing to document. And control who can read the results: a red-team report is a list of working attacks against your live system.</w:t>
      </w:r>
    </w:p>
    <w:p>
      <w:pPr>
        <w:spacing w:after="50" w:before="180"/>
      </w:pPr>
      <w:r>
        <w:rPr>
          <w:b/>
          <w:bCs/>
          <w:color w:val="E8A33D"/>
          <w:sz w:val="22"/>
          <w:szCs w:val="22"/>
        </w:rPr>
        <w:t xml:space="preserve">02   </w:t>
      </w:r>
      <w:r>
        <w:rPr>
          <w:b/>
          <w:bCs/>
          <w:color w:val="1A2B49"/>
          <w:sz w:val="22"/>
          <w:szCs w:val="22"/>
        </w:rPr>
        <w:t xml:space="preserve">Who would actually attack this, and what would they want?</w:t>
      </w:r>
    </w:p>
    <w:p>
      <w:pPr>
        <w:spacing w:after="60"/>
      </w:pPr>
      <w:r>
        <w:t xml:space="preserve">Not a generic list of LLM risks — actors, motives and routes specific to your deployment. The one most people miss: a fraudster using your assistant to learn how your verification process works. No content filter detects that, and it is worth more to them than any single account.</w:t>
      </w:r>
    </w:p>
    <w:p>
      <w:pPr>
        <w:spacing w:after="50" w:before="180"/>
      </w:pPr>
      <w:r>
        <w:rPr>
          <w:b/>
          <w:bCs/>
          <w:color w:val="E8A33D"/>
          <w:sz w:val="22"/>
          <w:szCs w:val="22"/>
        </w:rPr>
        <w:t xml:space="preserve">03   </w:t>
      </w:r>
      <w:r>
        <w:rPr>
          <w:b/>
          <w:bCs/>
          <w:color w:val="1A2B49"/>
          <w:sz w:val="22"/>
          <w:szCs w:val="22"/>
        </w:rPr>
        <w:t xml:space="preserve">Have you tried a conversation, not just a question?</w:t>
      </w:r>
    </w:p>
    <w:p>
      <w:pPr>
        <w:spacing w:after="60"/>
      </w:pPr>
      <w:r>
        <w:t xml:space="preserve">Incremental escalation is the highest-yield technique in this domain and it cannot be tested in a single turn. Build a sequence of five or six steps, each individually reasonable, ending somewhere the assistant would refuse outright if you asked directly. Then repeat the promising attempts — non-determinism means an attack that fails twice may work on the third try.</w:t>
      </w:r>
    </w:p>
    <w:p>
      <w:pPr>
        <w:spacing w:after="50" w:before="180"/>
      </w:pPr>
      <w:r>
        <w:rPr>
          <w:b/>
          <w:bCs/>
          <w:color w:val="E8A33D"/>
          <w:sz w:val="22"/>
          <w:szCs w:val="22"/>
        </w:rPr>
        <w:t xml:space="preserve">04   </w:t>
      </w:r>
      <w:r>
        <w:rPr>
          <w:b/>
          <w:bCs/>
          <w:color w:val="1A2B49"/>
          <w:sz w:val="22"/>
          <w:szCs w:val="22"/>
        </w:rPr>
        <w:t xml:space="preserve">What does it say under pressure?</w:t>
      </w:r>
    </w:p>
    <w:p>
      <w:pPr>
        <w:spacing w:after="60"/>
      </w:pPr>
      <w:r>
        <w:t xml:space="preserve">Test politely and you will learn very little. Real customers repeat themselves, express frustration, and claim another agent said something different. Under that pressure, check specifically for guarantee language and for commitment language — an assistant that says the bank “will” do something has created an expectation you may have to honour.</w:t>
      </w:r>
    </w:p>
    <w:p>
      <w:pPr>
        <w:spacing w:after="50" w:before="180"/>
      </w:pPr>
      <w:r>
        <w:rPr>
          <w:b/>
          <w:bCs/>
          <w:color w:val="E8A33D"/>
          <w:sz w:val="22"/>
          <w:szCs w:val="22"/>
        </w:rPr>
        <w:t xml:space="preserve">05   </w:t>
      </w:r>
      <w:r>
        <w:rPr>
          <w:b/>
          <w:bCs/>
          <w:color w:val="1A2B49"/>
          <w:sz w:val="22"/>
          <w:szCs w:val="22"/>
        </w:rPr>
        <w:t xml:space="preserve">Can one customer learn about another?</w:t>
      </w:r>
    </w:p>
    <w:p>
      <w:pPr>
        <w:spacing w:after="60"/>
      </w:pPr>
      <w:r>
        <w:t xml:space="preserve">Set up two synthetic accounts and try, as one, to obtain information about the other — by reference, by confusion, by claimed authority. And watch for structure disclosure, which most people ignore: an assistant that reveals what fields a customer record contains has handed over reconnaissance without disclosing a single real value.</w:t>
      </w:r>
    </w:p>
    <w:p>
      <w:pPr>
        <w:spacing w:after="50" w:before="180"/>
      </w:pPr>
      <w:r>
        <w:rPr>
          <w:b/>
          <w:bCs/>
          <w:color w:val="E8A33D"/>
          <w:sz w:val="22"/>
          <w:szCs w:val="22"/>
        </w:rPr>
        <w:t xml:space="preserve">06   </w:t>
      </w:r>
      <w:r>
        <w:rPr>
          <w:b/>
          <w:bCs/>
          <w:color w:val="1A2B49"/>
          <w:sz w:val="22"/>
          <w:szCs w:val="22"/>
        </w:rPr>
        <w:t xml:space="preserve">Where is authorisation actually enforced?</w:t>
      </w:r>
    </w:p>
    <w:p>
      <w:pPr>
        <w:spacing w:after="60"/>
      </w:pPr>
      <w:r>
        <w:t xml:space="preserve">If your assistant can take actions, this is the question that matters most. A prompt instruction saying it should only act for the authenticated customer is not an access control. The model can be talked out of an instruction; it cannot be talked out of an API-enforced scope. Test parameter manipulation, and test chaining — several benign actions combining into one that should not be possible.</w:t>
      </w:r>
    </w:p>
    <w:p>
      <w:pPr>
        <w:spacing w:after="50" w:before="180"/>
      </w:pPr>
      <w:r>
        <w:rPr>
          <w:b/>
          <w:bCs/>
          <w:color w:val="E8A33D"/>
          <w:sz w:val="22"/>
          <w:szCs w:val="22"/>
        </w:rPr>
        <w:t xml:space="preserve">07   </w:t>
      </w:r>
      <w:r>
        <w:rPr>
          <w:b/>
          <w:bCs/>
          <w:color w:val="1A2B49"/>
          <w:sz w:val="22"/>
          <w:szCs w:val="22"/>
        </w:rPr>
        <w:t xml:space="preserve">Can someone run up your bill?</w:t>
      </w:r>
    </w:p>
    <w:p>
      <w:pPr>
        <w:spacing w:after="60"/>
      </w:pPr>
      <w:r>
        <w:t xml:space="preserve">Long inputs, very long conversations that carry their whole history into every turn, automated volume, requests for endless output. Then ask how you would find out — if the answer is the monthly invoice, that is a slow detection path for an attack that takes an afternoon. Unbounded cost is an availability attack, because the mitigation when the bill spikes is usually to switch the service off.</w:t>
      </w:r>
    </w:p>
    <w:p>
      <w:pPr>
        <w:spacing w:after="50" w:before="180"/>
      </w:pPr>
      <w:r>
        <w:rPr>
          <w:b/>
          <w:bCs/>
          <w:color w:val="E8A33D"/>
          <w:sz w:val="22"/>
          <w:szCs w:val="22"/>
        </w:rPr>
        <w:t xml:space="preserve">08   </w:t>
      </w:r>
      <w:r>
        <w:rPr>
          <w:b/>
          <w:bCs/>
          <w:color w:val="1A2B49"/>
          <w:sz w:val="22"/>
          <w:szCs w:val="22"/>
        </w:rPr>
        <w:t xml:space="preserve">Do the findings go where security findings go?</w:t>
      </w:r>
    </w:p>
    <w:p>
      <w:pPr>
        <w:spacing w:after="60"/>
      </w:pPr>
      <w:r>
        <w:t xml:space="preserve">AI vulnerabilities belong in your existing vulnerability management queue, not in a separate AI document the security team never opens. Rate them on exploitability and impact together — an attack needing twenty minutes of patience and no technical skill outranks one needing specialist tooling.</w:t>
      </w:r>
    </w:p>
    <w:p>
      <w:pPr>
        <w:spacing w:after="50" w:before="180"/>
      </w:pPr>
      <w:r>
        <w:rPr>
          <w:b/>
          <w:bCs/>
          <w:color w:val="E8A33D"/>
          <w:sz w:val="22"/>
          <w:szCs w:val="22"/>
        </w:rPr>
        <w:t xml:space="preserve">09   </w:t>
      </w:r>
      <w:r>
        <w:rPr>
          <w:b/>
          <w:bCs/>
          <w:color w:val="1A2B49"/>
          <w:sz w:val="22"/>
          <w:szCs w:val="22"/>
        </w:rPr>
        <w:t xml:space="preserve">Did you re-test the fix, and did you vary the attack?</w:t>
      </w:r>
    </w:p>
    <w:p>
      <w:pPr>
        <w:spacing w:after="60"/>
      </w:pPr>
      <w:r>
        <w:t xml:space="preserve">Prompt-level guardrail fixes are usually phrasing-specific. Blocking the exact wording you reported often leaves the same behaviour reachable one sentence away. Re-run the original attack and at least three variations — and prefer architectural fixes to prompt instructions wherever the risk justifies it.</w:t>
      </w:r>
    </w:p>
    <w:p>
      <w:pPr>
        <w:spacing w:after="50" w:before="180"/>
      </w:pPr>
      <w:r>
        <w:rPr>
          <w:b/>
          <w:bCs/>
          <w:color w:val="E8A33D"/>
          <w:sz w:val="22"/>
          <w:szCs w:val="22"/>
        </w:rPr>
        <w:t xml:space="preserve">10   </w:t>
      </w:r>
      <w:r>
        <w:rPr>
          <w:b/>
          <w:bCs/>
          <w:color w:val="1A2B49"/>
          <w:sz w:val="22"/>
          <w:szCs w:val="22"/>
        </w:rPr>
        <w:t xml:space="preserve">When does this happen again?</w:t>
      </w:r>
    </w:p>
    <w:p>
      <w:pPr>
        <w:spacing w:after="60"/>
      </w:pPr>
      <w:r>
        <w:t xml:space="preserve">Model change, prompt change, new capability, new data source — all invalidate prior results, and if you have worked through Weeks 08 and 09 you know at least two have already happened. Retain your attack set: re-running previous attacks is the cheapest regression testing available and it is the thing most often skipped in favour of starting fresh.</w:t>
      </w:r>
    </w:p>
    <w:p>
      <w:pPr>
        <w:spacing w:after="160"/>
      </w:pPr>
      <w:r>
        <w:t xml:space="preserve"/>
      </w:r>
    </w:p>
    <w:p>
      <w:pPr>
        <w:pStyle w:val="Heading1"/>
        <w:spacing w:after="120" w:before="240"/>
      </w:pPr>
      <w:r>
        <w:t xml:space="preserve">What we found in the reference system</w:t>
      </w:r>
    </w:p>
    <w:p>
      <w:pPr>
        <w:spacing w:after="120"/>
      </w:pPr>
      <w:r>
        <w:t xml:space="preserve">Kannan's Virtual Bank is a fictional retail bank and its assistant is deliberately imperfect — that is the point of it. Running the ten checks produced three findings.</w:t>
      </w:r>
    </w:p>
    <w:p>
      <w:pPr>
        <w:pStyle w:val="Heading3"/>
        <w:spacing w:after="80" w:before="160"/>
      </w:pPr>
      <w:r>
        <w:t xml:space="preserve">1 · No adversarial testing has ever been performed</w:t>
      </w:r>
    </w:p>
    <w:p>
      <w:pPr>
        <w:spacing w:after="120"/>
      </w:pPr>
      <w:r>
        <w:t xml:space="preserve">Every test in the audit so far assumed a cooperative user. Nobody has ever sat down and tried to make the assistant misbehave. Headline finding. Maps to W12-01, W12-02.</w:t>
      </w:r>
    </w:p>
    <w:p>
      <w:pPr>
        <w:pStyle w:val="Heading3"/>
        <w:spacing w:after="80" w:before="160"/>
      </w:pPr>
      <w:r>
        <w:t xml:space="preserve">2 · Role-play framing produces partial system-prompt disclosure and record-structure leakage</w:t>
      </w:r>
    </w:p>
    <w:p>
      <w:pPr>
        <w:spacing w:after="120"/>
      </w:pPr>
      <w:r>
        <w:t xml:space="preserve">Building on the Week 09 injection finding, a sustained adversarial approach extracts more than a single-turn attempt did — including the shape of customer records. Maps to W12-03, W12-05.</w:t>
      </w:r>
    </w:p>
    <w:p>
      <w:pPr>
        <w:pStyle w:val="Heading3"/>
        <w:spacing w:after="80" w:before="160"/>
      </w:pPr>
      <w:r>
        <w:t xml:space="preserve">3 · Guardrails can be walked around by incremental escalation</w:t>
      </w:r>
    </w:p>
    <w:p>
      <w:pPr>
        <w:spacing w:after="120"/>
      </w:pPr>
      <w:r>
        <w:t xml:space="preserve">Individually reasonable steps, none of which would be refused alone, reach an output the assistant would decline if asked directly. Maps to W12-03, W12-04.</w:t>
      </w:r>
    </w:p>
    <w:p>
      <w:pPr>
        <w:spacing w:after="140"/>
      </w:pPr>
      <w:r>
        <w:t xml:space="preserve"/>
      </w:r>
    </w:p>
    <w:p>
      <w:pPr>
        <w:pStyle w:val="Heading1"/>
        <w:spacing w:after="120" w:before="240"/>
      </w:pPr>
      <w:r>
        <w:t xml:space="preserve">Using the workbook this week</w:t>
      </w:r>
    </w:p>
    <w:p>
      <w:pPr>
        <w:pStyle w:val="ListParagraph"/>
        <w:numPr>
          <w:ilvl w:val="0"/>
          <w:numId w:val="2"/>
        </w:numPr>
        <w:spacing w:after="60"/>
      </w:pPr>
      <w:r>
        <w:t xml:space="preserve">Open the W12 tab — ten checks mapped to the questions above.</w:t>
      </w:r>
    </w:p>
    <w:p>
      <w:pPr>
        <w:pStyle w:val="ListParagraph"/>
        <w:numPr>
          <w:ilvl w:val="0"/>
          <w:numId w:val="2"/>
        </w:numPr>
        <w:spacing w:after="60"/>
      </w:pPr>
      <w:r>
        <w:t xml:space="preserve">Work them against your own system, not a description of it. Set a Status and write what you actually saw.</w:t>
      </w:r>
    </w:p>
    <w:p>
      <w:pPr>
        <w:pStyle w:val="ListParagraph"/>
        <w:numPr>
          <w:ilvl w:val="0"/>
          <w:numId w:val="2"/>
        </w:numPr>
        <w:spacing w:after="60"/>
      </w:pPr>
      <w:r>
        <w:t xml:space="preserve">Every Fail or Partial gets a Findings Register line with a severity you would defend. Every Pass gets an Evidence Log item.</w:t>
      </w:r>
    </w:p>
    <w:p>
      <w:pPr>
        <w:pStyle w:val="ListParagraph"/>
        <w:numPr>
          <w:ilvl w:val="0"/>
          <w:numId w:val="2"/>
        </w:numPr>
        <w:spacing w:after="60"/>
      </w:pPr>
      <w:r>
        <w:t xml:space="preserve">Capture evidence as you test, not afterwards. Screenshots need the date and the input visible.</w:t>
      </w:r>
    </w:p>
    <w:p>
      <w:pPr>
        <w:pStyle w:val="ListParagraph"/>
        <w:numPr>
          <w:ilvl w:val="0"/>
          <w:numId w:val="2"/>
        </w:numPr>
        <w:spacing w:after="60"/>
      </w:pPr>
      <w:r>
        <w:t xml:space="preserve">Carry anything unresolved forward rather than closing it to keep the register tidy. An open finding is more useful than a clean one.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Next week — Week 13: Explainability.  </w:t>
            </w:r>
            <w:r>
              <w:t xml:space="preserve">We have found what goes wrong. Next: whether anyone can explain why the system said what it said — to a customer, or to a regulator.</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p>
      <w:pPr>
        <w:spacing w:after="100"/>
      </w:pPr>
      <w:r>
        <w:rPr>
          <w:color w:val="555555"/>
          <w:sz w:val="17"/>
          <w:szCs w:val="17"/>
        </w:rPr>
        <w:t xml:space="preserve">Kannan K  ·  AI Governance &amp; Cybersecurity Leader  ·  AIGP · CISM · CISA · ISO 27001 &amp; 42001 LA · SC-100 · MCT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Field Guide · Week 12 Safety &amp; Red-teaming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Practical AI Auditing  ·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2026-08-05T11:34:21.348Z</dcterms:created>
  <dcterms:modified xsi:type="dcterms:W3CDTF">2026-08-05T11:34:21.348Z</dcterms:modified>
</cp:coreProperties>
</file>

<file path=docProps/custom.xml><?xml version="1.0" encoding="utf-8"?>
<Properties xmlns="http://schemas.openxmlformats.org/officeDocument/2006/custom-properties" xmlns:vt="http://schemas.openxmlformats.org/officeDocument/2006/docPropsVTypes"/>
</file>