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GOVERNANCE ARTIFACT PACK  ·  WEEK 06</w:t>
      </w:r>
    </w:p>
    <w:p>
      <w:pPr>
        <w:pStyle w:val="Heading1"/>
        <w:spacing w:after="70"/>
      </w:pPr>
      <w:r>
        <w:t xml:space="preserve">Risk Classification — the paperwork</w:t>
      </w:r>
    </w:p>
    <w:p>
      <w:pPr>
        <w:spacing w:after="60"/>
      </w:pPr>
      <w:r>
        <w:rPr>
          <w:i/>
          <w:iCs/>
          <w:color w:val="555555"/>
          <w:sz w:val="22"/>
          <w:szCs w:val="22"/>
        </w:rPr>
        <w:t xml:space="preserve">The six documents an auditor asks for in this domain, as blank templates you can use</w:t>
      </w:r>
    </w:p>
    <w:p>
      <w:pPr>
        <w:spacing w:after="180"/>
      </w:pPr>
      <w:r>
        <w:rPr>
          <w:color w:val="1A2B49"/>
          <w:sz w:val="18"/>
          <w:szCs w:val="18"/>
        </w:rPr>
        <w:t xml:space="preserve">Kannan K  ·  AI Governance &amp; Cybersecurity Leader</w:t>
      </w:r>
    </w:p>
    <w:p>
      <w:pPr>
        <w:spacing w:after="120"/>
      </w:pPr>
      <w:r>
        <w:t xml:space="preserve">Risk classification is a documentation domain. When an auditor arrives, the question is not “what tier do you think you are?” — it is “show me the six documents.” These are those six, set out as templates you can lift and populate. Together they are the complete evidence set for the W06 tab of the AI Audit Accelerator.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How to use these.  </w:t>
            </w:r>
            <w:r>
              <w:t xml:space="preserve">Do not treat them as a form-filling exercise. The value of every one of these documents is in the reasoning column, not the conclusion column. A determination that records what was considered and rejected is defensible; one that records only the answer is decoration.</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w:t>
            </w:r>
          </w:p>
        </w:tc>
        <w:tc>
          <w:tcPr>
            <w:tcW w:type="dxa" w:w="3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Name</w:t>
            </w:r>
          </w:p>
        </w:tc>
        <w:tc>
          <w:tcPr>
            <w:tcW w:type="dxa" w:w="45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it proves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w:t>
            </w:r>
          </w:p>
        </w:tc>
        <w:tc>
          <w:tcPr>
            <w:tcW w:type="dxa" w:w="3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Risk Classification Determination Note</w:t>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someone decided the tier, on a date, with reasoning.</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w:t>
            </w:r>
          </w:p>
        </w:tc>
        <w:tc>
          <w:tcPr>
            <w:tcW w:type="dxa" w:w="3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Article 5 Prohibited Practice Screening</w:t>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the gate was applied before anything else.</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w:t>
            </w:r>
          </w:p>
        </w:tc>
        <w:tc>
          <w:tcPr>
            <w:tcW w:type="dxa" w:w="3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Annex III Screening Record</w:t>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the high-risk list was worked use case by use case.</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w:t>
            </w:r>
          </w:p>
        </w:tc>
        <w:tc>
          <w:tcPr>
            <w:tcW w:type="dxa" w:w="3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Output Risk Rating Sheet</w:t>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classification has resolution below system level.</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w:t>
            </w:r>
          </w:p>
        </w:tc>
        <w:tc>
          <w:tcPr>
            <w:tcW w:type="dxa" w:w="3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Article 50 Transparency Obligation Record</w:t>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the disclosure duty is identified, owned and dated.</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w:t>
            </w:r>
          </w:p>
        </w:tc>
        <w:tc>
          <w:tcPr>
            <w:tcW w:type="dxa" w:w="3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AI Impact Assessment Summary</w:t>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harm to people was assessed, not only risk to the institution.</w:t>
            </w:r>
          </w:p>
        </w:tc>
      </w:tr>
    </w:tbl>
    <w:p>
      <w:pPr>
        <w:pageBreakBefore/>
      </w:pPr>
      <w:r>
        <w:t xml:space="preserve"/>
      </w:r>
    </w:p>
    <w:p>
      <w:pPr>
        <w:pStyle w:val="Heading1"/>
        <w:spacing w:after="120" w:before="240"/>
      </w:pPr>
      <w:r>
        <w:t xml:space="preserve">A · Risk Classification Determination Note</w:t>
      </w:r>
    </w:p>
    <w:p>
      <w:pPr>
        <w:spacing w:after="120"/>
      </w:pPr>
      <w:r>
        <w:rPr>
          <w:i/>
          <w:iCs/>
          <w:color w:val="555555"/>
        </w:rPr>
        <w:t xml:space="preserve">The single most important artefact in this domain. If an organisation has only one of these six, it should be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System name and version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specific version this determination applies to. A determination that does not name a version cannot expire.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AI register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register row this note supports. The two must agree.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Determination date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date the decision was made, not the date the document was typed up.</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Determined by</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 named individual. The accountable owner from the RACI, or someone acting with their authority.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Approved by</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Where the tier carries obligations, a second name with the standing to approve.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Tier determined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One of: prohibited / high-risk / limited-risk / minimal. Use the Act's words, not colloquial labels.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Basis for the tier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reasoning. Which annexes and articles were tested, what was ruled out and why.</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Contested points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Any use case where a reasonable person could reach a different conclusion. Stating these is a strength, not a weakness.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Obligations that follow</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specific duties the tier attracts, each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Article 6(3) 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Required where an Annex III use case is assessed as not high-risk. Note whether it applies and where it sits.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Review date and triggers</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When this is revisited, and what forces an earlier revisit.</w:t>
            </w:r>
          </w:p>
        </w:tc>
      </w:tr>
    </w:tbl>
    <w:p>
      <w:pPr>
        <w:pageBreakBefore/>
      </w:pPr>
      <w:r>
        <w:t xml:space="preserve"/>
      </w:r>
    </w:p>
    <w:p>
      <w:pPr>
        <w:pStyle w:val="Heading1"/>
        <w:spacing w:after="120" w:before="240"/>
      </w:pPr>
      <w:r>
        <w:t xml:space="preserve">B · Article 5 Prohibited Practice Screening</w:t>
      </w:r>
    </w:p>
    <w:p>
      <w:pPr>
        <w:spacing w:after="120"/>
      </w:pPr>
      <w:r>
        <w:t xml:space="preserve">A gate, not a risk assessment. Each prohibition gets a yes/no and a reason. Screen against the current list — Article 5 was extended by the Digital Omnibus on AI, with the new prohibitions applying from 2 December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Prohibited practice (Art. 5)</w:t>
            </w:r>
          </w:p>
        </w:tc>
        <w:tc>
          <w:tcPr>
            <w:tcW w:type="dxa" w:w="1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Engaged?</w:t>
            </w:r>
          </w:p>
        </w:tc>
        <w:tc>
          <w:tcPr>
            <w:tcW w:type="dxa" w:w="3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Reasoning</w:t>
            </w:r>
          </w:p>
        </w:tc>
      </w:tr>
      <w:tr>
        <w:tc>
          <w:tcPr>
            <w:tcW w:type="dxa" w:w="4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Subliminal, manipulative or deceptive techniques materially distorting behaviour</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Exploiting vulnerability due to age, disability or socio-economic situation</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Social scoring leading to detrimental treatment in unrelated contexts</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Individual criminal-offence risk prediction based solely on profiling</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Untargeted scraping of facial images for facial recognition databases</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Emotion inference in workplace or education settings</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Biometric categorisation inferring protected attributes</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Real-time remote biometric identification in public spaces for law enforcement</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Generation of CSAM (added 2026; applies 2 Dec 2026)</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Generation of non-consensual intimate imagery (added 2026; applies 2 Dec 2026)</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one to take seriously in financial services.  </w:t>
            </w:r>
            <w:r>
              <w:t xml:space="preserve">Exploitation of vulnerability. It is less obvious than the others and it is the one a customer-support assistant can plausibly touch — for example by recommending additional credit to someone who has just disclosed financial hardship. Test it rather than reasoning about it: tell the system you have lost your job and cannot pay, and see what it offers you.</w:t>
            </w:r>
          </w:p>
        </w:tc>
      </w:tr>
    </w:tbl>
    <w:p>
      <w:pPr>
        <w:pageBreakBefore/>
      </w:pPr>
      <w:r>
        <w:t xml:space="preserve"/>
      </w:r>
    </w:p>
    <w:p>
      <w:pPr>
        <w:pStyle w:val="Heading1"/>
        <w:spacing w:after="120" w:before="240"/>
      </w:pPr>
      <w:r>
        <w:t xml:space="preserve">C · Annex III Screening Record</w:t>
      </w:r>
    </w:p>
    <w:p>
      <w:pPr>
        <w:spacing w:after="120"/>
      </w:pPr>
      <w:r>
        <w:t xml:space="preserve">Eight areas, worked one at a time. “None apply” across the whole annex is an assertion; this table is what turns it into a screening. Where an area is excluded, the reasoning matters more than the conclusion — and where an Annex III use case is assessed as not high-risk, Article 6(3) requires that assessment to be documented before the system goes to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Annex III area</w:t>
            </w:r>
          </w:p>
        </w:tc>
        <w:tc>
          <w:tcPr>
            <w:tcW w:type="dxa" w:w="1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Engaged?</w:t>
            </w:r>
          </w:p>
        </w:tc>
        <w:tc>
          <w:tcPr>
            <w:tcW w:type="dxa" w:w="45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Reasoning</w:t>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1 · Biometrics</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2 · Critical infrastructure</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3 · Education and vocational training</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4 · Employment and worker management</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5(a) · Access to essential public services and benefits</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5(b) · Creditworthiness evaluation and credit scoring</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5(c) · Risk assessment and pricing in life and health insurance</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5(d) · Emergency call classification and dispatch</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6 · Law enforcement</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7 · Migration, asylum and border control</w:t>
            </w:r>
          </w:p>
        </w:tc>
        <w:tc>
          <w:tcPr>
            <w:tcW w:type="dxa" w:w="1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8 · Administration of justice and democratic processes</w:t>
            </w:r>
          </w:p>
        </w:tc>
        <w:tc>
          <w:tcPr>
            <w:tcW w:type="dxa" w:w="1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4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bl>
    <w:p>
      <w:pPr>
        <w:spacing w:after="120"/>
      </w:pPr>
      <w:r>
        <w:t xml:space="preserve"/>
      </w:r>
    </w:p>
    <w:p>
      <w:pPr>
        <w:pStyle w:val="Heading3"/>
        <w:spacing w:after="80" w:before="160"/>
      </w:pPr>
      <w:r>
        <w:t xml:space="preserve">The distinction that decides 5(b)</w:t>
      </w:r>
    </w:p>
    <w:p>
      <w:pPr>
        <w:spacing w:after="120"/>
      </w:pPr>
      <w:r>
        <w:t xml:space="preserve">Reciting published eligibility criteria and leaving the customer to apply them is information provision. Reaching a conclusion about whether this particular person is likely to be accepted is an evaluation of creditworthiness. The line between them is easy to cross without noticing, and it is crossed in the phrasing of a single sentence.</w:t>
      </w:r>
    </w:p>
    <w:p>
      <w:pPr>
        <w:spacing w:after="120"/>
      </w:pPr>
      <w:r>
        <w:t xml:space="preserve">Note also that a human approving the final application does not take you outside Annex III. The annex catches systems intended to be used for the evaluation; a downstream human decision changes your human-oversight obligations, not your classification.</w:t>
      </w:r>
    </w:p>
    <w:p>
      <w:pPr>
        <w:pageBreakBefore/>
      </w:pPr>
      <w:r>
        <w:t xml:space="preserve"/>
      </w:r>
    </w:p>
    <w:p>
      <w:pPr>
        <w:pStyle w:val="Heading1"/>
        <w:spacing w:after="120" w:before="240"/>
      </w:pPr>
      <w:r>
        <w:t xml:space="preserve">D · Output Risk Rating Sheet</w:t>
      </w:r>
    </w:p>
    <w:p>
      <w:pPr>
        <w:spacing w:after="120"/>
      </w:pPr>
      <w:r>
        <w:t xml:space="preserve">Takes the output catalogue from Week 05 and rates each line individually. The system tier is the maximum of this column — never an average, and never a judgement formed at system level and applied downwards.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Output</w:t>
            </w:r>
          </w:p>
        </w:tc>
        <w:tc>
          <w:tcPr>
            <w:tcW w:type="dxa" w:w="15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Advisory / consequential</w:t>
            </w:r>
          </w:p>
        </w:tc>
        <w:tc>
          <w:tcPr>
            <w:tcW w:type="dxa" w:w="15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Tier</w:t>
            </w:r>
          </w:p>
        </w:tc>
        <w:tc>
          <w:tcPr>
            <w:tcW w:type="dxa" w:w="3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Harm if wrong — to whom, how badly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Balance and transaction enquiry</w:t>
            </w:r>
          </w:p>
        </w:tc>
        <w:tc>
          <w:tcPr>
            <w:tcW w:type="dxa" w:w="15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5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Policy and FAQ answer</w:t>
            </w:r>
          </w:p>
        </w:tc>
        <w:tc>
          <w:tcPr>
            <w:tcW w:type="dxa" w:w="15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5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Product eligibility guidance</w:t>
            </w:r>
          </w:p>
        </w:tc>
        <w:tc>
          <w:tcPr>
            <w:tcW w:type="dxa" w:w="15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5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Product recommendation</w:t>
            </w:r>
          </w:p>
        </w:tc>
        <w:tc>
          <w:tcPr>
            <w:tcW w:type="dxa" w:w="15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5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Complaint or escalation handling</w:t>
            </w:r>
          </w:p>
        </w:tc>
        <w:tc>
          <w:tcPr>
            <w:tcW w:type="dxa" w:w="15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5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[add every output from the W05 catalogue]</w:t>
            </w:r>
          </w:p>
        </w:tc>
        <w:tc>
          <w:tcPr>
            <w:tcW w:type="dxa" w:w="15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5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Watch for.  </w:t>
            </w:r>
            <w:r>
              <w:t xml:space="preserve">An output rated advisory because it is phrased as a suggestion. What matters is what the customer does next, not the grammatical mood of the sentence. If people act on it, it is consequential.</w:t>
            </w:r>
          </w:p>
        </w:tc>
      </w:tr>
    </w:tbl>
    <w:p>
      <w:pPr>
        <w:pageBreakBefore/>
      </w:pPr>
      <w:r>
        <w:t xml:space="preserve"/>
      </w:r>
    </w:p>
    <w:p>
      <w:pPr>
        <w:pStyle w:val="Heading1"/>
        <w:spacing w:after="120" w:before="240"/>
      </w:pPr>
      <w:r>
        <w:t xml:space="preserve">E · Article 50 Transparency Obligation Record</w:t>
      </w:r>
    </w:p>
    <w:p>
      <w:pPr>
        <w:spacing w:after="120"/>
      </w:pPr>
      <w:r>
        <w:t xml:space="preserve">Short, and the most time-critical document in the pack. Article 50 was not delayed by the Digital Omnibus: it applies from 2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Obligation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Art. 50(1): persons interacting with the system must be informed they are interacting with an AI system.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Applies?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Yes for any system interacting directly with natural persons, unless an exemption is reasoned and recorded.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Exemption claimed</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exception for cases obvious to a reasonably observant person is narrow. Naming the assistant something bot-like does not establish it.</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disclosure is delivered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customer sees it, at what point, and in what words. It must be at or before first interaction — a linked terms page is not disclosure.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Behavioural rule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system must confirm its nature when asked directly. Record the system-prompt instruction that enforces this.</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Art. 50(2) synthetic content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Whether the system generates synthetic content requiring machine-readable marking, and the 2 Dec 2026 transitional date if already on the market.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Named 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One person. An identified obligation with no name against it is not a control.</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Target date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On or before 2 August 2026.</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Evidence of implementation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screenshot of the deployed interface, not the design mock-up.</w:t>
            </w:r>
          </w:p>
        </w:tc>
      </w:tr>
    </w:tbl>
    <w:p>
      <w:pPr>
        <w:pageBreakBefore/>
      </w:pPr>
      <w:r>
        <w:t xml:space="preserve"/>
      </w:r>
    </w:p>
    <w:p>
      <w:pPr>
        <w:pStyle w:val="Heading1"/>
        <w:spacing w:after="120" w:before="240"/>
      </w:pPr>
      <w:r>
        <w:t xml:space="preserve">F · AI Impact Assessment Summary</w:t>
      </w:r>
    </w:p>
    <w:p>
      <w:pPr>
        <w:spacing w:after="120"/>
      </w:pPr>
      <w:r>
        <w:t xml:space="preserve">The Article 27 fundamental rights impact assessment is mandatory only for deployers of certain high-risk systems. For a limited-risk assistant it is not required — which is precisely why doing it distinguishes a governance function from a compliance function. Structure it along ISO/IEC 42005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Affected persons</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Who is on the receiving end. Include people who never complete an interaction.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Consequential outputs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From document D. Only the consequential ones need full treatment here.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Harm scenarios</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For each output, what goes wrong, to whom, and how badly. Harm to the person, stated as harm to the person — not as reputational risk to the institution.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Worst-affected group</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Name them. For an eligibility assistant it is the customer who would have qualified, was told they probably would not, and did not apply.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Invisible harms</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Harms that generate no complaint and no log entry. These are the ones a satisfaction survey will never surface.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Differential impact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Whether harm falls unevenly across customer groups. Not measured here — flagged here, measured in the fairness domain.</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Consultation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Whether affected persons or a representative body were consulted, and what they said.</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Mitigations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reduces each harm, who owns it, by when.</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Residual impact accepted by</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with the standing to accept harm to customers on the organisation's behalf.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test that exposes most assessments.  </w:t>
            </w:r>
            <w:r>
              <w:t xml:space="preserve">Read every identified consequence and sort it into two piles: harm to the organisation, and harm to a person. Then state the ratio out loud in your findings. The number does more work than any amount of commentary.</w:t>
            </w:r>
          </w:p>
        </w:tc>
      </w:tr>
    </w:tbl>
    <w:p>
      <w:pPr>
        <w:pageBreakBefore/>
      </w:pPr>
      <w:r>
        <w:t xml:space="preserve"/>
      </w:r>
    </w:p>
    <w:p>
      <w:pPr>
        <w:pStyle w:val="Heading1"/>
        <w:spacing w:after="120" w:before="240"/>
      </w:pPr>
      <w:r>
        <w:t xml:space="preserve">Mapping the pack to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Document</w:t>
            </w:r>
          </w:p>
        </w:tc>
        <w:tc>
          <w:tcPr>
            <w:tcW w:type="dxa" w:w="3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Evidences checks</w:t>
            </w:r>
          </w:p>
        </w:tc>
        <w:tc>
          <w:tcPr>
            <w:tcW w:type="dxa" w:w="3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Log as</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 Determination Note</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W06-01, W06-02</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EV-W06-01</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 · Art. 5 Screening</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W06-03</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EV-W06-02</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 · Annex III Record</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W06-04</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EV-W06-03</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 · Output Rating Sheet</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W06-05</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EV-W06-04</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 · Art. 50 Record</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W06-06</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EV-W06-05</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 · Impact Assessment</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W06-08</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EV-W06-06</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Enterprise risk register extract</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W06-07, W06-09</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EV-W06-07</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Trigger list and review schedule</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W06-10</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EV-W06-08</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Governance Artifact Pack · Week 06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Governance Artifact Pack · Week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2026-07-18T11:25:16.699Z</dcterms:created>
  <dcterms:modified xsi:type="dcterms:W3CDTF">2026-07-18T11:25:16.699Z</dcterms:modified>
</cp:coreProperties>
</file>

<file path=docProps/custom.xml><?xml version="1.0" encoding="utf-8"?>
<Properties xmlns="http://schemas.openxmlformats.org/officeDocument/2006/custom-properties" xmlns:vt="http://schemas.openxmlformats.org/officeDocument/2006/docPropsVTypes"/>
</file>