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B62"/>
          <w:spacing w:val="40"/>
          <w:sz w:val="20"/>
          <w:szCs w:val="20"/>
        </w:rPr>
        <w:t xml:space="preserve">FIELD GUIDE  ·  WEEK 08</w:t>
      </w:r>
    </w:p>
    <w:p>
      <w:pPr>
        <w:pStyle w:val="Heading1"/>
        <w:spacing w:after="70"/>
      </w:pPr>
      <w:r>
        <w:t xml:space="preserve">Model &amp; Provider Due Diligence</w:t>
      </w:r>
    </w:p>
    <w:p>
      <w:pPr>
        <w:spacing w:after="60"/>
      </w:pPr>
      <w:r>
        <w:rPr>
          <w:i/>
          <w:iCs/>
          <w:color w:val="555555"/>
          <w:sz w:val="22"/>
          <w:szCs w:val="22"/>
        </w:rPr>
        <w:t xml:space="preserve">You did not build the model your service depends on. What do you actually know about it?</w:t>
      </w:r>
    </w:p>
    <w:p>
      <w:pPr>
        <w:spacing w:after="180"/>
      </w:pPr>
      <w:r>
        <w:rPr>
          <w:color w:val="1A2B49"/>
          <w:sz w:val="18"/>
          <w:szCs w:val="18"/>
        </w:rPr>
        <w:t xml:space="preserve">Kannan K  ·  AI Governance &amp; Cybersecurity Leader  ·  Part of AI Governance, Unpacked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The one idea in this week.  </w:t>
            </w:r>
            <w:r>
              <w:t xml:space="preserve">Your model provider is not a mysterious new category of supplier. It is an ICT third party, and the outsourcing framework your organisation has run for years already applies to it. The reason this feels like uncharted territory is not that the rules are missing — it is that nobody put the AI vendor through them.</w:t>
            </w:r>
          </w:p>
        </w:tc>
      </w:tr>
    </w:tbl>
    <w:p>
      <w:pPr>
        <w:spacing w:after="140"/>
      </w:pPr>
      <w:r>
        <w:t xml:space="preserve"/>
      </w:r>
    </w:p>
    <w:p>
      <w:pPr>
        <w:pStyle w:val="Heading1"/>
        <w:spacing w:after="120" w:before="240"/>
      </w:pPr>
      <w:r>
        <w:t xml:space="preserve">Where we are</w:t>
      </w:r>
    </w:p>
    <w:p>
      <w:pPr>
        <w:spacing w:after="120"/>
      </w:pPr>
      <w:r>
        <w:t xml:space="preserve">Last week we mapped what leaves your boundary: on every query, customer data goes to a model provider, and for most organisations there is no record of exactly what, and no contractual position on whether it is retained or used for training.</w:t>
      </w:r>
    </w:p>
    <w:p>
      <w:pPr>
        <w:spacing w:after="120"/>
      </w:pPr>
      <w:r>
        <w:t xml:space="preserve">This week we turn to the party on the other end. Not to establish that they are careless — the major providers are, on the whole, competently run. The question is different and more uncomfortable: what did you check before you built a customer-facing service on them, what are you entitled to ask for, and what happens when they change something without asking you?</w:t>
      </w:r>
    </w:p>
    <w:p>
      <w:pPr>
        <w:pStyle w:val="Heading1"/>
        <w:spacing w:after="120" w:before="240"/>
      </w:pPr>
      <w:r>
        <w:t xml:space="preserve">The thing that makes this week concrete</w:t>
      </w:r>
    </w:p>
    <w:p>
      <w:pPr>
        <w:spacing w:after="120"/>
      </w:pPr>
      <w:r>
        <w:t xml:space="preserve">While building this series, a model version I was using was retired ahead of its published deprecation date. The pipeline had to be moved to a successor at short notice.</w:t>
      </w:r>
    </w:p>
    <w:p>
      <w:pPr>
        <w:spacing w:after="120"/>
      </w:pPr>
      <w:r>
        <w:t xml:space="preserve">Nothing dramatic happened. But it is worth sitting with what that means if it happens to a production service. The model underneath your assistant changes. Its behaviour is not identical. Your prompts were tuned against the old one. And unless someone was specifically watching for it, you find out not from a notice but from your system behaving differently — or worse, from a customer.</w:t>
      </w:r>
    </w:p>
    <w:p>
      <w:pPr>
        <w:spacing w:after="120"/>
      </w:pPr>
      <w:r>
        <w:t xml:space="preserve">That is the shape of the risk in this domain. Not vendor failure. Dependency you did not document on something you do not control.</w:t>
      </w:r>
    </w:p>
    <w:p>
      <w:pPr>
        <w:pStyle w:val="Heading1"/>
        <w:spacing w:after="120" w:before="240"/>
      </w:pPr>
      <w:r>
        <w:t xml:space="preserve">Two regimes already cover this</w:t>
      </w:r>
    </w:p>
    <w:p>
      <w:pPr>
        <w:spacing w:after="120"/>
      </w:pPr>
      <w:r>
        <w:t xml:space="preserve">If you are a regulated financial entity, the obligations here are not aspirational. They are in force, and supervisors have been explicit that AI vendors sit inside the existing third-party regime rather than in a new one beside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
            </w:r>
          </w:p>
        </w:tc>
        <w:tc>
          <w:tcPr>
            <w:tcW w:type="dxa" w:w="34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EU — DORA</w:t>
            </w:r>
          </w:p>
        </w:tc>
        <w:tc>
          <w:tcPr>
            <w:tcW w:type="dxa" w:w="3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India — RBI Outsourcing Directions 2025</w:t>
            </w:r>
          </w:p>
        </w:tc>
      </w:tr>
      <w:tr>
        <w:tc>
          <w:tcPr>
            <w:tcW w:type="dxa" w:w="2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Status</w:t>
            </w:r>
          </w:p>
        </w:tc>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Applies since 17 January 2025</w:t>
            </w:r>
          </w:p>
        </w:tc>
        <w:tc>
          <w:tcPr>
            <w:tcW w:type="dxa" w:w="3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Existing IT agreements had to comply by 10 April 2026</w:t>
            </w:r>
          </w:p>
        </w:tc>
      </w:tr>
      <w:tr>
        <w:tc>
          <w:tcPr>
            <w:tcW w:type="dxa" w:w="2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Register</w:t>
            </w:r>
          </w:p>
        </w:tc>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Register of all ICT third-party arrangements</w:t>
            </w:r>
          </w:p>
        </w:tc>
        <w:tc>
          <w:tcPr>
            <w:tcW w:type="dxa" w:w="3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Inventory of outsourcing arrangements</w:t>
            </w:r>
          </w:p>
        </w:tc>
      </w:tr>
      <w:tr>
        <w:tc>
          <w:tcPr>
            <w:tcW w:type="dxa" w:w="2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Before signing</w:t>
            </w:r>
          </w:p>
        </w:tc>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Pre-contractual due diligence and criticality assessment</w:t>
            </w:r>
          </w:p>
        </w:tc>
        <w:tc>
          <w:tcPr>
            <w:tcW w:type="dxa" w:w="3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Documented due diligence of the service provider</w:t>
            </w:r>
          </w:p>
        </w:tc>
      </w:tr>
      <w:tr>
        <w:tc>
          <w:tcPr>
            <w:tcW w:type="dxa" w:w="2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Contract</w:t>
            </w:r>
          </w:p>
        </w:tc>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Mandatory provisions for critical or important functions</w:t>
            </w:r>
          </w:p>
        </w:tc>
        <w:tc>
          <w:tcPr>
            <w:tcW w:type="dxa" w:w="3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Clearly defined contractual obligations</w:t>
            </w:r>
          </w:p>
        </w:tc>
      </w:tr>
      <w:tr>
        <w:tc>
          <w:tcPr>
            <w:tcW w:type="dxa" w:w="2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Exit</w:t>
            </w:r>
          </w:p>
        </w:tc>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Documented exit strategy required</w:t>
            </w:r>
          </w:p>
        </w:tc>
        <w:tc>
          <w:tcPr>
            <w:tcW w:type="dxa" w:w="3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Clear exit strategy with termination scenarios</w:t>
            </w:r>
          </w:p>
        </w:tc>
      </w:tr>
      <w:tr>
        <w:tc>
          <w:tcPr>
            <w:tcW w:type="dxa" w:w="2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Who is responsible</w:t>
            </w:r>
          </w:p>
        </w:tc>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You remain fully responsible</w:t>
            </w:r>
          </w:p>
        </w:tc>
        <w:tc>
          <w:tcPr>
            <w:tcW w:type="dxa" w:w="3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bank remains fully responsible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The line that matters in both.  </w:t>
            </w:r>
            <w:r>
              <w:t xml:space="preserve">You remain fully responsible for the outsourced activity. The provider's own compliance posture does not substitute for yours. That single principle is why “they are a big company, they will have handled it” is not an answer an auditor can accept — or a supervisor.</w:t>
            </w:r>
          </w:p>
        </w:tc>
      </w:tr>
    </w:tbl>
    <w:p>
      <w:pPr>
        <w:spacing w:after="120"/>
      </w:pPr>
      <w:r>
        <w:t xml:space="preserve"/>
      </w:r>
    </w:p>
    <w:p>
      <w:pPr>
        <w:pStyle w:val="Heading1"/>
        <w:spacing w:after="120" w:before="240"/>
      </w:pPr>
      <w:r>
        <w:t xml:space="preserve">And something you are owed, that almost nobody claims</w:t>
      </w:r>
    </w:p>
    <w:p>
      <w:pPr>
        <w:spacing w:after="120"/>
      </w:pPr>
      <w:r>
        <w:t xml:space="preserve">Under the EU AI Act, providers of general-purpose AI models must give downstream deployers the information needed to understand the model's capabilities and limitations and to meet their own obligations. That is a duty running toward you.</w:t>
      </w:r>
    </w:p>
    <w:p>
      <w:pPr>
        <w:spacing w:after="120"/>
      </w:pPr>
      <w:r>
        <w:t xml:space="preserve">The timing is worth noting: those obligations applied from 2 August 2025 for newly placed models, and the Commission's enforcement powers over GPAI providers commenced on 2 August 2026 — three days ago. Models already on the market before August 2025 have until August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So here is a question worth asking this afternoon.  </w:t>
            </w:r>
            <w:r>
              <w:t xml:space="preserve">Has anyone in your organisation ever asked your model provider for the capabilities-and-limitations documentation they owe you? For most organisations the answer is no — not because it was refused, but because nobody knew to ask. It costs one email, and it is the cheapest finding you will ever close.</w:t>
            </w:r>
          </w:p>
        </w:tc>
      </w:tr>
    </w:tbl>
    <w:p>
      <w:pPr>
        <w:spacing w:after="140"/>
      </w:pPr>
      <w:r>
        <w:t xml:space="preserve"/>
      </w:r>
    </w:p>
    <w:p>
      <w:pPr>
        <w:pStyle w:val="Heading1"/>
        <w:spacing w:after="120" w:before="240"/>
      </w:pPr>
      <w:r>
        <w:t xml:space="preserve">The ten questions to ask of your own AI system</w:t>
      </w:r>
    </w:p>
    <w:p>
      <w:pPr>
        <w:spacing w:after="120"/>
      </w:pPr>
      <w:r>
        <w:t xml:space="preserve">These map one-to-one to the W08 tab in the workbook. Work them in order.</w:t>
      </w:r>
    </w:p>
    <w:p>
      <w:pPr>
        <w:spacing w:after="50" w:before="180"/>
      </w:pPr>
      <w:r>
        <w:rPr>
          <w:b/>
          <w:bCs/>
          <w:color w:val="E8A33D"/>
          <w:sz w:val="22"/>
          <w:szCs w:val="22"/>
        </w:rPr>
        <w:t xml:space="preserve">01   </w:t>
      </w:r>
      <w:r>
        <w:rPr>
          <w:b/>
          <w:bCs/>
          <w:color w:val="1A2B49"/>
          <w:sz w:val="22"/>
          <w:szCs w:val="22"/>
        </w:rPr>
        <w:t xml:space="preserve">Which model version is in production right now, and where is that written?</w:t>
      </w:r>
    </w:p>
    <w:p>
      <w:pPr>
        <w:spacing w:after="60"/>
      </w:pPr>
      <w:r>
        <w:t xml:space="preserve">Ask without offering options. “Something from the vendor, I think the latest” is a different answer from a version string. Then check the actual configuration — documented and deployed values disagree more often than people expect. And find out whether you are pinned to a dated version or pointed at a floating alias, because an alias means the model can change underneath you with no deployment on your side.</w:t>
      </w:r>
    </w:p>
    <w:p>
      <w:pPr>
        <w:spacing w:after="50" w:before="180"/>
      </w:pPr>
      <w:r>
        <w:rPr>
          <w:b/>
          <w:bCs/>
          <w:color w:val="E8A33D"/>
          <w:sz w:val="22"/>
          <w:szCs w:val="22"/>
        </w:rPr>
        <w:t xml:space="preserve">02   </w:t>
      </w:r>
      <w:r>
        <w:rPr>
          <w:b/>
          <w:bCs/>
          <w:color w:val="1A2B49"/>
          <w:sz w:val="22"/>
          <w:szCs w:val="22"/>
        </w:rPr>
        <w:t xml:space="preserve">Was the provider assessed before you signed, or after you went live?</w:t>
      </w:r>
    </w:p>
    <w:p>
      <w:pPr>
        <w:spacing w:after="60"/>
      </w:pPr>
      <w:r>
        <w:t xml:space="preserve">Both DORA and the RBI directions require pre-contractual due diligence, so this is a compliance question rather than a maturity one. Watch for two patterns: diligence dated after go-live, and a generic SaaS questionnaire that never asked an AI-specific question about training data, model change practice or deprecation policy.</w:t>
      </w:r>
    </w:p>
    <w:p>
      <w:pPr>
        <w:spacing w:after="50" w:before="180"/>
      </w:pPr>
      <w:r>
        <w:rPr>
          <w:b/>
          <w:bCs/>
          <w:color w:val="E8A33D"/>
          <w:sz w:val="22"/>
          <w:szCs w:val="22"/>
        </w:rPr>
        <w:t xml:space="preserve">03   </w:t>
      </w:r>
      <w:r>
        <w:rPr>
          <w:b/>
          <w:bCs/>
          <w:color w:val="1A2B49"/>
          <w:sz w:val="22"/>
          <w:szCs w:val="22"/>
        </w:rPr>
        <w:t xml:space="preserve">Is the AI provider in your third-party register, classified by criticality?</w:t>
      </w:r>
    </w:p>
    <w:p>
      <w:pPr>
        <w:spacing w:after="60"/>
      </w:pPr>
      <w:r>
        <w:t xml:space="preserve">This is where AI vendors most often go missing. Many were onboarded on an engineering credit card and never reached the people who manage supplier risk. Criticality matters, because the required contract terms escalate for anything supporting a critical or important function — and don't set it by contract value. A cheap API under a customer-facing service outranks an expensive back-office tool.</w:t>
      </w:r>
    </w:p>
    <w:p>
      <w:pPr>
        <w:spacing w:after="50" w:before="180"/>
      </w:pPr>
      <w:r>
        <w:rPr>
          <w:b/>
          <w:bCs/>
          <w:color w:val="E8A33D"/>
          <w:sz w:val="22"/>
          <w:szCs w:val="22"/>
        </w:rPr>
        <w:t xml:space="preserve">04   </w:t>
      </w:r>
      <w:r>
        <w:rPr>
          <w:b/>
          <w:bCs/>
          <w:color w:val="1A2B49"/>
          <w:sz w:val="22"/>
          <w:szCs w:val="22"/>
        </w:rPr>
        <w:t xml:space="preserve">Does the contract actually contain what it needs to?</w:t>
      </w:r>
    </w:p>
    <w:p>
      <w:pPr>
        <w:spacing w:after="60"/>
      </w:pPr>
      <w:r>
        <w:t xml:space="preserve">Work through it clause by clause rather than forming an impression: audit rights, service levels, data location, sub-processing consent, incident notification with a timeline, termination rights, exit support. Audit rights are the clause most often missing from standard AI terms and the first one a supervisor asks about. And if you are running a critical function on click-through terms nobody negotiated, that is the finding on its own.</w:t>
      </w:r>
    </w:p>
    <w:p>
      <w:pPr>
        <w:spacing w:after="50" w:before="180"/>
      </w:pPr>
      <w:r>
        <w:rPr>
          <w:b/>
          <w:bCs/>
          <w:color w:val="E8A33D"/>
          <w:sz w:val="22"/>
          <w:szCs w:val="22"/>
        </w:rPr>
        <w:t xml:space="preserve">05   </w:t>
      </w:r>
      <w:r>
        <w:rPr>
          <w:b/>
          <w:bCs/>
          <w:color w:val="1A2B49"/>
          <w:sz w:val="22"/>
          <w:szCs w:val="22"/>
        </w:rPr>
        <w:t xml:space="preserve">Have you obtained the documentation the provider owes you?</w:t>
      </w:r>
    </w:p>
    <w:p>
      <w:pPr>
        <w:spacing w:after="60"/>
      </w:pPr>
      <w:r>
        <w:t xml:space="preserve">Model card, system card, usage policy, technical report — for the version actually in production, not a different one. Then do the thing most people skip: compare the provider's stated discouraged uses against what you have actually deployed. If they say the model should not be relied on for individualised financial advice and your assistant tells customers whether they will qualify for a loan, you have found something significant.</w:t>
      </w:r>
    </w:p>
    <w:p>
      <w:pPr>
        <w:spacing w:after="50" w:before="180"/>
      </w:pPr>
      <w:r>
        <w:rPr>
          <w:b/>
          <w:bCs/>
          <w:color w:val="E8A33D"/>
          <w:sz w:val="22"/>
          <w:szCs w:val="22"/>
        </w:rPr>
        <w:t xml:space="preserve">06   </w:t>
      </w:r>
      <w:r>
        <w:rPr>
          <w:b/>
          <w:bCs/>
          <w:color w:val="1A2B49"/>
          <w:sz w:val="22"/>
          <w:szCs w:val="22"/>
        </w:rPr>
        <w:t xml:space="preserve">Who is watching for deprecation notices?</w:t>
      </w:r>
    </w:p>
    <w:p>
      <w:pPr>
        <w:spacing w:after="60"/>
      </w:pPr>
      <w:r>
        <w:t xml:space="preserve">A named person and a specific channel is a control. “The engineers would probably see it” is not. Then test it against history: has your model version changed since go-live, and how did you find out? If the answer is “we noticed the behaviour was different”, the mechanism does not work — and published deprecation dates can move earlier, so the control has to assume the date is not a guarantee.</w:t>
      </w:r>
    </w:p>
    <w:p>
      <w:pPr>
        <w:spacing w:after="50" w:before="180"/>
      </w:pPr>
      <w:r>
        <w:rPr>
          <w:b/>
          <w:bCs/>
          <w:color w:val="E8A33D"/>
          <w:sz w:val="22"/>
          <w:szCs w:val="22"/>
        </w:rPr>
        <w:t xml:space="preserve">07   </w:t>
      </w:r>
      <w:r>
        <w:rPr>
          <w:b/>
          <w:bCs/>
          <w:color w:val="1A2B49"/>
          <w:sz w:val="22"/>
          <w:szCs w:val="22"/>
        </w:rPr>
        <w:t xml:space="preserve">Do you re-test when the model changes?</w:t>
      </w:r>
    </w:p>
    <w:p>
      <w:pPr>
        <w:spacing w:after="60"/>
      </w:pPr>
      <w:r>
        <w:t xml:space="preserve">A fixed set of prompts with expected behaviours, re-run on every model or version change, with results kept. Not a general intention to check it still works. And make it non-skippable in your change process, because this is exactly the test that gets dropped under delivery pressure. Note the trap: if you are on a floating alias, the change happens with no deployment event, so a change-triggered test will never fire at all.</w:t>
      </w:r>
    </w:p>
    <w:p>
      <w:pPr>
        <w:spacing w:after="50" w:before="180"/>
      </w:pPr>
      <w:r>
        <w:rPr>
          <w:b/>
          <w:bCs/>
          <w:color w:val="E8A33D"/>
          <w:sz w:val="22"/>
          <w:szCs w:val="22"/>
        </w:rPr>
        <w:t xml:space="preserve">08   </w:t>
      </w:r>
      <w:r>
        <w:rPr>
          <w:b/>
          <w:bCs/>
          <w:color w:val="1A2B49"/>
          <w:sz w:val="22"/>
          <w:szCs w:val="22"/>
        </w:rPr>
        <w:t xml:space="preserve">Could you actually leave?</w:t>
      </w:r>
    </w:p>
    <w:p>
      <w:pPr>
        <w:spacing w:after="60"/>
      </w:pPr>
      <w:r>
        <w:t xml:space="preserve">Both regimes require a written exit strategy: a named alternative, an effort estimate, and the scenarios that would trigger it — including the model you depend on being discontinued. Be honest about switching costs nobody writes down: prompts tuned to one model's behaviour, output parsing, evaluation baselines. Being able to call two APIs is not an exit plan.</w:t>
      </w:r>
    </w:p>
    <w:p>
      <w:pPr>
        <w:spacing w:after="50" w:before="180"/>
      </w:pPr>
      <w:r>
        <w:rPr>
          <w:b/>
          <w:bCs/>
          <w:color w:val="E8A33D"/>
          <w:sz w:val="22"/>
          <w:szCs w:val="22"/>
        </w:rPr>
        <w:t xml:space="preserve">09   </w:t>
      </w:r>
      <w:r>
        <w:rPr>
          <w:b/>
          <w:bCs/>
          <w:color w:val="1A2B49"/>
          <w:sz w:val="22"/>
          <w:szCs w:val="22"/>
        </w:rPr>
        <w:t xml:space="preserve">How much of you depends on this one provider?</w:t>
      </w:r>
    </w:p>
    <w:p>
      <w:pPr>
        <w:spacing w:after="60"/>
      </w:pPr>
      <w:r>
        <w:t xml:space="preserve">Count the other systems using it — assistants, summarisation, drafting tools, and the AI features embedded inside software you bought, which rarely appear in anyone's AI inventory. Then look one layer down at the infrastructure the provider itself runs on. Two apparently independent vendors on the same hyperscaler is concentration that a provider-level view misses completely.</w:t>
      </w:r>
    </w:p>
    <w:p>
      <w:pPr>
        <w:spacing w:after="50" w:before="180"/>
      </w:pPr>
      <w:r>
        <w:rPr>
          <w:b/>
          <w:bCs/>
          <w:color w:val="E8A33D"/>
          <w:sz w:val="22"/>
          <w:szCs w:val="22"/>
        </w:rPr>
        <w:t xml:space="preserve">10   </w:t>
      </w:r>
      <w:r>
        <w:rPr>
          <w:b/>
          <w:bCs/>
          <w:color w:val="1A2B49"/>
          <w:sz w:val="22"/>
          <w:szCs w:val="22"/>
        </w:rPr>
        <w:t xml:space="preserve">Would you know if the provider had a bad day?</w:t>
      </w:r>
    </w:p>
    <w:p>
      <w:pPr>
        <w:spacing w:after="60"/>
      </w:pPr>
      <w:r>
        <w:t xml:space="preserve">Availability and error rates against your contracted service levels, and a route by which provider incidents reach your own incident process. Watch for the failure mode that uptime monitoring cannot see: an API that responds perfectly while producing worse output. That is precisely what a silent model change looks like.</w:t>
      </w:r>
    </w:p>
    <w:p>
      <w:pPr>
        <w:spacing w:after="160"/>
      </w:pPr>
      <w:r>
        <w:t xml:space="preserve"/>
      </w:r>
    </w:p>
    <w:p>
      <w:pPr>
        <w:pStyle w:val="Heading1"/>
        <w:spacing w:after="120" w:before="240"/>
      </w:pPr>
      <w:r>
        <w:t xml:space="preserve">What we found in the reference system</w:t>
      </w:r>
    </w:p>
    <w:p>
      <w:pPr>
        <w:spacing w:after="120"/>
      </w:pPr>
      <w:r>
        <w:t xml:space="preserve">Kannan's Virtual Bank is a fictional retail bank whose assistant runs on a third-party foundation model over an API. Running the ten checks produced three findings.</w:t>
      </w:r>
    </w:p>
    <w:p>
      <w:pPr>
        <w:pStyle w:val="Heading3"/>
        <w:spacing w:after="80" w:before="160"/>
      </w:pPr>
      <w:r>
        <w:t xml:space="preserve">1 · A model was retired underneath the system, and nobody noticed</w:t>
      </w:r>
    </w:p>
    <w:p>
      <w:pPr>
        <w:spacing w:after="120"/>
      </w:pPr>
      <w:r>
        <w:t xml:space="preserve">The production model version was never recorded anywhere. When the provider deprecated it, the behaviour changed with no notice reaching the owner, no regression test, and no record of what had been running before. The organisation does not control the model its customer-facing service depends on, and has no mechanism to learn that it has changed. High severity — and the version I hit in this build makes the point better than any invented scenario would.</w:t>
      </w:r>
    </w:p>
    <w:p>
      <w:pPr>
        <w:pStyle w:val="Heading3"/>
        <w:spacing w:after="80" w:before="160"/>
      </w:pPr>
      <w:r>
        <w:t xml:space="preserve">2 · No exit strategy, and concentration risk never assessed</w:t>
      </w:r>
    </w:p>
    <w:p>
      <w:pPr>
        <w:spacing w:after="120"/>
      </w:pPr>
      <w:r>
        <w:t xml:space="preserve">There is no written plan for moving off the provider, no named alternative, and no assessment of what else depends on the same vendor. Worth being precise about this one: it is not a maturity gap. Both DORA Article 28(8) and the RBI directions require an exit strategy explicitly, so its absence is a compliance finding.</w:t>
      </w:r>
    </w:p>
    <w:p>
      <w:pPr>
        <w:pStyle w:val="Heading3"/>
        <w:spacing w:after="80" w:before="160"/>
      </w:pPr>
      <w:r>
        <w:t xml:space="preserve">3 · The documentation they are entitled to was never requested</w:t>
      </w:r>
    </w:p>
    <w:p>
      <w:pPr>
        <w:spacing w:after="120"/>
      </w:pPr>
      <w:r>
        <w:t xml:space="preserve">Nobody has asked the provider for the capabilities-and-limitations documentation owed to downstream deployers. It is the most fixable finding in this series so far, and the one I would expect a reader to close the same afternoon.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And in India.  </w:t>
            </w:r>
            <w:r>
              <w:t xml:space="preserve">The RBI (Commercial Banks – Managing Risks in Outsourcing) Directions, 2025 consolidated and replaced the earlier IT outsourcing master direction, and existing agreements had to comply by 10 April 2026 or at renewal — so this is live, not pending. The requirements track DORA closely: board-approved policy, documented due diligence, defined contractual obligations, ongoing monitoring, periodic audit, and an explicit exit strategy covering different termination scenarios. As under DORA, the bank remains fully responsible for the outsourced activity, for customer data, and for grievance redressal. A dedicated week later in this series covers the India picture properly.</w:t>
            </w:r>
          </w:p>
        </w:tc>
      </w:tr>
    </w:tbl>
    <w:p>
      <w:pPr>
        <w:spacing w:after="140"/>
      </w:pPr>
      <w:r>
        <w:t xml:space="preserve"/>
      </w:r>
    </w:p>
    <w:p>
      <w:pPr>
        <w:pStyle w:val="Heading1"/>
        <w:spacing w:after="120" w:before="240"/>
      </w:pPr>
      <w:r>
        <w:t xml:space="preserve">Using the workbook this week</w:t>
      </w:r>
    </w:p>
    <w:p>
      <w:pPr>
        <w:pStyle w:val="ListParagraph"/>
        <w:numPr>
          <w:ilvl w:val="0"/>
          <w:numId w:val="2"/>
        </w:numPr>
        <w:spacing w:after="60"/>
      </w:pPr>
      <w:r>
        <w:t xml:space="preserve">Open the W08 Provider tab — it joins W05, W06 and W07, ten checks mapped to the questions above.</w:t>
      </w:r>
    </w:p>
    <w:p>
      <w:pPr>
        <w:pStyle w:val="ListParagraph"/>
        <w:numPr>
          <w:ilvl w:val="0"/>
          <w:numId w:val="2"/>
        </w:numPr>
        <w:spacing w:after="60"/>
      </w:pPr>
      <w:r>
        <w:t xml:space="preserve">Start with check one. If nobody can name the model version in production, several later checks cannot be evidenced at all, so settle it first.</w:t>
      </w:r>
    </w:p>
    <w:p>
      <w:pPr>
        <w:pStyle w:val="ListParagraph"/>
        <w:numPr>
          <w:ilvl w:val="0"/>
          <w:numId w:val="2"/>
        </w:numPr>
        <w:spacing w:after="60"/>
      </w:pPr>
      <w:r>
        <w:t xml:space="preserve">Set a Status and write what you actually found. In this domain the evidence is usually a contract clause, a register extract or a piece of correspondence — attach the artefact, not a description of it.</w:t>
      </w:r>
    </w:p>
    <w:p>
      <w:pPr>
        <w:pStyle w:val="ListParagraph"/>
        <w:numPr>
          <w:ilvl w:val="0"/>
          <w:numId w:val="2"/>
        </w:numPr>
        <w:spacing w:after="60"/>
      </w:pPr>
      <w:r>
        <w:t xml:space="preserve">Every Fail or Partial gets a Findings Register line with a severity. Every Pass gets an Evidence Log item.</w:t>
      </w:r>
    </w:p>
    <w:p>
      <w:pPr>
        <w:pStyle w:val="ListParagraph"/>
        <w:numPr>
          <w:ilvl w:val="0"/>
          <w:numId w:val="2"/>
        </w:numPr>
        <w:spacing w:after="60"/>
      </w:pPr>
      <w:r>
        <w:t xml:space="preserve">If the contractual position on training and retention is still open from Week 07, close it here — or raise its severity. Two weeks unresolved on a live customer-facing service is itself the finding.</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Next week — Week 09: Prompt Review.  </w:t>
            </w:r>
            <w:r>
              <w:t xml:space="preserve">We have looked at the model and the provider. Next we look at the instructions you give it — the system prompt that is, in most deployments, the only real control standing between a customer and whatever the model would otherwise say.</w:t>
            </w:r>
          </w:p>
        </w:tc>
      </w:tr>
    </w:tbl>
    <w:p>
      <w:pPr>
        <w:pBdr>
          <w:top w:val="single" w:color="DDDDDD" w:sz="4" w:space="6"/>
        </w:pBdr>
        <w:spacing w:after="120" w:before="160"/>
      </w:pPr>
      <w:r>
        <w:t xml:space="preserve"/>
      </w:r>
    </w:p>
    <w:p>
      <w:pPr>
        <w:spacing w:after="120"/>
      </w:pPr>
      <w:r>
        <w:rPr>
          <w:i/>
          <w:iCs/>
          <w:color w:val="555555"/>
        </w:rPr>
        <w:t xml:space="preserve">Kannan's Virtual Bank is a fictional institution; all data used in this series is synthetic. This material is an educational accelerator, not legal advice or a compliance guarantee. Adapt it to your own regulatory context before any real-world use.</w:t>
      </w:r>
    </w:p>
    <w:p>
      <w:pPr>
        <w:spacing w:after="100"/>
      </w:pPr>
      <w:r>
        <w:rPr>
          <w:color w:val="555555"/>
          <w:sz w:val="17"/>
          <w:szCs w:val="17"/>
        </w:rPr>
        <w:t xml:space="preserve">Kannan K  ·  AI Governance &amp; Cybersecurity Leader  ·  AIGP · CISM · CISA · ISO 27001 &amp; 42001 LA · SC-100 · MCT</w:t>
      </w:r>
    </w:p>
    <w:p>
      <w:pPr>
        <w:spacing w:after="100"/>
      </w:pPr>
      <w:r>
        <w:rPr>
          <w:color w:val="555555"/>
          <w:sz w:val="17"/>
          <w:szCs w:val="17"/>
        </w:rPr>
        <w:t xml:space="preserve">Sources: DORA (Regulation (EU) 2022/2554), applicable since 17 January 2025 · EU AI Act (Regulation (EU) 2024/1689, as amended) Art. 25, Art. 53(1)(b) and Annex XII; GPAI obligations applicable 2 August 2025, Commission enforcement powers from 2 August 2026 · RBI (Commercial Banks – Managing Risks in Outsourcing) Directions, 2025 · ISO/IEC 42001:2023 A.10 · ISO/IEC 27001:2022 A.5.19–A.5.23 · NIST AI RMF 1.0.</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Field Guide · Week 08 Model &amp; Provider Due Diligence · Kannan K   ·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60"/>
      <w:jc w:val="right"/>
    </w:pPr>
    <w:r>
      <w:rPr>
        <w:color w:val="555555"/>
        <w:sz w:val="15"/>
        <w:szCs w:val="15"/>
      </w:rPr>
      <w:t xml:space="preserve">AI Governance, Unpacked  ·  Practical AI Auditing  ·  Week 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A2B49"/>
      <w:sz w:val="34"/>
      <w:szCs w:val="34"/>
    </w:rPr>
  </w:style>
  <w:style w:type="paragraph" w:styleId="Heading2">
    <w:name w:val="Heading 2"/>
    <w:basedOn w:val="Normal"/>
    <w:next w:val="Normal"/>
    <w:qFormat/>
    <w:pPr>
      <w:spacing w:after="110" w:before="240"/>
    </w:pPr>
    <w:rPr>
      <w:rFonts w:ascii="Calibri" w:cs="Calibri" w:eastAsia="Calibri" w:hAnsi="Calibri"/>
      <w:b/>
      <w:bCs/>
      <w:color w:val="0B6B62"/>
      <w:sz w:val="26"/>
      <w:szCs w:val="26"/>
    </w:rPr>
  </w:style>
  <w:style w:type="paragraph" w:styleId="Heading3">
    <w:name w:val="Heading 3"/>
    <w:basedOn w:val="Normal"/>
    <w:next w:val="Normal"/>
    <w:qFormat/>
    <w:pPr>
      <w:spacing w:after="80" w:before="180"/>
    </w:pPr>
    <w:rPr>
      <w:rFonts w:ascii="Calibri" w:cs="Calibri" w:eastAsia="Calibri" w:hAnsi="Calibri"/>
      <w:b/>
      <w:bCs/>
      <w:color w:val="1A2B4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2026-08-05T06:43:14.368Z</dcterms:created>
  <dcterms:modified xsi:type="dcterms:W3CDTF">2026-08-05T06:43:14.368Z</dcterms:modified>
</cp:coreProperties>
</file>

<file path=docProps/custom.xml><?xml version="1.0" encoding="utf-8"?>
<Properties xmlns="http://schemas.openxmlformats.org/officeDocument/2006/custom-properties" xmlns:vt="http://schemas.openxmlformats.org/officeDocument/2006/docPropsVTypes"/>
</file>