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6B62"/>
          <w:spacing w:val="40"/>
          <w:sz w:val="20"/>
          <w:szCs w:val="20"/>
        </w:rPr>
        <w:t xml:space="preserve">GOVERNANCE ARTIFACT PACK  ·  WEEK 08</w:t>
      </w:r>
    </w:p>
    <w:p>
      <w:pPr>
        <w:pStyle w:val="Heading1"/>
        <w:spacing w:after="70"/>
      </w:pPr>
      <w:r>
        <w:t xml:space="preserve">Model &amp; Provider Due Diligence — the paperwork</w:t>
      </w:r>
    </w:p>
    <w:p>
      <w:pPr>
        <w:spacing w:after="60"/>
      </w:pPr>
      <w:r>
        <w:rPr>
          <w:i/>
          <w:iCs/>
          <w:color w:val="555555"/>
          <w:sz w:val="22"/>
          <w:szCs w:val="22"/>
        </w:rPr>
        <w:t xml:space="preserve">The six records an auditor asks for in this domain, as templates you can use</w:t>
      </w:r>
    </w:p>
    <w:p>
      <w:pPr>
        <w:spacing w:after="180"/>
      </w:pPr>
      <w:r>
        <w:rPr>
          <w:color w:val="1A2B49"/>
          <w:sz w:val="18"/>
          <w:szCs w:val="18"/>
        </w:rPr>
        <w:t xml:space="preserve">Kannan K  ·  AI Governance &amp; Cybersecurity Leader</w:t>
      </w:r>
    </w:p>
    <w:p>
      <w:pPr>
        <w:spacing w:after="120"/>
      </w:pPr>
      <w:r>
        <w:t xml:space="preserve">This domain is unusual in the series: most of the required records already exist as categories inside your organisation's third-party risk framework. The templates below are shaped for an AI provider specifically — but where your outsourcing function already has a register, a due diligence file and an exit plan format, use theirs and add the AI-specific fields rather than creating a parallel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0B6B62" w:sz="18"/>
              <w:bottom w:val="single" w:color="DDDDDD" w:sz="2"/>
              <w:right w:val="single" w:color="DDDDDD" w:sz="2"/>
            </w:tcBorders>
            <w:shd w:fill="F2F4F7" w:val="clear"/>
            <w:tcMar>
              <w:top w:type="dxa" w:w="130"/>
              <w:left w:type="dxa" w:w="170"/>
              <w:bottom w:type="dxa" w:w="130"/>
              <w:right w:type="dxa" w:w="170"/>
            </w:tcMar>
          </w:tcPr>
          <w:p>
            <w:r>
              <w:rPr>
                <w:b/>
                <w:bCs/>
                <w:color w:val="1A2B49"/>
              </w:rPr>
              <w:t xml:space="preserve">How to use these.  </w:t>
            </w:r>
            <w:r>
              <w:t xml:space="preserve">Fill them from artefacts, not from memory. In this domain the evidence is a contract clause, a register row, a piece of correspondence or a test result — each of these templates should end up pointing at a document, not summarising one.</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Doc</w:t>
            </w:r>
          </w:p>
        </w:tc>
        <w:tc>
          <w:tcPr>
            <w:tcW w:type="dxa" w:w="38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Name</w:t>
            </w:r>
          </w:p>
        </w:tc>
        <w:tc>
          <w:tcPr>
            <w:tcW w:type="dxa" w:w="43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What it proves</w:t>
            </w:r>
          </w:p>
        </w:tc>
      </w:tr>
      <w:tr>
        <w:tc>
          <w:tcPr>
            <w:tcW w:type="dxa" w:w="1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w:t>
            </w:r>
          </w:p>
        </w:tc>
        <w:tc>
          <w:tcPr>
            <w:tcW w:type="dxa" w:w="38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Model &amp; Provider Record</w:t>
            </w:r>
          </w:p>
        </w:tc>
        <w:tc>
          <w:tcPr>
            <w:tcW w:type="dxa" w:w="43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That you know what is running and who supplies it.</w:t>
            </w:r>
          </w:p>
        </w:tc>
      </w:tr>
      <w:tr>
        <w:tc>
          <w:tcPr>
            <w:tcW w:type="dxa" w:w="1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B</w:t>
            </w:r>
          </w:p>
        </w:tc>
        <w:tc>
          <w:tcPr>
            <w:tcW w:type="dxa" w:w="38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Provider Due Diligence File</w:t>
            </w:r>
          </w:p>
        </w:tc>
        <w:tc>
          <w:tcPr>
            <w:tcW w:type="dxa" w:w="43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That the provider was assessed before you committed.</w:t>
            </w:r>
          </w:p>
        </w:tc>
      </w:tr>
      <w:tr>
        <w:tc>
          <w:tcPr>
            <w:tcW w:type="dxa" w:w="1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C</w:t>
            </w:r>
          </w:p>
        </w:tc>
        <w:tc>
          <w:tcPr>
            <w:tcW w:type="dxa" w:w="38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Contract Provision Checklist</w:t>
            </w:r>
          </w:p>
        </w:tc>
        <w:tc>
          <w:tcPr>
            <w:tcW w:type="dxa" w:w="43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That the relationship is governed by adequate terms.</w:t>
            </w:r>
          </w:p>
        </w:tc>
      </w:tr>
      <w:tr>
        <w:tc>
          <w:tcPr>
            <w:tcW w:type="dxa" w:w="1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w:t>
            </w:r>
          </w:p>
        </w:tc>
        <w:tc>
          <w:tcPr>
            <w:tcW w:type="dxa" w:w="38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Provider Documentation Register</w:t>
            </w:r>
          </w:p>
        </w:tc>
        <w:tc>
          <w:tcPr>
            <w:tcW w:type="dxa" w:w="43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That you obtained what the provider owes you, and read it.</w:t>
            </w:r>
          </w:p>
        </w:tc>
      </w:tr>
      <w:tr>
        <w:tc>
          <w:tcPr>
            <w:tcW w:type="dxa" w:w="1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w:t>
            </w:r>
          </w:p>
        </w:tc>
        <w:tc>
          <w:tcPr>
            <w:tcW w:type="dxa" w:w="38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Model Change &amp; Regression Test Log</w:t>
            </w:r>
          </w:p>
        </w:tc>
        <w:tc>
          <w:tcPr>
            <w:tcW w:type="dxa" w:w="43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That model changes are noticed and tested.</w:t>
            </w:r>
          </w:p>
        </w:tc>
      </w:tr>
      <w:tr>
        <w:tc>
          <w:tcPr>
            <w:tcW w:type="dxa" w:w="1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F</w:t>
            </w:r>
          </w:p>
        </w:tc>
        <w:tc>
          <w:tcPr>
            <w:tcW w:type="dxa" w:w="38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Exit Strategy &amp; Concentration Assessment</w:t>
            </w:r>
          </w:p>
        </w:tc>
        <w:tc>
          <w:tcPr>
            <w:tcW w:type="dxa" w:w="43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That you could leave, and know what depends on them.</w:t>
            </w:r>
          </w:p>
        </w:tc>
      </w:tr>
    </w:tbl>
    <w:p>
      <w:pPr>
        <w:pageBreakBefore/>
      </w:pPr>
      <w:r>
        <w:t xml:space="preserve"/>
      </w:r>
    </w:p>
    <w:p>
      <w:pPr>
        <w:pStyle w:val="Heading1"/>
        <w:spacing w:after="120" w:before="240"/>
      </w:pPr>
      <w:r>
        <w:t xml:space="preserve">A · Model &amp; Provider Record</w:t>
      </w:r>
    </w:p>
    <w:p>
      <w:pPr>
        <w:spacing w:after="120"/>
      </w:pPr>
      <w:r>
        <w:rPr>
          <w:i/>
          <w:iCs/>
          <w:color w:val="555555"/>
        </w:rPr>
        <w:t xml:space="preserve">The foundation. Every other record in this domain refers back to a specific model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Field</w:t>
            </w:r>
          </w:p>
        </w:tc>
        <w:tc>
          <w:tcPr>
            <w:tcW w:type="dxa" w:w="6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Guidance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Provider entity</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The contracting party, not just the brand. Matters for the register and the contract.</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Model identifier</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The exact model name as the API accepts it.</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Version</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The specific dated version, or the alias in use.</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Pinned or floating?</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Whether the configuration names a dated version or a moving alias. If floating, the provider can change the model with no deployment on your side — record that as an accepted risk.</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Where configured</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The file, environment variable or setting that actually determines the model. This is what you verify against.</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Access route</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Direct API, hyperscaler-hosted, or embedded in purchased software.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Sub-processors / infrastructure</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sits beneath the provider. Needed for the concentration assessment in document F.</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Announced deprecation date</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If published. Treat it as a commitment that can move earlier, not a guarantee.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Version last confirmed</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The date someone checked the record still matches production.</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Owner</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The named person answerable for this record.</w:t>
            </w:r>
          </w:p>
        </w:tc>
      </w:tr>
    </w:tbl>
    <w:p>
      <w:pPr>
        <w:pageBreakBefore/>
      </w:pPr>
      <w:r>
        <w:t xml:space="preserve"/>
      </w:r>
    </w:p>
    <w:p>
      <w:pPr>
        <w:pStyle w:val="Heading1"/>
        <w:spacing w:after="120" w:before="240"/>
      </w:pPr>
      <w:r>
        <w:t xml:space="preserve">B · Provider Due Diligence File</w:t>
      </w:r>
    </w:p>
    <w:p>
      <w:pPr>
        <w:spacing w:after="120"/>
      </w:pPr>
      <w:r>
        <w:t xml:space="preserve">Required before contracting under both DORA and the RBI directions. If your organisation has a standard vendor assessment, use it — and add the AI-specific section, which standard questionnaires do not contain.</w:t>
      </w:r>
    </w:p>
    <w:p>
      <w:pPr>
        <w:pStyle w:val="Heading3"/>
        <w:spacing w:after="80" w:before="160"/>
      </w:pPr>
      <w:r>
        <w:t xml:space="preserve">Standard assessment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Area</w:t>
            </w:r>
          </w:p>
        </w:tc>
        <w:tc>
          <w:tcPr>
            <w:tcW w:type="dxa" w:w="234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Assessed?</w:t>
            </w:r>
          </w:p>
        </w:tc>
        <w:tc>
          <w:tcPr>
            <w:tcW w:type="dxa" w:w="234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Evidence reference</w:t>
            </w:r>
          </w:p>
        </w:tc>
      </w:tr>
      <w:tr>
        <w:tc>
          <w:tcPr>
            <w:tcW w:type="dxa" w:w="468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Security posture and certifications</w:t>
            </w:r>
          </w:p>
        </w:tc>
        <w:tc>
          <w:tcPr>
            <w:tcW w:type="dxa" w:w="234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234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r>
      <w:tr>
        <w:tc>
          <w:tcPr>
            <w:tcW w:type="dxa" w:w="468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Data location and processing jurisdictions</w:t>
            </w:r>
          </w:p>
        </w:tc>
        <w:tc>
          <w:tcPr>
            <w:tcW w:type="dxa" w:w="234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234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r>
      <w:tr>
        <w:tc>
          <w:tcPr>
            <w:tcW w:type="dxa" w:w="468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Sub-processors and supply chain</w:t>
            </w:r>
          </w:p>
        </w:tc>
        <w:tc>
          <w:tcPr>
            <w:tcW w:type="dxa" w:w="234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234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r>
      <w:tr>
        <w:tc>
          <w:tcPr>
            <w:tcW w:type="dxa" w:w="468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Financial stability</w:t>
            </w:r>
          </w:p>
        </w:tc>
        <w:tc>
          <w:tcPr>
            <w:tcW w:type="dxa" w:w="234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234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r>
      <w:tr>
        <w:tc>
          <w:tcPr>
            <w:tcW w:type="dxa" w:w="468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Incident history</w:t>
            </w:r>
          </w:p>
        </w:tc>
        <w:tc>
          <w:tcPr>
            <w:tcW w:type="dxa" w:w="234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234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r>
      <w:tr>
        <w:tc>
          <w:tcPr>
            <w:tcW w:type="dxa" w:w="468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Provider's own regulatory position</w:t>
            </w:r>
          </w:p>
        </w:tc>
        <w:tc>
          <w:tcPr>
            <w:tcW w:type="dxa" w:w="234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234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r>
    </w:tbl>
    <w:p>
      <w:pPr>
        <w:spacing w:after="120"/>
      </w:pPr>
      <w:r>
        <w:t xml:space="preserve"/>
      </w:r>
    </w:p>
    <w:p>
      <w:pPr>
        <w:pStyle w:val="Heading3"/>
        <w:spacing w:after="80" w:before="160"/>
      </w:pPr>
      <w:r>
        <w:t xml:space="preserve">AI-specific assessment areas — the section most questionnaires lack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Question to the provider</w:t>
            </w:r>
          </w:p>
        </w:tc>
        <w:tc>
          <w:tcPr>
            <w:tcW w:type="dxa" w:w="234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Answered?</w:t>
            </w:r>
          </w:p>
        </w:tc>
        <w:tc>
          <w:tcPr>
            <w:tcW w:type="dxa" w:w="234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Evidence reference</w:t>
            </w:r>
          </w:p>
        </w:tc>
      </w:tr>
      <w:tr>
        <w:tc>
          <w:tcPr>
            <w:tcW w:type="dxa" w:w="468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Are our inputs retained? For how long?</w:t>
            </w:r>
          </w:p>
        </w:tc>
        <w:tc>
          <w:tcPr>
            <w:tcW w:type="dxa" w:w="234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234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r>
      <w:tr>
        <w:tc>
          <w:tcPr>
            <w:tcW w:type="dxa" w:w="468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Are our inputs used to train or improve models?</w:t>
            </w:r>
          </w:p>
        </w:tc>
        <w:tc>
          <w:tcPr>
            <w:tcW w:type="dxa" w:w="234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234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r>
      <w:tr>
        <w:tc>
          <w:tcPr>
            <w:tcW w:type="dxa" w:w="468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is your model deprecation policy and notice period?</w:t>
            </w:r>
          </w:p>
        </w:tc>
        <w:tc>
          <w:tcPr>
            <w:tcW w:type="dxa" w:w="234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234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r>
      <w:tr>
        <w:tc>
          <w:tcPr>
            <w:tcW w:type="dxa" w:w="468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How are model changes communicated, and to whom?</w:t>
            </w:r>
          </w:p>
        </w:tc>
        <w:tc>
          <w:tcPr>
            <w:tcW w:type="dxa" w:w="234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234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r>
      <w:tr>
        <w:tc>
          <w:tcPr>
            <w:tcW w:type="dxa" w:w="468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Is output deterministic? What varies between calls?</w:t>
            </w:r>
          </w:p>
        </w:tc>
        <w:tc>
          <w:tcPr>
            <w:tcW w:type="dxa" w:w="234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234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r>
      <w:tr>
        <w:tc>
          <w:tcPr>
            <w:tcW w:type="dxa" w:w="468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What documentation do you provide on capabilities and limitations?</w:t>
            </w:r>
          </w:p>
        </w:tc>
        <w:tc>
          <w:tcPr>
            <w:tcW w:type="dxa" w:w="234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234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0B6B62" w:sz="18"/>
              <w:bottom w:val="single" w:color="DDDDDD" w:sz="2"/>
              <w:right w:val="single" w:color="DDDDDD" w:sz="2"/>
            </w:tcBorders>
            <w:shd w:fill="F2F4F7" w:val="clear"/>
            <w:tcMar>
              <w:top w:type="dxa" w:w="130"/>
              <w:left w:type="dxa" w:w="170"/>
              <w:bottom w:type="dxa" w:w="130"/>
              <w:right w:type="dxa" w:w="170"/>
            </w:tcMar>
          </w:tcPr>
          <w:p>
            <w:r>
              <w:rPr>
                <w:b/>
                <w:bCs/>
                <w:color w:val="1A2B49"/>
              </w:rPr>
              <w:t xml:space="preserve">Record the dates.  </w:t>
            </w:r>
            <w:r>
              <w:t xml:space="preserve">Assessment date, contract date, go-live date. Diligence completed after signature is a materially weaker control and the sequence is the first thing an auditor checks.</w:t>
            </w:r>
          </w:p>
        </w:tc>
      </w:tr>
    </w:tbl>
    <w:p>
      <w:pPr>
        <w:pageBreakBefore/>
      </w:pPr>
      <w:r>
        <w:t xml:space="preserve"/>
      </w:r>
    </w:p>
    <w:p>
      <w:pPr>
        <w:pStyle w:val="Heading1"/>
        <w:spacing w:after="120" w:before="240"/>
      </w:pPr>
      <w:r>
        <w:t xml:space="preserve">C · Contract Provision Checklist</w:t>
      </w:r>
    </w:p>
    <w:p>
      <w:pPr>
        <w:spacing w:after="120"/>
      </w:pPr>
      <w:r>
        <w:t xml:space="preserve">Work clause by clause. A finding that says the contract is inadequate is arguable; one that lists six named absent provisions against a regulatory requirement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2760"/>
      </w:tblGrid>
      <w:tr>
        <w:tc>
          <w:tcPr>
            <w:tcW w:type="dxa" w:w="34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Provision</w:t>
            </w:r>
          </w:p>
        </w:tc>
        <w:tc>
          <w:tcPr>
            <w:tcW w:type="dxa" w:w="1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Required?</w:t>
            </w:r>
          </w:p>
        </w:tc>
        <w:tc>
          <w:tcPr>
            <w:tcW w:type="dxa" w:w="1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Present?</w:t>
            </w:r>
          </w:p>
        </w:tc>
        <w:tc>
          <w:tcPr>
            <w:tcW w:type="dxa" w:w="2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Reference / gap note</w:t>
            </w:r>
          </w:p>
        </w:tc>
      </w:tr>
      <w:tr>
        <w:tc>
          <w:tcPr>
            <w:tcW w:type="dxa" w:w="3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Clear description of the service</w:t>
            </w:r>
          </w:p>
        </w:tc>
        <w:tc>
          <w:tcPr>
            <w:tcW w:type="dxa" w:w="1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1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2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r>
      <w:tr>
        <w:tc>
          <w:tcPr>
            <w:tcW w:type="dxa" w:w="3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Data location and processing locations</w:t>
            </w:r>
          </w:p>
        </w:tc>
        <w:tc>
          <w:tcPr>
            <w:tcW w:type="dxa" w:w="1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1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2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r>
      <w:tr>
        <w:tc>
          <w:tcPr>
            <w:tcW w:type="dxa" w:w="3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Audit and access rights (entity and supervisor)</w:t>
            </w:r>
          </w:p>
        </w:tc>
        <w:tc>
          <w:tcPr>
            <w:tcW w:type="dxa" w:w="1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1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2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r>
      <w:tr>
        <w:tc>
          <w:tcPr>
            <w:tcW w:type="dxa" w:w="3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Service levels with measurable targets</w:t>
            </w:r>
          </w:p>
        </w:tc>
        <w:tc>
          <w:tcPr>
            <w:tcW w:type="dxa" w:w="1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1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2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r>
      <w:tr>
        <w:tc>
          <w:tcPr>
            <w:tcW w:type="dxa" w:w="3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Incident notification obligation and timeline</w:t>
            </w:r>
          </w:p>
        </w:tc>
        <w:tc>
          <w:tcPr>
            <w:tcW w:type="dxa" w:w="1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1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2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r>
      <w:tr>
        <w:tc>
          <w:tcPr>
            <w:tcW w:type="dxa" w:w="3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Sub-processing consent and notification</w:t>
            </w:r>
          </w:p>
        </w:tc>
        <w:tc>
          <w:tcPr>
            <w:tcW w:type="dxa" w:w="1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1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2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r>
      <w:tr>
        <w:tc>
          <w:tcPr>
            <w:tcW w:type="dxa" w:w="3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Assistance obligations on incidents</w:t>
            </w:r>
          </w:p>
        </w:tc>
        <w:tc>
          <w:tcPr>
            <w:tcW w:type="dxa" w:w="1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1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2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r>
      <w:tr>
        <w:tc>
          <w:tcPr>
            <w:tcW w:type="dxa" w:w="3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Input retention position</w:t>
            </w:r>
          </w:p>
        </w:tc>
        <w:tc>
          <w:tcPr>
            <w:tcW w:type="dxa" w:w="1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1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2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r>
      <w:tr>
        <w:tc>
          <w:tcPr>
            <w:tcW w:type="dxa" w:w="3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Training use of inputs — explicit position</w:t>
            </w:r>
          </w:p>
        </w:tc>
        <w:tc>
          <w:tcPr>
            <w:tcW w:type="dxa" w:w="1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1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2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r>
      <w:tr>
        <w:tc>
          <w:tcPr>
            <w:tcW w:type="dxa" w:w="3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Termination rights, incl. on supervisory instruction</w:t>
            </w:r>
          </w:p>
        </w:tc>
        <w:tc>
          <w:tcPr>
            <w:tcW w:type="dxa" w:w="1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1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2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r>
      <w:tr>
        <w:tc>
          <w:tcPr>
            <w:tcW w:type="dxa" w:w="3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Exit support, data return or deletion</w:t>
            </w:r>
          </w:p>
        </w:tc>
        <w:tc>
          <w:tcPr>
            <w:tcW w:type="dxa" w:w="1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1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2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0B6B62" w:sz="18"/>
              <w:bottom w:val="single" w:color="DDDDDD" w:sz="2"/>
              <w:right w:val="single" w:color="DDDDDD" w:sz="2"/>
            </w:tcBorders>
            <w:shd w:fill="F2F4F7" w:val="clear"/>
            <w:tcMar>
              <w:top w:type="dxa" w:w="130"/>
              <w:left w:type="dxa" w:w="170"/>
              <w:bottom w:type="dxa" w:w="130"/>
              <w:right w:type="dxa" w:w="170"/>
            </w:tcMar>
          </w:tcPr>
          <w:p>
            <w:r>
              <w:rPr>
                <w:b/>
                <w:bCs/>
                <w:color w:val="1A2B49"/>
              </w:rPr>
              <w:t xml:space="preserve">Two notes.  </w:t>
            </w:r>
            <w:r>
              <w:t xml:space="preserve">The required set escalates for arrangements supporting a critical or important function, so settle criticality before scoring this. And a data-processing agreement does not cover the operational-resilience provisions — it addresses personal data, not audit rights over service resilience or exit obligations.</w:t>
            </w:r>
          </w:p>
        </w:tc>
      </w:tr>
    </w:tbl>
    <w:p>
      <w:pPr>
        <w:pageBreakBefore/>
      </w:pPr>
      <w:r>
        <w:t xml:space="preserve"/>
      </w:r>
    </w:p>
    <w:p>
      <w:pPr>
        <w:pStyle w:val="Heading1"/>
        <w:spacing w:after="120" w:before="240"/>
      </w:pPr>
      <w:r>
        <w:t xml:space="preserve">D · Provider Documentation Register</w:t>
      </w:r>
    </w:p>
    <w:p>
      <w:pPr>
        <w:spacing w:after="120"/>
      </w:pPr>
      <w:r>
        <w:t xml:space="preserve">Records what you obtained from the provider, for which version, and — the part that matters — what you concluded from reading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Field</w:t>
            </w:r>
          </w:p>
        </w:tc>
        <w:tc>
          <w:tcPr>
            <w:tcW w:type="dxa" w:w="6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Guidance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Document obtained</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Model card, system card, usage policy, technical report, Annex XII documentation.</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Applies to version</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Must match the production version in document A. Documentation for a different version is of limited value.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Requested on / received on</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Dates. If requested and unanswered, the request itself is evidence — retain it.</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Stated limitations</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What the provider says the model does not do well.</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Discouraged uses</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What the provider says it should not be used for. Extract these verbatim.</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Conflict with our deployment?</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The key field. Compare discouraged uses against what you have actually built. Record any conflict as a finding.</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Reviewed by / date</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 named person. Documentation filed unread is a weaker control than it appears.</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Conclusion</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What the reviewer concluded and what changed as a result.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0B6B62" w:sz="18"/>
              <w:bottom w:val="single" w:color="DDDDDD" w:sz="2"/>
              <w:right w:val="single" w:color="DDDDDD" w:sz="2"/>
            </w:tcBorders>
            <w:shd w:fill="F2F4F7" w:val="clear"/>
            <w:tcMar>
              <w:top w:type="dxa" w:w="130"/>
              <w:left w:type="dxa" w:w="170"/>
              <w:bottom w:type="dxa" w:w="130"/>
              <w:right w:type="dxa" w:w="170"/>
            </w:tcMar>
          </w:tcPr>
          <w:p>
            <w:r>
              <w:rPr>
                <w:b/>
                <w:bCs/>
                <w:color w:val="1A2B49"/>
              </w:rPr>
              <w:t xml:space="preserve">The comparison is the point.  </w:t>
            </w:r>
            <w:r>
              <w:t xml:space="preserve">Read the documentation looking for conflict with your deployment, not for reassurance. If the provider discourages reliance on the model for individualised financial guidance and your assistant tells customers whether they will qualify, that is a direct finding — and it connects straight back to the classification question from Week 06.</w:t>
            </w:r>
          </w:p>
        </w:tc>
      </w:tr>
    </w:tbl>
    <w:p>
      <w:pPr>
        <w:pageBreakBefore/>
      </w:pPr>
      <w:r>
        <w:t xml:space="preserve"/>
      </w:r>
    </w:p>
    <w:p>
      <w:pPr>
        <w:pStyle w:val="Heading1"/>
        <w:spacing w:after="120" w:before="240"/>
      </w:pPr>
      <w:r>
        <w:t xml:space="preserve">E · Model Change &amp; Regression Test Log</w:t>
      </w:r>
    </w:p>
    <w:p>
      <w:pPr>
        <w:spacing w:after="120"/>
      </w:pPr>
      <w:r>
        <w:t xml:space="preserve">One row per model or version change, whether you initiated it or the provider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600"/>
        <w:gridCol w:w="1900"/>
        <w:gridCol w:w="2060"/>
      </w:tblGrid>
      <w:tr>
        <w:tc>
          <w:tcPr>
            <w:tcW w:type="dxa" w:w="19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Date</w:t>
            </w:r>
          </w:p>
        </w:tc>
        <w:tc>
          <w:tcPr>
            <w:tcW w:type="dxa" w:w="19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From version</w:t>
            </w:r>
          </w:p>
        </w:tc>
        <w:tc>
          <w:tcPr>
            <w:tcW w:type="dxa" w:w="1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To version</w:t>
            </w:r>
          </w:p>
        </w:tc>
        <w:tc>
          <w:tcPr>
            <w:tcW w:type="dxa" w:w="19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How learned</w:t>
            </w:r>
          </w:p>
        </w:tc>
        <w:tc>
          <w:tcPr>
            <w:tcW w:type="dxa" w:w="20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Regression result</w:t>
            </w:r>
          </w:p>
        </w:tc>
      </w:tr>
      <w:tr>
        <w:tc>
          <w:tcPr>
            <w:tcW w:type="dxa" w:w="19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19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1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19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Notice / observed / other</w:t>
            </w:r>
          </w:p>
        </w:tc>
        <w:tc>
          <w:tcPr>
            <w:tcW w:type="dxa" w:w="20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Pass / issues found</w:t>
            </w:r>
          </w:p>
        </w:tc>
      </w:tr>
      <w:tr>
        <w:tc>
          <w:tcPr>
            <w:tcW w:type="dxa" w:w="19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19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1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19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c>
          <w:tcPr>
            <w:tcW w:type="dxa" w:w="20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
            </w:r>
          </w:p>
        </w:tc>
      </w:tr>
      <w:tr>
        <w:tc>
          <w:tcPr>
            <w:tcW w:type="dxa" w:w="19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19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1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19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c>
          <w:tcPr>
            <w:tcW w:type="dxa" w:w="20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
            </w:r>
          </w:p>
        </w:tc>
      </w:tr>
    </w:tbl>
    <w:p>
      <w:pPr>
        <w:spacing w:after="120"/>
      </w:pPr>
      <w:r>
        <w:t xml:space="preserve"/>
      </w:r>
    </w:p>
    <w:p>
      <w:pPr>
        <w:pStyle w:val="Heading3"/>
        <w:spacing w:after="80" w:before="160"/>
      </w:pPr>
      <w:r>
        <w:t xml:space="preserve">The regression test set</w:t>
      </w:r>
    </w:p>
    <w:p>
      <w:pPr>
        <w:spacing w:after="120"/>
      </w:pPr>
      <w:r>
        <w:t xml:space="preserve">A fixed set of prompts with expected behaviours, re-run on every change. Coverage should include the consequential outputs from your Week 05 catalogue, the sensitive cases from Week 06, and one probe per AI-specific risk family. Keep it small enough that nobody is tempted to skip it and specific enough that a behaviour change actually fails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Control</w:t>
            </w:r>
          </w:p>
        </w:tc>
        <w:tc>
          <w:tcPr>
            <w:tcW w:type="dxa" w:w="6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Standard</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Trigger</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Any model or version change. Mandatory, non-skippable in the change process.</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Owner</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 named reviewer with authority to block the change on results.</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Retention</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Results kept against the version tested.</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Floating alias?</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If in use, note that no deployment event exists to trigger the test — the control structurally cannot fire.</w:t>
            </w:r>
          </w:p>
        </w:tc>
      </w:tr>
    </w:tbl>
    <w:p>
      <w:pPr>
        <w:pageBreakBefore/>
      </w:pPr>
      <w:r>
        <w:t xml:space="preserve"/>
      </w:r>
    </w:p>
    <w:p>
      <w:pPr>
        <w:pStyle w:val="Heading1"/>
        <w:spacing w:after="120" w:before="240"/>
      </w:pPr>
      <w:r>
        <w:t xml:space="preserve">F · Exit Strategy &amp; Concentration Assessment</w:t>
      </w:r>
    </w:p>
    <w:p>
      <w:pPr>
        <w:spacing w:after="120"/>
      </w:pPr>
      <w:r>
        <w:t xml:space="preserve">Two sides of one question: what depends on this provider, and could you leave. Both are explicit requirements rather than good practice.</w:t>
      </w:r>
    </w:p>
    <w:p>
      <w:pPr>
        <w:pStyle w:val="Heading3"/>
        <w:spacing w:after="80" w:before="160"/>
      </w:pPr>
      <w:r>
        <w:t xml:space="preserve">Exit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Field</w:t>
            </w:r>
          </w:p>
        </w:tc>
        <w:tc>
          <w:tcPr>
            <w:tcW w:type="dxa" w:w="67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Guidance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Target alternative</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Named. 'Another provider' is an intention, not a plan.</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Trigger scenarios</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Provider failure, price change, contractual breach, supervisory instruction, and discontinuation of the model in use.</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Effort and elapsed time</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An estimate someone would defend.</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Portability</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Prompts, output parsing, evaluation baselines, embeddings or fine-tuning, and data.</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Outgoing provider obligations</w:t>
            </w:r>
          </w:p>
        </w:tc>
        <w:tc>
          <w:tcPr>
            <w:tcW w:type="dxa" w:w="67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Data return or deletion, transition assistance. From the contract in document C.</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Last rehearsed</w:t>
            </w:r>
          </w:p>
        </w:tc>
        <w:tc>
          <w:tcPr>
            <w:tcW w:type="dxa" w:w="67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Even on paper. An untested plan for a critical function is a document.</w:t>
            </w:r>
          </w:p>
        </w:tc>
      </w:tr>
    </w:tbl>
    <w:p>
      <w:pPr>
        <w:spacing w:after="120"/>
      </w:pPr>
      <w:r>
        <w:t xml:space="preserve"/>
      </w:r>
    </w:p>
    <w:p>
      <w:pPr>
        <w:pStyle w:val="Heading3"/>
        <w:spacing w:after="80" w:before="160"/>
      </w:pPr>
      <w:r>
        <w:t xml:space="preserve">Concentration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What to count</w:t>
            </w:r>
          </w:p>
        </w:tc>
        <w:tc>
          <w:tcPr>
            <w:tcW w:type="dxa" w:w="59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Note</w:t>
            </w:r>
          </w:p>
        </w:tc>
      </w:tr>
      <w:tr>
        <w:tc>
          <w:tcPr>
            <w:tcW w:type="dxa" w:w="3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Other systems using this provider</w:t>
            </w:r>
          </w:p>
        </w:tc>
        <w:tc>
          <w:tcPr>
            <w:tcW w:type="dxa" w:w="59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Assistants, summarisation, drafting, search.</w:t>
            </w:r>
          </w:p>
        </w:tc>
      </w:tr>
      <w:tr>
        <w:tc>
          <w:tcPr>
            <w:tcW w:type="dxa" w:w="3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AI features in purchased software</w:t>
            </w:r>
          </w:p>
        </w:tc>
        <w:tc>
          <w:tcPr>
            <w:tcW w:type="dxa" w:w="59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Frequently the same small set of foundation providers. Rarely in any AI inventory.</w:t>
            </w:r>
          </w:p>
        </w:tc>
      </w:tr>
      <w:tr>
        <w:tc>
          <w:tcPr>
            <w:tcW w:type="dxa" w:w="3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Infrastructure beneath the provider</w:t>
            </w:r>
          </w:p>
        </w:tc>
        <w:tc>
          <w:tcPr>
            <w:tcW w:type="dxa" w:w="59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Two apparently independent vendors on one hyperscaler is still concentration.</w:t>
            </w:r>
          </w:p>
        </w:tc>
      </w:tr>
      <w:tr>
        <w:tc>
          <w:tcPr>
            <w:tcW w:type="dxa" w:w="34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Impact if unavailable for a day / a week</w:t>
            </w:r>
          </w:p>
        </w:tc>
        <w:tc>
          <w:tcPr>
            <w:tcW w:type="dxa" w:w="59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Documented, not assumed.</w:t>
            </w:r>
          </w:p>
        </w:tc>
      </w:tr>
      <w:tr>
        <w:tc>
          <w:tcPr>
            <w:tcW w:type="dxa" w:w="34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Provider critical-designation status</w:t>
            </w:r>
          </w:p>
        </w:tc>
        <w:tc>
          <w:tcPr>
            <w:tcW w:type="dxa" w:w="59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Where applicable, check whether the provider has been designated.</w:t>
            </w:r>
          </w:p>
        </w:tc>
      </w:tr>
    </w:tbl>
    <w:p>
      <w:pPr>
        <w:pageBreakBefore/>
      </w:pPr>
      <w:r>
        <w:t xml:space="preserve"/>
      </w:r>
    </w:p>
    <w:p>
      <w:pPr>
        <w:pStyle w:val="Heading1"/>
        <w:spacing w:after="120" w:before="240"/>
      </w:pPr>
      <w:r>
        <w:t xml:space="preserve">Mapping the pack to the workbook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Document</w:t>
            </w:r>
          </w:p>
        </w:tc>
        <w:tc>
          <w:tcPr>
            <w:tcW w:type="dxa" w:w="320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Evidences checks</w:t>
            </w:r>
          </w:p>
        </w:tc>
        <w:tc>
          <w:tcPr>
            <w:tcW w:type="dxa" w:w="3560"/>
            <w:tcBorders>
              <w:top w:val="single" w:color="CCCCCC" w:sz="2"/>
              <w:left w:val="single" w:color="CCCCCC" w:sz="2"/>
              <w:bottom w:val="single" w:color="CCCCCC" w:sz="2"/>
              <w:right w:val="single" w:color="CCCCCC" w:sz="2"/>
            </w:tcBorders>
            <w:shd w:fill="0B6B62" w:val="clear"/>
            <w:tcMar>
              <w:top w:type="dxa" w:w="70"/>
              <w:left w:type="dxa" w:w="110"/>
              <w:bottom w:type="dxa" w:w="70"/>
              <w:right w:type="dxa" w:w="110"/>
            </w:tcMar>
            <w:vAlign w:val="center"/>
          </w:tcPr>
          <w:p>
            <w:r>
              <w:rPr>
                <w:b/>
                <w:bCs/>
                <w:color w:val="FFFFFF"/>
                <w:sz w:val="18"/>
                <w:szCs w:val="18"/>
              </w:rPr>
              <w:t xml:space="preserve">Log as</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A · Model &amp; Provider Record</w:t>
            </w:r>
          </w:p>
        </w:tc>
        <w:tc>
          <w:tcPr>
            <w:tcW w:type="dxa" w:w="3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W08-01</w:t>
            </w:r>
          </w:p>
        </w:tc>
        <w:tc>
          <w:tcPr>
            <w:tcW w:type="dxa" w:w="35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EV-W08-01</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B · Due Diligence File</w:t>
            </w:r>
          </w:p>
        </w:tc>
        <w:tc>
          <w:tcPr>
            <w:tcW w:type="dxa" w:w="3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W08-02</w:t>
            </w:r>
          </w:p>
        </w:tc>
        <w:tc>
          <w:tcPr>
            <w:tcW w:type="dxa" w:w="35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EV-W08-02</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Third-party register extract</w:t>
            </w:r>
          </w:p>
        </w:tc>
        <w:tc>
          <w:tcPr>
            <w:tcW w:type="dxa" w:w="3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W08-03</w:t>
            </w:r>
          </w:p>
        </w:tc>
        <w:tc>
          <w:tcPr>
            <w:tcW w:type="dxa" w:w="35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EV-W08-03</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C · Contract Provision Checklist</w:t>
            </w:r>
          </w:p>
        </w:tc>
        <w:tc>
          <w:tcPr>
            <w:tcW w:type="dxa" w:w="3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W08-04</w:t>
            </w:r>
          </w:p>
        </w:tc>
        <w:tc>
          <w:tcPr>
            <w:tcW w:type="dxa" w:w="35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EV-W08-04</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D · Documentation Register</w:t>
            </w:r>
          </w:p>
        </w:tc>
        <w:tc>
          <w:tcPr>
            <w:tcW w:type="dxa" w:w="3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W08-05</w:t>
            </w:r>
          </w:p>
        </w:tc>
        <w:tc>
          <w:tcPr>
            <w:tcW w:type="dxa" w:w="35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EV-W08-05</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 · Change &amp; Regression Log</w:t>
            </w:r>
          </w:p>
        </w:tc>
        <w:tc>
          <w:tcPr>
            <w:tcW w:type="dxa" w:w="3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W08-06, W08-07</w:t>
            </w:r>
          </w:p>
        </w:tc>
        <w:tc>
          <w:tcPr>
            <w:tcW w:type="dxa" w:w="35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EV-W08-06</w:t>
            </w:r>
          </w:p>
        </w:tc>
      </w:tr>
      <w:tr>
        <w:tc>
          <w:tcPr>
            <w:tcW w:type="dxa" w:w="26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F · Exit &amp; Concentration</w:t>
            </w:r>
          </w:p>
        </w:tc>
        <w:tc>
          <w:tcPr>
            <w:tcW w:type="dxa" w:w="320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W08-08, W08-09</w:t>
            </w:r>
          </w:p>
        </w:tc>
        <w:tc>
          <w:tcPr>
            <w:tcW w:type="dxa" w:w="3560"/>
            <w:tcBorders>
              <w:top w:val="single" w:color="CCCCCC" w:sz="2"/>
              <w:left w:val="single" w:color="CCCCCC" w:sz="2"/>
              <w:bottom w:val="single" w:color="CCCCCC" w:sz="2"/>
              <w:right w:val="single" w:color="CCCCCC" w:sz="2"/>
            </w:tcBorders>
            <w:shd w:fill="F2F4F7" w:val="clear"/>
            <w:tcMar>
              <w:top w:type="dxa" w:w="70"/>
              <w:left w:type="dxa" w:w="110"/>
              <w:bottom w:type="dxa" w:w="70"/>
              <w:right w:type="dxa" w:w="110"/>
            </w:tcMar>
            <w:vAlign w:val="center"/>
          </w:tcPr>
          <w:p>
            <w:r>
              <w:rPr>
                <w:b w:val="false"/>
                <w:bCs w:val="false"/>
                <w:color w:val="000000"/>
                <w:sz w:val="18"/>
                <w:szCs w:val="18"/>
              </w:rPr>
              <w:t xml:space="preserve">EV-W08-07</w:t>
            </w:r>
          </w:p>
        </w:tc>
      </w:tr>
      <w:tr>
        <w:tc>
          <w:tcPr>
            <w:tcW w:type="dxa" w:w="26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Monitoring and review records</w:t>
            </w:r>
          </w:p>
        </w:tc>
        <w:tc>
          <w:tcPr>
            <w:tcW w:type="dxa" w:w="320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W08-10</w:t>
            </w:r>
          </w:p>
        </w:tc>
        <w:tc>
          <w:tcPr>
            <w:tcW w:type="dxa" w:w="3560"/>
            <w:tcBorders>
              <w:top w:val="single" w:color="CCCCCC" w:sz="2"/>
              <w:left w:val="single" w:color="CCCCCC" w:sz="2"/>
              <w:bottom w:val="single" w:color="CCCCCC" w:sz="2"/>
              <w:right w:val="single" w:color="CCCCCC" w:sz="2"/>
            </w:tcBorders>
            <w:tcMar>
              <w:top w:type="dxa" w:w="70"/>
              <w:left w:type="dxa" w:w="110"/>
              <w:bottom w:type="dxa" w:w="70"/>
              <w:right w:type="dxa" w:w="110"/>
            </w:tcMar>
            <w:vAlign w:val="center"/>
          </w:tcPr>
          <w:p>
            <w:r>
              <w:rPr>
                <w:b w:val="false"/>
                <w:bCs w:val="false"/>
                <w:color w:val="000000"/>
                <w:sz w:val="18"/>
                <w:szCs w:val="18"/>
              </w:rPr>
              <w:t xml:space="preserve">EV-W08-08</w:t>
            </w:r>
          </w:p>
        </w:tc>
      </w:tr>
    </w:tbl>
    <w:p>
      <w:pPr>
        <w:pBdr>
          <w:top w:val="single" w:color="DDDDDD" w:sz="4" w:space="6"/>
        </w:pBdr>
        <w:spacing w:after="120" w:before="160"/>
      </w:pPr>
      <w:r>
        <w:t xml:space="preserve"/>
      </w:r>
    </w:p>
    <w:p>
      <w:pPr>
        <w:spacing w:after="120"/>
      </w:pPr>
      <w:r>
        <w:rPr>
          <w:i/>
          <w:iCs/>
          <w:color w:val="555555"/>
        </w:rPr>
        <w:t xml:space="preserve">Kannan's Virtual Bank is a fictional institution; all data used in this series is synthetic. This material is an educational accelerator, not legal advice or a compliance guarantee. Adapt it to your own regulatory context before any real-world use.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5"/>
        <w:szCs w:val="15"/>
      </w:rPr>
      <w:t xml:space="preserve">Governance Artifact Pack · Week 08 · Kannan K   ·   </w:t>
    </w:r>
    <w:r>
      <w:rPr>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spacing w:after="60"/>
      <w:jc w:val="right"/>
    </w:pPr>
    <w:r>
      <w:rPr>
        <w:color w:val="555555"/>
        <w:sz w:val="15"/>
        <w:szCs w:val="15"/>
      </w:rPr>
      <w:t xml:space="preserve">AI Governance, Unpacked · Governance Artifact Pack · Week 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abstractNum w:abstractNumId="7" w15:restartNumberingAfterBreak="0">
    <w:multiLevelType w:val="hybridMultilevel"/>
    <w:lvl w:ilvl="0" w15:tentative="1">
      <w:start w:val="1"/>
      <w:numFmt w:val="decimal"/>
      <w:lvlText w:val="%1."/>
      <w:lvlJc w:val="left"/>
      <w:pPr>
        <w:ind w:left="540" w:hanging="280"/>
      </w:pPr>
    </w:lvl>
  </w:abstractNum>
  <w:abstractNum w:abstractNumId="8" w15:restartNumberingAfterBreak="0">
    <w:multiLevelType w:val="hybridMultilevel"/>
    <w:lvl w:ilvl="0" w15:tentative="1">
      <w:start w:val="1"/>
      <w:numFmt w:val="decimal"/>
      <w:lvlText w:val="%1."/>
      <w:lvlJc w:val="left"/>
      <w:pPr>
        <w:ind w:left="540" w:hanging="280"/>
      </w:pPr>
    </w:lvl>
  </w:abstractNum>
  <w:abstractNum w:abstractNumId="9" w15:restartNumberingAfterBreak="0">
    <w:multiLevelType w:val="hybridMultilevel"/>
    <w:lvl w:ilvl="0" w15:tentative="1">
      <w:start w:val="1"/>
      <w:numFmt w:val="decimal"/>
      <w:lvlText w:val="%1."/>
      <w:lvlJc w:val="left"/>
      <w:pPr>
        <w:ind w:left="540" w:hanging="280"/>
      </w:pPr>
    </w:lvl>
  </w:abstractNum>
  <w:abstractNum w:abstractNumId="10" w15:restartNumberingAfterBreak="0">
    <w:multiLevelType w:val="hybridMultilevel"/>
    <w:lvl w:ilvl="0" w15:tentative="1">
      <w:start w:val="1"/>
      <w:numFmt w:val="decimal"/>
      <w:lvlText w:val="%1."/>
      <w:lvlJc w:val="left"/>
      <w:pPr>
        <w:ind w:left="540" w:hanging="280"/>
      </w:pPr>
    </w:lvl>
  </w:abstractNum>
  <w:abstractNum w:abstractNumId="11" w15:restartNumberingAfterBreak="0">
    <w:multiLevelType w:val="hybridMultilevel"/>
    <w:lvl w:ilvl="0" w15:tentative="1">
      <w:start w:val="1"/>
      <w:numFmt w:val="decimal"/>
      <w:lvlText w:val="%1."/>
      <w:lvlJc w:val="left"/>
      <w:pPr>
        <w:ind w:left="540" w:hanging="280"/>
      </w:pPr>
    </w:lvl>
  </w:abstractNum>
  <w:abstractNum w:abstractNumId="12" w15:restartNumberingAfterBreak="0">
    <w:multiLevelType w:val="hybridMultilevel"/>
    <w:lvl w:ilvl="0" w15:tentative="1">
      <w:start w:val="1"/>
      <w:numFmt w:val="decimal"/>
      <w:lvlText w:val="%1."/>
      <w:lvlJc w:val="left"/>
      <w:pPr>
        <w:ind w:left="540" w:hanging="280"/>
      </w:pPr>
    </w:lvl>
  </w:abstractNum>
  <w:abstractNum w:abstractNumId="13" w15:restartNumberingAfterBreak="0">
    <w:multiLevelType w:val="hybridMultilevel"/>
    <w:lvl w:ilvl="0" w15:tentative="1">
      <w:start w:val="1"/>
      <w:numFmt w:val="decimal"/>
      <w:lvlText w:val="%1."/>
      <w:lvlJc w:val="left"/>
      <w:pPr>
        <w:ind w:left="540" w:hanging="280"/>
      </w:pPr>
    </w:lvl>
  </w:abstractNum>
  <w:abstractNum w:abstractNumId="14" w15:restartNumberingAfterBreak="0">
    <w:multiLevelType w:val="hybridMultilevel"/>
    <w:lvl w:ilvl="0" w15:tentative="1">
      <w:start w:val="1"/>
      <w:numFmt w:val="decimal"/>
      <w:lvlText w:val="%1."/>
      <w:lvlJc w:val="left"/>
      <w:pPr>
        <w:ind w:left="540" w:hanging="280"/>
      </w:pPr>
    </w:lvl>
  </w:abstractNum>
  <w:abstractNum w:abstractNumId="15"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Calibri" w:cs="Calibri" w:eastAsia="Calibri" w:hAnsi="Calibri"/>
      <w:b/>
      <w:bCs/>
      <w:color w:val="1A2B49"/>
      <w:sz w:val="34"/>
      <w:szCs w:val="34"/>
    </w:rPr>
  </w:style>
  <w:style w:type="paragraph" w:styleId="Heading2">
    <w:name w:val="Heading 2"/>
    <w:basedOn w:val="Normal"/>
    <w:next w:val="Normal"/>
    <w:qFormat/>
    <w:pPr>
      <w:spacing w:after="110" w:before="240"/>
    </w:pPr>
    <w:rPr>
      <w:rFonts w:ascii="Calibri" w:cs="Calibri" w:eastAsia="Calibri" w:hAnsi="Calibri"/>
      <w:b/>
      <w:bCs/>
      <w:color w:val="0B6B62"/>
      <w:sz w:val="26"/>
      <w:szCs w:val="26"/>
    </w:rPr>
  </w:style>
  <w:style w:type="paragraph" w:styleId="Heading3">
    <w:name w:val="Heading 3"/>
    <w:basedOn w:val="Normal"/>
    <w:next w:val="Normal"/>
    <w:qFormat/>
    <w:pPr>
      <w:spacing w:after="80" w:before="180"/>
    </w:pPr>
    <w:rPr>
      <w:rFonts w:ascii="Calibri" w:cs="Calibri" w:eastAsia="Calibri" w:hAnsi="Calibri"/>
      <w:b/>
      <w:bCs/>
      <w:color w:val="1A2B4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2026-08-05T06:44:39.879Z</dcterms:created>
  <dcterms:modified xsi:type="dcterms:W3CDTF">2026-08-05T06:44:39.880Z</dcterms:modified>
</cp:coreProperties>
</file>

<file path=docProps/custom.xml><?xml version="1.0" encoding="utf-8"?>
<Properties xmlns="http://schemas.openxmlformats.org/officeDocument/2006/custom-properties" xmlns:vt="http://schemas.openxmlformats.org/officeDocument/2006/docPropsVTypes"/>
</file>