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C36F" w14:textId="77777777" w:rsidR="00022EDC" w:rsidRDefault="00CE1C84">
      <w:pPr>
        <w:spacing w:after="40"/>
      </w:pPr>
      <w:r>
        <w:rPr>
          <w:b/>
          <w:bCs/>
          <w:color w:val="0B6B62"/>
          <w:spacing w:val="40"/>
          <w:sz w:val="20"/>
          <w:szCs w:val="20"/>
        </w:rPr>
        <w:t xml:space="preserve">GOVERNANCE ARTIFACT </w:t>
      </w:r>
      <w:proofErr w:type="gramStart"/>
      <w:r>
        <w:rPr>
          <w:b/>
          <w:bCs/>
          <w:color w:val="0B6B62"/>
          <w:spacing w:val="40"/>
          <w:sz w:val="20"/>
          <w:szCs w:val="20"/>
        </w:rPr>
        <w:t>PACK  ·</w:t>
      </w:r>
      <w:proofErr w:type="gramEnd"/>
      <w:r>
        <w:rPr>
          <w:b/>
          <w:bCs/>
          <w:color w:val="0B6B62"/>
          <w:spacing w:val="40"/>
          <w:sz w:val="20"/>
          <w:szCs w:val="20"/>
        </w:rPr>
        <w:t xml:space="preserve">  WEEK 07</w:t>
      </w:r>
    </w:p>
    <w:p w14:paraId="4332C370" w14:textId="77777777" w:rsidR="00022EDC" w:rsidRDefault="00CE1C84">
      <w:pPr>
        <w:pStyle w:val="Heading1"/>
        <w:spacing w:after="70"/>
      </w:pPr>
      <w:r>
        <w:t>Data Governance — the paperwork</w:t>
      </w:r>
    </w:p>
    <w:p w14:paraId="4332C371" w14:textId="77777777" w:rsidR="00022EDC" w:rsidRDefault="00CE1C84">
      <w:pPr>
        <w:spacing w:after="60"/>
      </w:pPr>
      <w:r>
        <w:rPr>
          <w:i/>
          <w:iCs/>
          <w:color w:val="555555"/>
          <w:sz w:val="22"/>
          <w:szCs w:val="22"/>
        </w:rPr>
        <w:t>The six records an auditor asks for in this domain, as templates you can use</w:t>
      </w:r>
    </w:p>
    <w:p w14:paraId="4332C372" w14:textId="77777777" w:rsidR="00022EDC" w:rsidRDefault="00CE1C84">
      <w:pPr>
        <w:spacing w:after="180"/>
      </w:pPr>
      <w:r>
        <w:rPr>
          <w:color w:val="1A2B49"/>
          <w:sz w:val="18"/>
          <w:szCs w:val="18"/>
        </w:rPr>
        <w:t xml:space="preserve">Kannan </w:t>
      </w:r>
      <w:proofErr w:type="gramStart"/>
      <w:r>
        <w:rPr>
          <w:color w:val="1A2B49"/>
          <w:sz w:val="18"/>
          <w:szCs w:val="18"/>
        </w:rPr>
        <w:t>K  ·</w:t>
      </w:r>
      <w:proofErr w:type="gramEnd"/>
      <w:r>
        <w:rPr>
          <w:color w:val="1A2B49"/>
          <w:sz w:val="18"/>
          <w:szCs w:val="18"/>
        </w:rPr>
        <w:t xml:space="preserve">  AI Governance &amp; Cybersecurity Leader</w:t>
      </w:r>
    </w:p>
    <w:p w14:paraId="4332C373" w14:textId="77777777" w:rsidR="00022EDC" w:rsidRDefault="00CE1C84">
      <w:pPr>
        <w:spacing w:after="120"/>
      </w:pPr>
      <w:r>
        <w:t>Data governance is proven with records, not assurances. When an auditor asks how you govern the data behind your AI system, the answer is these six documents. They are set out here as templates you can lift and populate, and together they form the evidence set for the W07 tab of the AI Audit Accelerator.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EDC" w14:paraId="4332C375" w14:textId="77777777">
        <w:tblPrEx>
          <w:tblCellMar>
            <w:top w:w="0" w:type="dxa"/>
            <w:bottom w:w="0" w:type="dxa"/>
          </w:tblCellMar>
        </w:tblPrEx>
        <w:tc>
          <w:tcPr>
            <w:tcW w:w="9360" w:type="dxa"/>
            <w:tcBorders>
              <w:top w:val="single" w:sz="2" w:space="0" w:color="DDDDDD"/>
              <w:left w:val="single" w:sz="18" w:space="0" w:color="0B6B62"/>
              <w:bottom w:val="single" w:sz="2" w:space="0" w:color="DDDDDD"/>
              <w:right w:val="single" w:sz="2" w:space="0" w:color="DDDDDD"/>
            </w:tcBorders>
            <w:shd w:val="clear" w:color="auto" w:fill="F2F4F7"/>
            <w:tcMar>
              <w:top w:w="130" w:type="dxa"/>
              <w:left w:w="170" w:type="dxa"/>
              <w:bottom w:w="130" w:type="dxa"/>
              <w:right w:w="170" w:type="dxa"/>
            </w:tcMar>
          </w:tcPr>
          <w:p w14:paraId="4332C374" w14:textId="77777777" w:rsidR="00022EDC" w:rsidRDefault="00CE1C84">
            <w:r>
              <w:rPr>
                <w:b/>
                <w:bCs/>
                <w:color w:val="1A2B49"/>
              </w:rPr>
              <w:t xml:space="preserve">How to use these.  </w:t>
            </w:r>
            <w:r>
              <w:t>The value is in the reasoning, not the box-ticking. A lawful-basis record that explains why a basis applies to this use is defensible; one that just names a basis is not. And in this domain, evidence often means a contract clause or a configuration export — attach the artefact, do not describe it.</w:t>
            </w:r>
          </w:p>
        </w:tc>
      </w:tr>
    </w:tbl>
    <w:p w14:paraId="4332C376" w14:textId="77777777" w:rsidR="00022EDC" w:rsidRDefault="00022EDC">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360"/>
      </w:tblGrid>
      <w:tr w:rsidR="00022EDC" w14:paraId="4332C37A"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377" w14:textId="77777777" w:rsidR="00022EDC" w:rsidRDefault="00CE1C84">
            <w:r>
              <w:rPr>
                <w:b/>
                <w:bCs/>
                <w:color w:val="FFFFFF"/>
                <w:sz w:val="18"/>
                <w:szCs w:val="18"/>
              </w:rPr>
              <w:t>Doc</w:t>
            </w:r>
          </w:p>
        </w:tc>
        <w:tc>
          <w:tcPr>
            <w:tcW w:w="38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378" w14:textId="77777777" w:rsidR="00022EDC" w:rsidRDefault="00CE1C84">
            <w:r>
              <w:rPr>
                <w:b/>
                <w:bCs/>
                <w:color w:val="FFFFFF"/>
                <w:sz w:val="18"/>
                <w:szCs w:val="18"/>
              </w:rPr>
              <w:t>Name</w:t>
            </w:r>
          </w:p>
        </w:tc>
        <w:tc>
          <w:tcPr>
            <w:tcW w:w="436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379" w14:textId="77777777" w:rsidR="00022EDC" w:rsidRDefault="00CE1C84">
            <w:r>
              <w:rPr>
                <w:b/>
                <w:bCs/>
                <w:color w:val="FFFFFF"/>
                <w:sz w:val="18"/>
                <w:szCs w:val="18"/>
              </w:rPr>
              <w:t>What it proves</w:t>
            </w:r>
          </w:p>
        </w:tc>
      </w:tr>
      <w:tr w:rsidR="00022EDC" w14:paraId="4332C37E"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7B" w14:textId="77777777" w:rsidR="00022EDC" w:rsidRDefault="00CE1C84">
            <w:r>
              <w:rPr>
                <w:color w:val="000000"/>
                <w:sz w:val="18"/>
                <w:szCs w:val="18"/>
              </w:rPr>
              <w:t>A</w:t>
            </w:r>
          </w:p>
        </w:tc>
        <w:tc>
          <w:tcPr>
            <w:tcW w:w="38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7C" w14:textId="77777777" w:rsidR="00022EDC" w:rsidRDefault="00CE1C84">
            <w:r>
              <w:rPr>
                <w:color w:val="000000"/>
                <w:sz w:val="18"/>
                <w:szCs w:val="18"/>
              </w:rPr>
              <w:t>AI Personal-Data Inventory</w:t>
            </w:r>
          </w:p>
        </w:tc>
        <w:tc>
          <w:tcPr>
            <w:tcW w:w="43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7D" w14:textId="77777777" w:rsidR="00022EDC" w:rsidRDefault="00CE1C84">
            <w:r>
              <w:rPr>
                <w:color w:val="000000"/>
                <w:sz w:val="18"/>
                <w:szCs w:val="18"/>
              </w:rPr>
              <w:t>That you know, at field level, what data the system touches.</w:t>
            </w:r>
          </w:p>
        </w:tc>
      </w:tr>
      <w:tr w:rsidR="00022EDC" w14:paraId="4332C382"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7F" w14:textId="77777777" w:rsidR="00022EDC" w:rsidRDefault="00CE1C84">
            <w:r>
              <w:rPr>
                <w:color w:val="000000"/>
                <w:sz w:val="18"/>
                <w:szCs w:val="18"/>
              </w:rPr>
              <w:t>B</w:t>
            </w:r>
          </w:p>
        </w:tc>
        <w:tc>
          <w:tcPr>
            <w:tcW w:w="38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80" w14:textId="77777777" w:rsidR="00022EDC" w:rsidRDefault="00CE1C84">
            <w:r>
              <w:rPr>
                <w:color w:val="000000"/>
                <w:sz w:val="18"/>
                <w:szCs w:val="18"/>
              </w:rPr>
              <w:t>Lawful Basis &amp; Purpose-Compatibility Record</w:t>
            </w:r>
          </w:p>
        </w:tc>
        <w:tc>
          <w:tcPr>
            <w:tcW w:w="43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81" w14:textId="77777777" w:rsidR="00022EDC" w:rsidRDefault="00CE1C84">
            <w:r>
              <w:rPr>
                <w:color w:val="000000"/>
                <w:sz w:val="18"/>
                <w:szCs w:val="18"/>
              </w:rPr>
              <w:t>That you have the right to use this data for this purpose.</w:t>
            </w:r>
          </w:p>
        </w:tc>
      </w:tr>
      <w:tr w:rsidR="00022EDC" w14:paraId="4332C386"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83" w14:textId="77777777" w:rsidR="00022EDC" w:rsidRDefault="00CE1C84">
            <w:r>
              <w:rPr>
                <w:color w:val="000000"/>
                <w:sz w:val="18"/>
                <w:szCs w:val="18"/>
              </w:rPr>
              <w:t>C</w:t>
            </w:r>
          </w:p>
        </w:tc>
        <w:tc>
          <w:tcPr>
            <w:tcW w:w="38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84" w14:textId="77777777" w:rsidR="00022EDC" w:rsidRDefault="00CE1C84">
            <w:r>
              <w:rPr>
                <w:color w:val="000000"/>
                <w:sz w:val="18"/>
                <w:szCs w:val="18"/>
              </w:rPr>
              <w:t>Data Minimisation &amp; Sensitive-Data Assessment</w:t>
            </w:r>
          </w:p>
        </w:tc>
        <w:tc>
          <w:tcPr>
            <w:tcW w:w="43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85" w14:textId="77777777" w:rsidR="00022EDC" w:rsidRDefault="00CE1C84">
            <w:r>
              <w:rPr>
                <w:color w:val="000000"/>
                <w:sz w:val="18"/>
                <w:szCs w:val="18"/>
              </w:rPr>
              <w:t>That the system reaches only what it needs, sensitive data conditioned.</w:t>
            </w:r>
          </w:p>
        </w:tc>
      </w:tr>
      <w:tr w:rsidR="00022EDC" w14:paraId="4332C38A"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87" w14:textId="77777777" w:rsidR="00022EDC" w:rsidRDefault="00CE1C84">
            <w:r>
              <w:rPr>
                <w:color w:val="000000"/>
                <w:sz w:val="18"/>
                <w:szCs w:val="18"/>
              </w:rPr>
              <w:t>D</w:t>
            </w:r>
          </w:p>
        </w:tc>
        <w:tc>
          <w:tcPr>
            <w:tcW w:w="38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88" w14:textId="77777777" w:rsidR="00022EDC" w:rsidRDefault="00CE1C84">
            <w:r>
              <w:rPr>
                <w:color w:val="000000"/>
                <w:sz w:val="18"/>
                <w:szCs w:val="18"/>
              </w:rPr>
              <w:t>Model-Provider Data-Flow Record</w:t>
            </w:r>
          </w:p>
        </w:tc>
        <w:tc>
          <w:tcPr>
            <w:tcW w:w="43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89" w14:textId="77777777" w:rsidR="00022EDC" w:rsidRDefault="00CE1C84">
            <w:r>
              <w:rPr>
                <w:color w:val="000000"/>
                <w:sz w:val="18"/>
                <w:szCs w:val="18"/>
              </w:rPr>
              <w:t>That you know what leaves the boundary, and control it.</w:t>
            </w:r>
          </w:p>
        </w:tc>
      </w:tr>
      <w:tr w:rsidR="00022EDC" w14:paraId="4332C38E"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8B" w14:textId="77777777" w:rsidR="00022EDC" w:rsidRDefault="00CE1C84">
            <w:r>
              <w:rPr>
                <w:color w:val="000000"/>
                <w:sz w:val="18"/>
                <w:szCs w:val="18"/>
              </w:rPr>
              <w:t>E</w:t>
            </w:r>
          </w:p>
        </w:tc>
        <w:tc>
          <w:tcPr>
            <w:tcW w:w="38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8C" w14:textId="77777777" w:rsidR="00022EDC" w:rsidRDefault="00CE1C84">
            <w:r>
              <w:rPr>
                <w:color w:val="000000"/>
                <w:sz w:val="18"/>
                <w:szCs w:val="18"/>
              </w:rPr>
              <w:t>Retention &amp; Erasure Schedule</w:t>
            </w:r>
          </w:p>
        </w:tc>
        <w:tc>
          <w:tcPr>
            <w:tcW w:w="43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8D" w14:textId="77777777" w:rsidR="00022EDC" w:rsidRDefault="00CE1C84">
            <w:r>
              <w:rPr>
                <w:color w:val="000000"/>
                <w:sz w:val="18"/>
                <w:szCs w:val="18"/>
              </w:rPr>
              <w:t>That data has an end date and erasure works.</w:t>
            </w:r>
          </w:p>
        </w:tc>
      </w:tr>
      <w:tr w:rsidR="00022EDC" w14:paraId="4332C392"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8F" w14:textId="77777777" w:rsidR="00022EDC" w:rsidRDefault="00CE1C84">
            <w:r>
              <w:rPr>
                <w:color w:val="000000"/>
                <w:sz w:val="18"/>
                <w:szCs w:val="18"/>
              </w:rPr>
              <w:t>F</w:t>
            </w:r>
          </w:p>
        </w:tc>
        <w:tc>
          <w:tcPr>
            <w:tcW w:w="38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90" w14:textId="77777777" w:rsidR="00022EDC" w:rsidRDefault="00CE1C84">
            <w:r>
              <w:rPr>
                <w:color w:val="000000"/>
                <w:sz w:val="18"/>
                <w:szCs w:val="18"/>
              </w:rPr>
              <w:t>Privacy Notice &amp; Rights Register</w:t>
            </w:r>
          </w:p>
        </w:tc>
        <w:tc>
          <w:tcPr>
            <w:tcW w:w="43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91" w14:textId="77777777" w:rsidR="00022EDC" w:rsidRDefault="00CE1C84">
            <w:r>
              <w:rPr>
                <w:color w:val="000000"/>
                <w:sz w:val="18"/>
                <w:szCs w:val="18"/>
              </w:rPr>
              <w:t>That individuals are told, and their rights are operable.</w:t>
            </w:r>
          </w:p>
        </w:tc>
      </w:tr>
    </w:tbl>
    <w:p w14:paraId="4332C393" w14:textId="77777777" w:rsidR="00022EDC" w:rsidRDefault="00022EDC">
      <w:pPr>
        <w:pageBreakBefore/>
      </w:pPr>
    </w:p>
    <w:p w14:paraId="4332C394" w14:textId="77777777" w:rsidR="00022EDC" w:rsidRDefault="00CE1C84">
      <w:pPr>
        <w:pStyle w:val="Heading1"/>
      </w:pPr>
      <w:r>
        <w:t>A · AI Personal-Data Inventory</w:t>
      </w:r>
    </w:p>
    <w:p w14:paraId="4332C395" w14:textId="77777777" w:rsidR="00022EDC" w:rsidRDefault="00CE1C84">
      <w:pPr>
        <w:spacing w:after="120"/>
      </w:pPr>
      <w:r>
        <w:rPr>
          <w:i/>
          <w:iCs/>
          <w:color w:val="555555"/>
        </w:rPr>
        <w:t>The foundation of the domain. Every other record depends on knowing what data the system touches.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400"/>
        <w:gridCol w:w="2760"/>
      </w:tblGrid>
      <w:tr w:rsidR="00022EDC" w14:paraId="4332C39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396" w14:textId="77777777" w:rsidR="00022EDC" w:rsidRDefault="00CE1C84">
            <w:r>
              <w:rPr>
                <w:b/>
                <w:bCs/>
                <w:color w:val="FFFFFF"/>
                <w:sz w:val="18"/>
                <w:szCs w:val="18"/>
              </w:rPr>
              <w:t>Field / source</w:t>
            </w:r>
          </w:p>
        </w:tc>
        <w:tc>
          <w:tcPr>
            <w:tcW w:w="14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397" w14:textId="77777777" w:rsidR="00022EDC" w:rsidRDefault="00CE1C84">
            <w:r>
              <w:rPr>
                <w:b/>
                <w:bCs/>
                <w:color w:val="FFFFFF"/>
                <w:sz w:val="18"/>
                <w:szCs w:val="18"/>
              </w:rPr>
              <w:t>Personal?</w:t>
            </w:r>
          </w:p>
        </w:tc>
        <w:tc>
          <w:tcPr>
            <w:tcW w:w="14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398" w14:textId="77777777" w:rsidR="00022EDC" w:rsidRDefault="00CE1C84">
            <w:r>
              <w:rPr>
                <w:b/>
                <w:bCs/>
                <w:color w:val="FFFFFF"/>
                <w:sz w:val="18"/>
                <w:szCs w:val="18"/>
              </w:rPr>
              <w:t>Sensitive?</w:t>
            </w:r>
          </w:p>
        </w:tc>
        <w:tc>
          <w:tcPr>
            <w:tcW w:w="14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399" w14:textId="77777777" w:rsidR="00022EDC" w:rsidRDefault="00CE1C84">
            <w:r>
              <w:rPr>
                <w:b/>
                <w:bCs/>
                <w:color w:val="FFFFFF"/>
                <w:sz w:val="18"/>
                <w:szCs w:val="18"/>
              </w:rPr>
              <w:t>Direction</w:t>
            </w:r>
          </w:p>
        </w:tc>
        <w:tc>
          <w:tcPr>
            <w:tcW w:w="276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39A" w14:textId="77777777" w:rsidR="00022EDC" w:rsidRDefault="00CE1C84">
            <w:proofErr w:type="gramStart"/>
            <w:r>
              <w:rPr>
                <w:b/>
                <w:bCs/>
                <w:color w:val="FFFFFF"/>
                <w:sz w:val="18"/>
                <w:szCs w:val="18"/>
              </w:rPr>
              <w:t>Purpose</w:t>
            </w:r>
            <w:proofErr w:type="gramEnd"/>
            <w:r>
              <w:rPr>
                <w:b/>
                <w:bCs/>
                <w:color w:val="FFFFFF"/>
                <w:sz w:val="18"/>
                <w:szCs w:val="18"/>
              </w:rPr>
              <w:t xml:space="preserve"> it serves in the assistant</w:t>
            </w:r>
          </w:p>
        </w:tc>
      </w:tr>
      <w:tr w:rsidR="00022EDC" w14:paraId="4332C3A1"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9C" w14:textId="77777777" w:rsidR="00022EDC" w:rsidRDefault="00CE1C84">
            <w:r>
              <w:rPr>
                <w:color w:val="000000"/>
                <w:sz w:val="18"/>
                <w:szCs w:val="18"/>
              </w:rPr>
              <w:t xml:space="preserve">[e.g. </w:t>
            </w:r>
            <w:proofErr w:type="spellStart"/>
            <w:r>
              <w:rPr>
                <w:color w:val="000000"/>
                <w:sz w:val="18"/>
                <w:szCs w:val="18"/>
              </w:rPr>
              <w:t>customer_id</w:t>
            </w:r>
            <w:proofErr w:type="spellEnd"/>
            <w:r>
              <w:rPr>
                <w:color w:val="000000"/>
                <w:sz w:val="18"/>
                <w:szCs w:val="18"/>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9D" w14:textId="77777777" w:rsidR="00022EDC" w:rsidRDefault="00022EDC"/>
        </w:tc>
        <w:tc>
          <w:tcPr>
            <w:tcW w:w="1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9E" w14:textId="77777777" w:rsidR="00022EDC" w:rsidRDefault="00022EDC"/>
        </w:tc>
        <w:tc>
          <w:tcPr>
            <w:tcW w:w="1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9F" w14:textId="77777777" w:rsidR="00022EDC" w:rsidRDefault="00CE1C84">
            <w:r>
              <w:rPr>
                <w:color w:val="000000"/>
                <w:sz w:val="18"/>
                <w:szCs w:val="18"/>
              </w:rPr>
              <w:t>read</w:t>
            </w:r>
          </w:p>
        </w:tc>
        <w:tc>
          <w:tcPr>
            <w:tcW w:w="2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A0" w14:textId="77777777" w:rsidR="00022EDC" w:rsidRDefault="00022EDC"/>
        </w:tc>
      </w:tr>
      <w:tr w:rsidR="00022EDC" w14:paraId="4332C3A7"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A2" w14:textId="77777777" w:rsidR="00022EDC" w:rsidRDefault="00CE1C84">
            <w:r>
              <w:rPr>
                <w:color w:val="000000"/>
                <w:sz w:val="18"/>
                <w:szCs w:val="18"/>
              </w:rPr>
              <w:t xml:space="preserve">[e.g. </w:t>
            </w:r>
            <w:proofErr w:type="spellStart"/>
            <w:r>
              <w:rPr>
                <w:color w:val="000000"/>
                <w:sz w:val="18"/>
                <w:szCs w:val="18"/>
              </w:rPr>
              <w:t>account_balance</w:t>
            </w:r>
            <w:proofErr w:type="spellEnd"/>
            <w:r>
              <w:rPr>
                <w:color w:val="000000"/>
                <w:sz w:val="18"/>
                <w:szCs w:val="18"/>
              </w:rPr>
              <w:t>]</w:t>
            </w:r>
          </w:p>
        </w:tc>
        <w:tc>
          <w:tcPr>
            <w:tcW w:w="1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A3" w14:textId="77777777" w:rsidR="00022EDC" w:rsidRDefault="00022EDC"/>
        </w:tc>
        <w:tc>
          <w:tcPr>
            <w:tcW w:w="1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A4" w14:textId="77777777" w:rsidR="00022EDC" w:rsidRDefault="00022EDC"/>
        </w:tc>
        <w:tc>
          <w:tcPr>
            <w:tcW w:w="1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A5" w14:textId="77777777" w:rsidR="00022EDC" w:rsidRDefault="00CE1C84">
            <w:r>
              <w:rPr>
                <w:color w:val="000000"/>
                <w:sz w:val="18"/>
                <w:szCs w:val="18"/>
              </w:rPr>
              <w:t>read</w:t>
            </w:r>
          </w:p>
        </w:tc>
        <w:tc>
          <w:tcPr>
            <w:tcW w:w="2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A6" w14:textId="77777777" w:rsidR="00022EDC" w:rsidRDefault="00022EDC"/>
        </w:tc>
      </w:tr>
      <w:tr w:rsidR="00022EDC" w14:paraId="4332C3AD"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A8" w14:textId="77777777" w:rsidR="00022EDC" w:rsidRDefault="00CE1C84">
            <w:r>
              <w:rPr>
                <w:color w:val="000000"/>
                <w:sz w:val="18"/>
                <w:szCs w:val="18"/>
              </w:rPr>
              <w:t xml:space="preserve">[e.g. </w:t>
            </w:r>
            <w:proofErr w:type="spellStart"/>
            <w:r>
              <w:rPr>
                <w:color w:val="000000"/>
                <w:sz w:val="18"/>
                <w:szCs w:val="18"/>
              </w:rPr>
              <w:t>date_of_birth</w:t>
            </w:r>
            <w:proofErr w:type="spellEnd"/>
            <w:r>
              <w:rPr>
                <w:color w:val="000000"/>
                <w:sz w:val="18"/>
                <w:szCs w:val="18"/>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A9" w14:textId="77777777" w:rsidR="00022EDC" w:rsidRDefault="00022EDC"/>
        </w:tc>
        <w:tc>
          <w:tcPr>
            <w:tcW w:w="1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AA" w14:textId="77777777" w:rsidR="00022EDC" w:rsidRDefault="00022EDC"/>
        </w:tc>
        <w:tc>
          <w:tcPr>
            <w:tcW w:w="1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AB" w14:textId="77777777" w:rsidR="00022EDC" w:rsidRDefault="00CE1C84">
            <w:r>
              <w:rPr>
                <w:color w:val="000000"/>
                <w:sz w:val="18"/>
                <w:szCs w:val="18"/>
              </w:rPr>
              <w:t>read</w:t>
            </w:r>
          </w:p>
        </w:tc>
        <w:tc>
          <w:tcPr>
            <w:tcW w:w="2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AC" w14:textId="77777777" w:rsidR="00022EDC" w:rsidRDefault="00022EDC"/>
        </w:tc>
      </w:tr>
      <w:tr w:rsidR="00022EDC" w14:paraId="4332C3B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AE" w14:textId="77777777" w:rsidR="00022EDC" w:rsidRDefault="00CE1C84">
            <w:r>
              <w:rPr>
                <w:color w:val="000000"/>
                <w:sz w:val="18"/>
                <w:szCs w:val="18"/>
              </w:rPr>
              <w:t xml:space="preserve">[e.g. </w:t>
            </w:r>
            <w:proofErr w:type="spellStart"/>
            <w:r>
              <w:rPr>
                <w:color w:val="000000"/>
                <w:sz w:val="18"/>
                <w:szCs w:val="18"/>
              </w:rPr>
              <w:t>demographic_marker</w:t>
            </w:r>
            <w:proofErr w:type="spellEnd"/>
            <w:r>
              <w:rPr>
                <w:color w:val="000000"/>
                <w:sz w:val="18"/>
                <w:szCs w:val="18"/>
              </w:rPr>
              <w:t>]</w:t>
            </w:r>
          </w:p>
        </w:tc>
        <w:tc>
          <w:tcPr>
            <w:tcW w:w="1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AF" w14:textId="77777777" w:rsidR="00022EDC" w:rsidRDefault="00022EDC"/>
        </w:tc>
        <w:tc>
          <w:tcPr>
            <w:tcW w:w="1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B0" w14:textId="77777777" w:rsidR="00022EDC" w:rsidRDefault="00022EDC"/>
        </w:tc>
        <w:tc>
          <w:tcPr>
            <w:tcW w:w="1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B1" w14:textId="77777777" w:rsidR="00022EDC" w:rsidRDefault="00CE1C84">
            <w:r>
              <w:rPr>
                <w:color w:val="000000"/>
                <w:sz w:val="18"/>
                <w:szCs w:val="18"/>
              </w:rPr>
              <w:t>read</w:t>
            </w:r>
          </w:p>
        </w:tc>
        <w:tc>
          <w:tcPr>
            <w:tcW w:w="2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B2" w14:textId="77777777" w:rsidR="00022EDC" w:rsidRDefault="00022EDC"/>
        </w:tc>
      </w:tr>
      <w:tr w:rsidR="00022EDC" w14:paraId="4332C3B9"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B4" w14:textId="77777777" w:rsidR="00022EDC" w:rsidRDefault="00CE1C84">
            <w:r>
              <w:rPr>
                <w:color w:val="000000"/>
                <w:sz w:val="18"/>
                <w:szCs w:val="18"/>
              </w:rPr>
              <w:t xml:space="preserve">[e.g. </w:t>
            </w:r>
            <w:proofErr w:type="spellStart"/>
            <w:r>
              <w:rPr>
                <w:color w:val="000000"/>
                <w:sz w:val="18"/>
                <w:szCs w:val="18"/>
              </w:rPr>
              <w:t>eligibility_fields</w:t>
            </w:r>
            <w:proofErr w:type="spellEnd"/>
            <w:r>
              <w:rPr>
                <w:color w:val="000000"/>
                <w:sz w:val="18"/>
                <w:szCs w:val="18"/>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B5" w14:textId="77777777" w:rsidR="00022EDC" w:rsidRDefault="00022EDC"/>
        </w:tc>
        <w:tc>
          <w:tcPr>
            <w:tcW w:w="1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B6" w14:textId="77777777" w:rsidR="00022EDC" w:rsidRDefault="00022EDC"/>
        </w:tc>
        <w:tc>
          <w:tcPr>
            <w:tcW w:w="1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B7" w14:textId="77777777" w:rsidR="00022EDC" w:rsidRDefault="00CE1C84">
            <w:r>
              <w:rPr>
                <w:color w:val="000000"/>
                <w:sz w:val="18"/>
                <w:szCs w:val="18"/>
              </w:rPr>
              <w:t>read</w:t>
            </w:r>
          </w:p>
        </w:tc>
        <w:tc>
          <w:tcPr>
            <w:tcW w:w="2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B8" w14:textId="77777777" w:rsidR="00022EDC" w:rsidRDefault="00022EDC"/>
        </w:tc>
      </w:tr>
      <w:tr w:rsidR="00022EDC" w14:paraId="4332C3BF"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BA" w14:textId="77777777" w:rsidR="00022EDC" w:rsidRDefault="00CE1C84">
            <w:r>
              <w:rPr>
                <w:color w:val="000000"/>
                <w:sz w:val="18"/>
                <w:szCs w:val="18"/>
              </w:rPr>
              <w:t xml:space="preserve">[e.g. </w:t>
            </w:r>
            <w:proofErr w:type="spellStart"/>
            <w:r>
              <w:rPr>
                <w:color w:val="000000"/>
                <w:sz w:val="18"/>
                <w:szCs w:val="18"/>
              </w:rPr>
              <w:t>conversation_log</w:t>
            </w:r>
            <w:proofErr w:type="spellEnd"/>
            <w:r>
              <w:rPr>
                <w:color w:val="000000"/>
                <w:sz w:val="18"/>
                <w:szCs w:val="18"/>
              </w:rPr>
              <w:t>]</w:t>
            </w:r>
          </w:p>
        </w:tc>
        <w:tc>
          <w:tcPr>
            <w:tcW w:w="1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BB" w14:textId="77777777" w:rsidR="00022EDC" w:rsidRDefault="00022EDC"/>
        </w:tc>
        <w:tc>
          <w:tcPr>
            <w:tcW w:w="1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BC" w14:textId="77777777" w:rsidR="00022EDC" w:rsidRDefault="00022EDC"/>
        </w:tc>
        <w:tc>
          <w:tcPr>
            <w:tcW w:w="1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BD" w14:textId="77777777" w:rsidR="00022EDC" w:rsidRDefault="00CE1C84">
            <w:r>
              <w:rPr>
                <w:color w:val="000000"/>
                <w:sz w:val="18"/>
                <w:szCs w:val="18"/>
              </w:rPr>
              <w:t>write</w:t>
            </w:r>
          </w:p>
        </w:tc>
        <w:tc>
          <w:tcPr>
            <w:tcW w:w="2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BE" w14:textId="77777777" w:rsidR="00022EDC" w:rsidRDefault="00022EDC"/>
        </w:tc>
      </w:tr>
      <w:tr w:rsidR="00022EDC" w14:paraId="4332C3C5"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C0" w14:textId="77777777" w:rsidR="00022EDC" w:rsidRDefault="00CE1C84">
            <w:r>
              <w:rPr>
                <w:color w:val="000000"/>
                <w:sz w:val="18"/>
                <w:szCs w:val="18"/>
              </w:rPr>
              <w:t>[add every field the assistant can reach]</w:t>
            </w:r>
          </w:p>
        </w:tc>
        <w:tc>
          <w:tcPr>
            <w:tcW w:w="1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C1" w14:textId="77777777" w:rsidR="00022EDC" w:rsidRDefault="00022EDC"/>
        </w:tc>
        <w:tc>
          <w:tcPr>
            <w:tcW w:w="1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C2" w14:textId="77777777" w:rsidR="00022EDC" w:rsidRDefault="00022EDC"/>
        </w:tc>
        <w:tc>
          <w:tcPr>
            <w:tcW w:w="1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C3" w14:textId="77777777" w:rsidR="00022EDC" w:rsidRDefault="00022EDC"/>
        </w:tc>
        <w:tc>
          <w:tcPr>
            <w:tcW w:w="2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C4" w14:textId="77777777" w:rsidR="00022EDC" w:rsidRDefault="00022EDC"/>
        </w:tc>
      </w:tr>
    </w:tbl>
    <w:p w14:paraId="4332C3C6" w14:textId="77777777" w:rsidR="00022EDC" w:rsidRDefault="00022ED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EDC" w14:paraId="4332C3C8" w14:textId="77777777">
        <w:tblPrEx>
          <w:tblCellMar>
            <w:top w:w="0" w:type="dxa"/>
            <w:bottom w:w="0" w:type="dxa"/>
          </w:tblCellMar>
        </w:tblPrEx>
        <w:tc>
          <w:tcPr>
            <w:tcW w:w="9360" w:type="dxa"/>
            <w:tcBorders>
              <w:top w:val="single" w:sz="2" w:space="0" w:color="DDDDDD"/>
              <w:left w:val="single" w:sz="18" w:space="0" w:color="0B6B62"/>
              <w:bottom w:val="single" w:sz="2" w:space="0" w:color="DDDDDD"/>
              <w:right w:val="single" w:sz="2" w:space="0" w:color="DDDDDD"/>
            </w:tcBorders>
            <w:shd w:val="clear" w:color="auto" w:fill="F2F4F7"/>
            <w:tcMar>
              <w:top w:w="130" w:type="dxa"/>
              <w:left w:w="170" w:type="dxa"/>
              <w:bottom w:w="130" w:type="dxa"/>
              <w:right w:w="170" w:type="dxa"/>
            </w:tcMar>
          </w:tcPr>
          <w:p w14:paraId="4332C3C7" w14:textId="77777777" w:rsidR="00022EDC" w:rsidRDefault="00CE1C84">
            <w:r>
              <w:rPr>
                <w:b/>
                <w:bCs/>
                <w:color w:val="1A2B49"/>
              </w:rPr>
              <w:t xml:space="preserve">Direction matters.  </w:t>
            </w:r>
            <w:r>
              <w:t>Mark whether the assistant reads, writes or transmits each field. Fields it sends onward to the model provider carry their own obligations and feed directly into document D.</w:t>
            </w:r>
          </w:p>
        </w:tc>
      </w:tr>
    </w:tbl>
    <w:p w14:paraId="4332C3C9" w14:textId="77777777" w:rsidR="00022EDC" w:rsidRDefault="00022EDC">
      <w:pPr>
        <w:pageBreakBefore/>
      </w:pPr>
    </w:p>
    <w:p w14:paraId="4332C3CA" w14:textId="77777777" w:rsidR="00022EDC" w:rsidRDefault="00CE1C84">
      <w:pPr>
        <w:pStyle w:val="Heading1"/>
      </w:pPr>
      <w:r>
        <w:t>B · Lawful Basis &amp; Purpose-Compatibility Record</w:t>
      </w:r>
    </w:p>
    <w:p w14:paraId="4332C3CB" w14:textId="77777777" w:rsidR="00022EDC" w:rsidRDefault="00CE1C84">
      <w:pPr>
        <w:spacing w:after="120"/>
      </w:pPr>
      <w:r>
        <w:t>The headline document. It answers two linked questions: do you have a lawful basis for the AI use, and is that use compatible with why the data was collected?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22EDC" w14:paraId="4332C3CE"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3CC" w14:textId="77777777" w:rsidR="00022EDC" w:rsidRDefault="00CE1C84">
            <w:r>
              <w:rPr>
                <w:b/>
                <w:bCs/>
                <w:color w:val="FFFFFF"/>
                <w:sz w:val="18"/>
                <w:szCs w:val="18"/>
              </w:rPr>
              <w:t>Field</w:t>
            </w:r>
          </w:p>
        </w:tc>
        <w:tc>
          <w:tcPr>
            <w:tcW w:w="676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3CD" w14:textId="77777777" w:rsidR="00022EDC" w:rsidRDefault="00CE1C84">
            <w:r>
              <w:rPr>
                <w:b/>
                <w:bCs/>
                <w:color w:val="FFFFFF"/>
                <w:sz w:val="18"/>
                <w:szCs w:val="18"/>
              </w:rPr>
              <w:t>Guidance</w:t>
            </w:r>
          </w:p>
        </w:tc>
      </w:tr>
      <w:tr w:rsidR="00022EDC" w14:paraId="4332C3D1"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CF" w14:textId="77777777" w:rsidR="00022EDC" w:rsidRDefault="00CE1C84">
            <w:r>
              <w:rPr>
                <w:color w:val="000000"/>
                <w:sz w:val="18"/>
                <w:szCs w:val="18"/>
              </w:rPr>
              <w:t>Data in scope</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D0" w14:textId="77777777" w:rsidR="00022EDC" w:rsidRDefault="00CE1C84">
            <w:r>
              <w:rPr>
                <w:color w:val="000000"/>
                <w:sz w:val="18"/>
                <w:szCs w:val="18"/>
              </w:rPr>
              <w:t>The personal data the assistant uses, from document A.</w:t>
            </w:r>
          </w:p>
        </w:tc>
      </w:tr>
      <w:tr w:rsidR="00022EDC" w14:paraId="4332C3D4"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D2" w14:textId="77777777" w:rsidR="00022EDC" w:rsidRDefault="00CE1C84">
            <w:r>
              <w:rPr>
                <w:color w:val="000000"/>
                <w:sz w:val="18"/>
                <w:szCs w:val="18"/>
              </w:rPr>
              <w:t>Original collection purpose</w:t>
            </w:r>
          </w:p>
        </w:tc>
        <w:tc>
          <w:tcPr>
            <w:tcW w:w="6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D3" w14:textId="77777777" w:rsidR="00022EDC" w:rsidRDefault="00CE1C84">
            <w:r>
              <w:rPr>
                <w:color w:val="000000"/>
                <w:sz w:val="18"/>
                <w:szCs w:val="18"/>
              </w:rPr>
              <w:t>What the data was gathered for — e.g. account servicing, credit administration.</w:t>
            </w:r>
          </w:p>
        </w:tc>
      </w:tr>
      <w:tr w:rsidR="00022EDC" w14:paraId="4332C3D7"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D5" w14:textId="77777777" w:rsidR="00022EDC" w:rsidRDefault="00CE1C84">
            <w:r>
              <w:rPr>
                <w:color w:val="000000"/>
                <w:sz w:val="18"/>
                <w:szCs w:val="18"/>
              </w:rPr>
              <w:t>Original lawful basis</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D6" w14:textId="77777777" w:rsidR="00022EDC" w:rsidRDefault="00CE1C84">
            <w:r>
              <w:rPr>
                <w:color w:val="000000"/>
                <w:sz w:val="18"/>
                <w:szCs w:val="18"/>
              </w:rPr>
              <w:t>The basis the data was collected under — e.g. contract, legal obligation.</w:t>
            </w:r>
          </w:p>
        </w:tc>
      </w:tr>
      <w:tr w:rsidR="00022EDC" w14:paraId="4332C3DA"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D8" w14:textId="77777777" w:rsidR="00022EDC" w:rsidRDefault="00CE1C84">
            <w:r>
              <w:rPr>
                <w:color w:val="000000"/>
                <w:sz w:val="18"/>
                <w:szCs w:val="18"/>
              </w:rPr>
              <w:t>New purpose (the AI use)</w:t>
            </w:r>
          </w:p>
        </w:tc>
        <w:tc>
          <w:tcPr>
            <w:tcW w:w="6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D9" w14:textId="77777777" w:rsidR="00022EDC" w:rsidRDefault="00CE1C84">
            <w:r>
              <w:rPr>
                <w:color w:val="000000"/>
                <w:sz w:val="18"/>
                <w:szCs w:val="18"/>
              </w:rPr>
              <w:t>Powering the assistant: query handling, eligibility guidance, and so on.</w:t>
            </w:r>
          </w:p>
        </w:tc>
      </w:tr>
      <w:tr w:rsidR="00022EDC" w14:paraId="4332C3DD"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DB" w14:textId="77777777" w:rsidR="00022EDC" w:rsidRDefault="00CE1C84">
            <w:r>
              <w:rPr>
                <w:color w:val="000000"/>
                <w:sz w:val="18"/>
                <w:szCs w:val="18"/>
              </w:rPr>
              <w:t>Lawful basis for the AI use</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DC" w14:textId="77777777" w:rsidR="00022EDC" w:rsidRDefault="00CE1C84">
            <w:r>
              <w:rPr>
                <w:color w:val="000000"/>
                <w:sz w:val="18"/>
                <w:szCs w:val="18"/>
              </w:rPr>
              <w:t>The basis for this use specifically. Under GDPR, an Art. 6 basis; under DPDP, consent or a defined legitimate use.</w:t>
            </w:r>
          </w:p>
        </w:tc>
      </w:tr>
      <w:tr w:rsidR="00022EDC" w14:paraId="4332C3E0"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DE" w14:textId="77777777" w:rsidR="00022EDC" w:rsidRDefault="00CE1C84">
            <w:r>
              <w:rPr>
                <w:color w:val="000000"/>
                <w:sz w:val="18"/>
                <w:szCs w:val="18"/>
              </w:rPr>
              <w:t>Legitimate-interests assessment</w:t>
            </w:r>
          </w:p>
        </w:tc>
        <w:tc>
          <w:tcPr>
            <w:tcW w:w="6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DF" w14:textId="77777777" w:rsidR="00022EDC" w:rsidRDefault="00CE1C84">
            <w:r>
              <w:rPr>
                <w:color w:val="000000"/>
                <w:sz w:val="18"/>
                <w:szCs w:val="18"/>
              </w:rPr>
              <w:t>If relying on legitimate interests, the balancing assessment. Not optional if this is the basis.</w:t>
            </w:r>
          </w:p>
        </w:tc>
      </w:tr>
      <w:tr w:rsidR="00022EDC" w14:paraId="4332C3E3"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E1" w14:textId="77777777" w:rsidR="00022EDC" w:rsidRDefault="00CE1C84">
            <w:r>
              <w:rPr>
                <w:color w:val="000000"/>
                <w:sz w:val="18"/>
                <w:szCs w:val="18"/>
              </w:rPr>
              <w:t>Consent scope check</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E2" w14:textId="77777777" w:rsidR="00022EDC" w:rsidRDefault="00CE1C84">
            <w:r>
              <w:rPr>
                <w:color w:val="000000"/>
                <w:sz w:val="18"/>
                <w:szCs w:val="18"/>
              </w:rPr>
              <w:t>If relying on consent, confirmation the wording covers AI and third-party processing.</w:t>
            </w:r>
          </w:p>
        </w:tc>
      </w:tr>
      <w:tr w:rsidR="00022EDC" w14:paraId="4332C3E6"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E4" w14:textId="77777777" w:rsidR="00022EDC" w:rsidRDefault="00CE1C84">
            <w:r>
              <w:rPr>
                <w:color w:val="000000"/>
                <w:sz w:val="18"/>
                <w:szCs w:val="18"/>
              </w:rPr>
              <w:t>Compatibility assessment</w:t>
            </w:r>
          </w:p>
        </w:tc>
        <w:tc>
          <w:tcPr>
            <w:tcW w:w="6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E5" w14:textId="77777777" w:rsidR="00022EDC" w:rsidRDefault="00CE1C84">
            <w:r>
              <w:rPr>
                <w:color w:val="000000"/>
                <w:sz w:val="18"/>
                <w:szCs w:val="18"/>
              </w:rPr>
              <w:t>Whether the new purpose is compatible with the original — link between purposes, context, nature of data, consequences for the customer, safeguards.</w:t>
            </w:r>
          </w:p>
        </w:tc>
      </w:tr>
      <w:tr w:rsidR="00022EDC" w14:paraId="4332C3E9"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E7" w14:textId="77777777" w:rsidR="00022EDC" w:rsidRDefault="00CE1C84">
            <w:r>
              <w:rPr>
                <w:color w:val="000000"/>
                <w:sz w:val="18"/>
                <w:szCs w:val="18"/>
              </w:rPr>
              <w:t>Conclusion</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E8" w14:textId="77777777" w:rsidR="00022EDC" w:rsidRDefault="00CE1C84">
            <w:r>
              <w:rPr>
                <w:color w:val="000000"/>
                <w:sz w:val="18"/>
                <w:szCs w:val="18"/>
              </w:rPr>
              <w:t>Compatible / not compatible. If not, the fresh basis obtained or the data removed from reach.</w:t>
            </w:r>
          </w:p>
        </w:tc>
      </w:tr>
      <w:tr w:rsidR="00022EDC" w14:paraId="4332C3EC"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EA" w14:textId="77777777" w:rsidR="00022EDC" w:rsidRDefault="00CE1C84">
            <w:r>
              <w:rPr>
                <w:color w:val="000000"/>
                <w:sz w:val="18"/>
                <w:szCs w:val="18"/>
              </w:rPr>
              <w:t>Privacy notice updated?</w:t>
            </w:r>
          </w:p>
        </w:tc>
        <w:tc>
          <w:tcPr>
            <w:tcW w:w="6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EB" w14:textId="77777777" w:rsidR="00022EDC" w:rsidRDefault="00CE1C84">
            <w:r>
              <w:rPr>
                <w:color w:val="000000"/>
                <w:sz w:val="18"/>
                <w:szCs w:val="18"/>
              </w:rPr>
              <w:t>Yes/no and date. An un-updated notice corroborates that the purpose change was never governed.</w:t>
            </w:r>
          </w:p>
        </w:tc>
      </w:tr>
      <w:tr w:rsidR="00022EDC" w14:paraId="4332C3EF"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ED" w14:textId="77777777" w:rsidR="00022EDC" w:rsidRDefault="00CE1C84">
            <w:r>
              <w:rPr>
                <w:color w:val="000000"/>
                <w:sz w:val="18"/>
                <w:szCs w:val="18"/>
              </w:rPr>
              <w:t>Approved by, date</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EE" w14:textId="77777777" w:rsidR="00022EDC" w:rsidRDefault="00CE1C84">
            <w:r>
              <w:rPr>
                <w:color w:val="000000"/>
                <w:sz w:val="18"/>
                <w:szCs w:val="18"/>
              </w:rPr>
              <w:t>The accountable owner — typically with the DPO.</w:t>
            </w:r>
          </w:p>
        </w:tc>
      </w:tr>
    </w:tbl>
    <w:p w14:paraId="4332C3F0" w14:textId="77777777" w:rsidR="00022EDC" w:rsidRDefault="00022EDC">
      <w:pPr>
        <w:pageBreakBefore/>
      </w:pPr>
    </w:p>
    <w:p w14:paraId="4332C3F1" w14:textId="77777777" w:rsidR="00022EDC" w:rsidRDefault="00CE1C84">
      <w:pPr>
        <w:pStyle w:val="Heading1"/>
      </w:pPr>
      <w:r>
        <w:t>C · Data Minimisation &amp; Sensitive-Data Assessment</w:t>
      </w:r>
    </w:p>
    <w:p w14:paraId="4332C3F2" w14:textId="77777777" w:rsidR="00022EDC" w:rsidRDefault="00CE1C84">
      <w:pPr>
        <w:spacing w:after="120"/>
      </w:pPr>
      <w:r>
        <w:t>Takes the inventory from document A and asks, field by field, two questions: is this needed, and if it is sensitive, what permits it? This is an exposure assessment, not a fairness one — the bias question is Week 11.</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600"/>
        <w:gridCol w:w="3360"/>
      </w:tblGrid>
      <w:tr w:rsidR="00022EDC" w14:paraId="4332C3F7"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3F3" w14:textId="77777777" w:rsidR="00022EDC" w:rsidRDefault="00CE1C84">
            <w:r>
              <w:rPr>
                <w:b/>
                <w:bCs/>
                <w:color w:val="FFFFFF"/>
                <w:sz w:val="18"/>
                <w:szCs w:val="18"/>
              </w:rPr>
              <w:t>Field</w:t>
            </w:r>
          </w:p>
        </w:tc>
        <w:tc>
          <w:tcPr>
            <w:tcW w:w="15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3F4" w14:textId="77777777" w:rsidR="00022EDC" w:rsidRDefault="00CE1C84">
            <w:r>
              <w:rPr>
                <w:b/>
                <w:bCs/>
                <w:color w:val="FFFFFF"/>
                <w:sz w:val="18"/>
                <w:szCs w:val="18"/>
              </w:rPr>
              <w:t>Needed?</w:t>
            </w:r>
          </w:p>
        </w:tc>
        <w:tc>
          <w:tcPr>
            <w:tcW w:w="16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3F5" w14:textId="77777777" w:rsidR="00022EDC" w:rsidRDefault="00CE1C84">
            <w:r>
              <w:rPr>
                <w:b/>
                <w:bCs/>
                <w:color w:val="FFFFFF"/>
                <w:sz w:val="18"/>
                <w:szCs w:val="18"/>
              </w:rPr>
              <w:t>Sensitive?</w:t>
            </w:r>
          </w:p>
        </w:tc>
        <w:tc>
          <w:tcPr>
            <w:tcW w:w="336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3F6" w14:textId="77777777" w:rsidR="00022EDC" w:rsidRDefault="00CE1C84">
            <w:r>
              <w:rPr>
                <w:b/>
                <w:bCs/>
                <w:color w:val="FFFFFF"/>
                <w:sz w:val="18"/>
                <w:szCs w:val="18"/>
              </w:rPr>
              <w:t>If not needed: removed. If sensitive: condition / handling</w:t>
            </w:r>
          </w:p>
        </w:tc>
      </w:tr>
      <w:tr w:rsidR="00022EDC" w14:paraId="4332C3FC"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F8" w14:textId="77777777" w:rsidR="00022EDC" w:rsidRDefault="00CE1C84">
            <w:r>
              <w:rPr>
                <w:color w:val="000000"/>
                <w:sz w:val="18"/>
                <w:szCs w:val="18"/>
              </w:rPr>
              <w:t>[from document A]</w:t>
            </w:r>
          </w:p>
        </w:tc>
        <w:tc>
          <w:tcPr>
            <w:tcW w:w="15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F9" w14:textId="77777777" w:rsidR="00022EDC" w:rsidRDefault="00022EDC"/>
        </w:tc>
        <w:tc>
          <w:tcPr>
            <w:tcW w:w="1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FA" w14:textId="77777777" w:rsidR="00022EDC" w:rsidRDefault="00022EDC"/>
        </w:tc>
        <w:tc>
          <w:tcPr>
            <w:tcW w:w="33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3FB" w14:textId="77777777" w:rsidR="00022EDC" w:rsidRDefault="00022EDC"/>
        </w:tc>
      </w:tr>
      <w:tr w:rsidR="00022EDC" w14:paraId="4332C401"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FD" w14:textId="77777777" w:rsidR="00022EDC" w:rsidRDefault="00CE1C84">
            <w:r>
              <w:rPr>
                <w:color w:val="000000"/>
                <w:sz w:val="18"/>
                <w:szCs w:val="18"/>
              </w:rPr>
              <w:t>[</w:t>
            </w:r>
            <w:proofErr w:type="spellStart"/>
            <w:r>
              <w:rPr>
                <w:color w:val="000000"/>
                <w:sz w:val="18"/>
                <w:szCs w:val="18"/>
              </w:rPr>
              <w:t>demographic_marker</w:t>
            </w:r>
            <w:proofErr w:type="spellEnd"/>
            <w:r>
              <w:rPr>
                <w:color w:val="000000"/>
                <w:sz w:val="18"/>
                <w:szCs w:val="18"/>
              </w:rPr>
              <w:t>]</w:t>
            </w:r>
          </w:p>
        </w:tc>
        <w:tc>
          <w:tcPr>
            <w:tcW w:w="15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FE" w14:textId="77777777" w:rsidR="00022EDC" w:rsidRDefault="00022EDC"/>
        </w:tc>
        <w:tc>
          <w:tcPr>
            <w:tcW w:w="1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3FF" w14:textId="77777777" w:rsidR="00022EDC" w:rsidRDefault="00022EDC"/>
        </w:tc>
        <w:tc>
          <w:tcPr>
            <w:tcW w:w="33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00" w14:textId="77777777" w:rsidR="00022EDC" w:rsidRDefault="00022EDC"/>
        </w:tc>
      </w:tr>
      <w:tr w:rsidR="00022EDC" w14:paraId="4332C40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02" w14:textId="77777777" w:rsidR="00022EDC" w:rsidRDefault="00CE1C84">
            <w:r>
              <w:rPr>
                <w:color w:val="000000"/>
                <w:sz w:val="18"/>
                <w:szCs w:val="18"/>
              </w:rPr>
              <w:t>[</w:t>
            </w:r>
            <w:proofErr w:type="spellStart"/>
            <w:r>
              <w:rPr>
                <w:color w:val="000000"/>
                <w:sz w:val="18"/>
                <w:szCs w:val="18"/>
              </w:rPr>
              <w:t>date_of_birth</w:t>
            </w:r>
            <w:proofErr w:type="spellEnd"/>
            <w:r>
              <w:rPr>
                <w:color w:val="000000"/>
                <w:sz w:val="18"/>
                <w:szCs w:val="18"/>
              </w:rPr>
              <w:t>]</w:t>
            </w:r>
          </w:p>
        </w:tc>
        <w:tc>
          <w:tcPr>
            <w:tcW w:w="15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03" w14:textId="77777777" w:rsidR="00022EDC" w:rsidRDefault="00022EDC"/>
        </w:tc>
        <w:tc>
          <w:tcPr>
            <w:tcW w:w="1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04" w14:textId="77777777" w:rsidR="00022EDC" w:rsidRDefault="00022EDC"/>
        </w:tc>
        <w:tc>
          <w:tcPr>
            <w:tcW w:w="33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05" w14:textId="77777777" w:rsidR="00022EDC" w:rsidRDefault="00022EDC"/>
        </w:tc>
      </w:tr>
      <w:tr w:rsidR="00022EDC" w14:paraId="4332C40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07" w14:textId="77777777" w:rsidR="00022EDC" w:rsidRDefault="00CE1C84">
            <w:r>
              <w:rPr>
                <w:color w:val="000000"/>
                <w:sz w:val="18"/>
                <w:szCs w:val="18"/>
              </w:rPr>
              <w:t>[</w:t>
            </w:r>
            <w:proofErr w:type="spellStart"/>
            <w:r>
              <w:rPr>
                <w:color w:val="000000"/>
                <w:sz w:val="18"/>
                <w:szCs w:val="18"/>
              </w:rPr>
              <w:t>eligibility_fields</w:t>
            </w:r>
            <w:proofErr w:type="spellEnd"/>
            <w:r>
              <w:rPr>
                <w:color w:val="000000"/>
                <w:sz w:val="18"/>
                <w:szCs w:val="18"/>
              </w:rPr>
              <w:t>]</w:t>
            </w:r>
          </w:p>
        </w:tc>
        <w:tc>
          <w:tcPr>
            <w:tcW w:w="15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08" w14:textId="77777777" w:rsidR="00022EDC" w:rsidRDefault="00022EDC"/>
        </w:tc>
        <w:tc>
          <w:tcPr>
            <w:tcW w:w="1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09" w14:textId="77777777" w:rsidR="00022EDC" w:rsidRDefault="00022EDC"/>
        </w:tc>
        <w:tc>
          <w:tcPr>
            <w:tcW w:w="33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0A" w14:textId="77777777" w:rsidR="00022EDC" w:rsidRDefault="00022EDC"/>
        </w:tc>
      </w:tr>
      <w:tr w:rsidR="00022EDC" w14:paraId="4332C410"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0C" w14:textId="77777777" w:rsidR="00022EDC" w:rsidRDefault="00CE1C84">
            <w:r>
              <w:rPr>
                <w:color w:val="000000"/>
                <w:sz w:val="18"/>
                <w:szCs w:val="18"/>
              </w:rPr>
              <w:t>[add all reachable fields]</w:t>
            </w:r>
          </w:p>
        </w:tc>
        <w:tc>
          <w:tcPr>
            <w:tcW w:w="15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0D" w14:textId="77777777" w:rsidR="00022EDC" w:rsidRDefault="00022EDC"/>
        </w:tc>
        <w:tc>
          <w:tcPr>
            <w:tcW w:w="1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0E" w14:textId="77777777" w:rsidR="00022EDC" w:rsidRDefault="00022EDC"/>
        </w:tc>
        <w:tc>
          <w:tcPr>
            <w:tcW w:w="33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0F" w14:textId="77777777" w:rsidR="00022EDC" w:rsidRDefault="00022EDC"/>
        </w:tc>
      </w:tr>
    </w:tbl>
    <w:p w14:paraId="4332C411" w14:textId="77777777" w:rsidR="00022EDC" w:rsidRDefault="00022EDC">
      <w:pPr>
        <w:spacing w:after="120"/>
      </w:pPr>
    </w:p>
    <w:p w14:paraId="4332C412" w14:textId="77777777" w:rsidR="00022EDC" w:rsidRDefault="00CE1C84">
      <w:pPr>
        <w:pStyle w:val="Heading3"/>
        <w:spacing w:before="160"/>
      </w:pPr>
      <w:r>
        <w:t>The two tests</w:t>
      </w:r>
    </w:p>
    <w:p w14:paraId="4332C413" w14:textId="77777777" w:rsidR="00022EDC" w:rsidRDefault="00CE1C84">
      <w:pPr>
        <w:spacing w:after="120"/>
      </w:pPr>
      <w:r>
        <w:t>Need: does a specific assistant function require this field? If no function needs it, it should not be reachable, whatever else is true. Sensitive-data condition: special-category data needs an additional lawful condition on top of the ordinary basis; where none exists, the honest fix is removal, not a condition manufactured after the fact. Demographic markers may not be special-category on their face but can act as proxies, and deserve the same scrutiny about whether they should be reachable at all.</w:t>
      </w:r>
    </w:p>
    <w:p w14:paraId="4332C414" w14:textId="77777777" w:rsidR="00022EDC" w:rsidRDefault="00022EDC">
      <w:pPr>
        <w:pageBreakBefore/>
      </w:pPr>
    </w:p>
    <w:p w14:paraId="4332C415" w14:textId="77777777" w:rsidR="00022EDC" w:rsidRDefault="00CE1C84">
      <w:pPr>
        <w:pStyle w:val="Heading1"/>
      </w:pPr>
      <w:r>
        <w:t>D · Model-Provider Data-Flow Record</w:t>
      </w:r>
    </w:p>
    <w:p w14:paraId="4332C416" w14:textId="77777777" w:rsidR="00022EDC" w:rsidRDefault="00CE1C84">
      <w:pPr>
        <w:spacing w:after="120"/>
      </w:pPr>
      <w:r>
        <w:t>The record most organisations cannot produce: exactly what personal data leaves the boundary to the model provider on each query, and what happens to it there.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22EDC" w14:paraId="4332C419"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417" w14:textId="77777777" w:rsidR="00022EDC" w:rsidRDefault="00CE1C84">
            <w:r>
              <w:rPr>
                <w:b/>
                <w:bCs/>
                <w:color w:val="FFFFFF"/>
                <w:sz w:val="18"/>
                <w:szCs w:val="18"/>
              </w:rPr>
              <w:t>Field</w:t>
            </w:r>
          </w:p>
        </w:tc>
        <w:tc>
          <w:tcPr>
            <w:tcW w:w="676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418" w14:textId="77777777" w:rsidR="00022EDC" w:rsidRDefault="00CE1C84">
            <w:r>
              <w:rPr>
                <w:b/>
                <w:bCs/>
                <w:color w:val="FFFFFF"/>
                <w:sz w:val="18"/>
                <w:szCs w:val="18"/>
              </w:rPr>
              <w:t>Guidance</w:t>
            </w:r>
          </w:p>
        </w:tc>
      </w:tr>
      <w:tr w:rsidR="00022EDC" w14:paraId="4332C41C"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1A" w14:textId="77777777" w:rsidR="00022EDC" w:rsidRDefault="00CE1C84">
            <w:r>
              <w:rPr>
                <w:color w:val="000000"/>
                <w:sz w:val="18"/>
                <w:szCs w:val="18"/>
              </w:rPr>
              <w:t>Provider and service</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1B" w14:textId="77777777" w:rsidR="00022EDC" w:rsidRDefault="00CE1C84">
            <w:r>
              <w:rPr>
                <w:color w:val="000000"/>
                <w:sz w:val="18"/>
                <w:szCs w:val="18"/>
              </w:rPr>
              <w:t>Who receives the data, and which model service.</w:t>
            </w:r>
          </w:p>
        </w:tc>
      </w:tr>
      <w:tr w:rsidR="00022EDC" w14:paraId="4332C41F"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1D" w14:textId="77777777" w:rsidR="00022EDC" w:rsidRDefault="00CE1C84">
            <w:r>
              <w:rPr>
                <w:color w:val="000000"/>
                <w:sz w:val="18"/>
                <w:szCs w:val="18"/>
              </w:rPr>
              <w:t>Data sent per query</w:t>
            </w:r>
          </w:p>
        </w:tc>
        <w:tc>
          <w:tcPr>
            <w:tcW w:w="6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1E" w14:textId="77777777" w:rsidR="00022EDC" w:rsidRDefault="00CE1C84">
            <w:r>
              <w:rPr>
                <w:color w:val="000000"/>
                <w:sz w:val="18"/>
                <w:szCs w:val="18"/>
              </w:rPr>
              <w:t>System prompt, user message, and the customer data retrieved into context. Characterise it — this is the part usually undocumented.</w:t>
            </w:r>
          </w:p>
        </w:tc>
      </w:tr>
      <w:tr w:rsidR="00022EDC" w14:paraId="4332C422"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20" w14:textId="77777777" w:rsidR="00022EDC" w:rsidRDefault="00CE1C84">
            <w:r>
              <w:rPr>
                <w:color w:val="000000"/>
                <w:sz w:val="18"/>
                <w:szCs w:val="18"/>
              </w:rPr>
              <w:t>Sensitive data transmitted?</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21" w14:textId="77777777" w:rsidR="00022EDC" w:rsidRDefault="00CE1C84">
            <w:r>
              <w:rPr>
                <w:color w:val="000000"/>
                <w:sz w:val="18"/>
                <w:szCs w:val="18"/>
              </w:rPr>
              <w:t>Whether any special-category or proxy field leaves the boundary. Links to document C.</w:t>
            </w:r>
          </w:p>
        </w:tc>
      </w:tr>
      <w:tr w:rsidR="00022EDC" w14:paraId="4332C425"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23" w14:textId="77777777" w:rsidR="00022EDC" w:rsidRDefault="00CE1C84">
            <w:r>
              <w:rPr>
                <w:color w:val="000000"/>
                <w:sz w:val="18"/>
                <w:szCs w:val="18"/>
              </w:rPr>
              <w:t>Retention by provider</w:t>
            </w:r>
          </w:p>
        </w:tc>
        <w:tc>
          <w:tcPr>
            <w:tcW w:w="6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24" w14:textId="77777777" w:rsidR="00022EDC" w:rsidRDefault="00CE1C84">
            <w:r>
              <w:rPr>
                <w:color w:val="000000"/>
                <w:sz w:val="18"/>
                <w:szCs w:val="18"/>
              </w:rPr>
              <w:t>How long the provider holds inputs. From the contract, not the marketing page.</w:t>
            </w:r>
          </w:p>
        </w:tc>
      </w:tr>
      <w:tr w:rsidR="00022EDC" w14:paraId="4332C428"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26" w14:textId="77777777" w:rsidR="00022EDC" w:rsidRDefault="00CE1C84">
            <w:r>
              <w:rPr>
                <w:color w:val="000000"/>
                <w:sz w:val="18"/>
                <w:szCs w:val="18"/>
              </w:rPr>
              <w:t>Used for training?</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27" w14:textId="77777777" w:rsidR="00022EDC" w:rsidRDefault="00CE1C84">
            <w:r>
              <w:rPr>
                <w:color w:val="000000"/>
                <w:sz w:val="18"/>
                <w:szCs w:val="18"/>
              </w:rPr>
              <w:t>Whether inputs train or improve the provider's models. Needs a contractual term, not an assurance.</w:t>
            </w:r>
          </w:p>
        </w:tc>
      </w:tr>
      <w:tr w:rsidR="00022EDC" w14:paraId="4332C42B"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29" w14:textId="77777777" w:rsidR="00022EDC" w:rsidRDefault="00CE1C84">
            <w:r>
              <w:rPr>
                <w:color w:val="000000"/>
                <w:sz w:val="18"/>
                <w:szCs w:val="18"/>
              </w:rPr>
              <w:t>Data-processing agreement</w:t>
            </w:r>
          </w:p>
        </w:tc>
        <w:tc>
          <w:tcPr>
            <w:tcW w:w="6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2A" w14:textId="77777777" w:rsidR="00022EDC" w:rsidRDefault="00CE1C84">
            <w:r>
              <w:rPr>
                <w:color w:val="000000"/>
                <w:sz w:val="18"/>
                <w:szCs w:val="18"/>
              </w:rPr>
              <w:t>In place? Reference and date. Makes the provider a processor, not an independent controller.</w:t>
            </w:r>
          </w:p>
        </w:tc>
      </w:tr>
      <w:tr w:rsidR="00022EDC" w14:paraId="4332C42E"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2C" w14:textId="77777777" w:rsidR="00022EDC" w:rsidRDefault="00CE1C84">
            <w:r>
              <w:rPr>
                <w:color w:val="000000"/>
                <w:sz w:val="18"/>
                <w:szCs w:val="18"/>
              </w:rPr>
              <w:t>Transfer mechanism</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2D" w14:textId="77777777" w:rsidR="00022EDC" w:rsidRDefault="00CE1C84">
            <w:r>
              <w:rPr>
                <w:color w:val="000000"/>
                <w:sz w:val="18"/>
                <w:szCs w:val="18"/>
              </w:rPr>
              <w:t>For cross-border flows. Under GDPR, the applicable mechanism; under DPDP, the negative-list position — permitted unless the country is restricted.</w:t>
            </w:r>
          </w:p>
        </w:tc>
      </w:tr>
      <w:tr w:rsidR="00022EDC" w14:paraId="4332C431"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2F" w14:textId="77777777" w:rsidR="00022EDC" w:rsidRDefault="00CE1C84">
            <w:r>
              <w:rPr>
                <w:color w:val="000000"/>
                <w:sz w:val="18"/>
                <w:szCs w:val="18"/>
              </w:rPr>
              <w:t>Verification</w:t>
            </w:r>
          </w:p>
        </w:tc>
        <w:tc>
          <w:tcPr>
            <w:tcW w:w="6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30" w14:textId="77777777" w:rsidR="00022EDC" w:rsidRDefault="00CE1C84">
            <w:r>
              <w:rPr>
                <w:color w:val="000000"/>
                <w:sz w:val="18"/>
                <w:szCs w:val="18"/>
              </w:rPr>
              <w:t>How the retention/training posture is verified, not assumed.</w:t>
            </w:r>
          </w:p>
        </w:tc>
      </w:tr>
    </w:tbl>
    <w:p w14:paraId="4332C432" w14:textId="77777777" w:rsidR="00022EDC" w:rsidRDefault="00022EDC">
      <w:pPr>
        <w:pageBreakBefore/>
      </w:pPr>
    </w:p>
    <w:p w14:paraId="4332C433" w14:textId="77777777" w:rsidR="00022EDC" w:rsidRDefault="00CE1C84">
      <w:pPr>
        <w:pStyle w:val="Heading1"/>
      </w:pPr>
      <w:r>
        <w:t>E · Retention &amp; Erasure Schedule</w:t>
      </w:r>
    </w:p>
    <w:p w14:paraId="4332C434" w14:textId="77777777" w:rsidR="00022EDC" w:rsidRDefault="00CE1C84">
      <w:pPr>
        <w:spacing w:after="120"/>
      </w:pPr>
      <w:r>
        <w:t>Gives the assistant's data an end date, and proves erasure works. 'Keep everything forever in case it is useful' fails under both the GDPR and the DPDP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4860"/>
      </w:tblGrid>
      <w:tr w:rsidR="00022EDC" w14:paraId="4332C438"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435" w14:textId="77777777" w:rsidR="00022EDC" w:rsidRDefault="00CE1C84">
            <w:r>
              <w:rPr>
                <w:b/>
                <w:bCs/>
                <w:color w:val="FFFFFF"/>
                <w:sz w:val="18"/>
                <w:szCs w:val="18"/>
              </w:rPr>
              <w:t>Data type</w:t>
            </w:r>
          </w:p>
        </w:tc>
        <w:tc>
          <w:tcPr>
            <w:tcW w:w="19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436" w14:textId="77777777" w:rsidR="00022EDC" w:rsidRDefault="00CE1C84">
            <w:r>
              <w:rPr>
                <w:b/>
                <w:bCs/>
                <w:color w:val="FFFFFF"/>
                <w:sz w:val="18"/>
                <w:szCs w:val="18"/>
              </w:rPr>
              <w:t>Retention</w:t>
            </w:r>
          </w:p>
        </w:tc>
        <w:tc>
          <w:tcPr>
            <w:tcW w:w="486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437" w14:textId="77777777" w:rsidR="00022EDC" w:rsidRDefault="00CE1C84">
            <w:r>
              <w:rPr>
                <w:b/>
                <w:bCs/>
                <w:color w:val="FFFFFF"/>
                <w:sz w:val="18"/>
                <w:szCs w:val="18"/>
              </w:rPr>
              <w:t>Erasure path &amp; justification</w:t>
            </w:r>
          </w:p>
        </w:tc>
      </w:tr>
      <w:tr w:rsidR="00022EDC" w14:paraId="4332C43C"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39" w14:textId="77777777" w:rsidR="00022EDC" w:rsidRDefault="00CE1C84">
            <w:r>
              <w:rPr>
                <w:color w:val="000000"/>
                <w:sz w:val="18"/>
                <w:szCs w:val="18"/>
              </w:rPr>
              <w:t>Conversation logs</w:t>
            </w:r>
          </w:p>
        </w:tc>
        <w:tc>
          <w:tcPr>
            <w:tcW w:w="19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3A" w14:textId="77777777" w:rsidR="00022EDC" w:rsidRDefault="00022EDC"/>
        </w:tc>
        <w:tc>
          <w:tcPr>
            <w:tcW w:w="48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3B" w14:textId="77777777" w:rsidR="00022EDC" w:rsidRDefault="00022EDC"/>
        </w:tc>
      </w:tr>
      <w:tr w:rsidR="00022EDC" w14:paraId="4332C440"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3D" w14:textId="77777777" w:rsidR="00022EDC" w:rsidRDefault="00CE1C84">
            <w:r>
              <w:rPr>
                <w:color w:val="000000"/>
                <w:sz w:val="18"/>
                <w:szCs w:val="18"/>
              </w:rPr>
              <w:t>Cached customer data</w:t>
            </w:r>
          </w:p>
        </w:tc>
        <w:tc>
          <w:tcPr>
            <w:tcW w:w="19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3E" w14:textId="77777777" w:rsidR="00022EDC" w:rsidRDefault="00022EDC"/>
        </w:tc>
        <w:tc>
          <w:tcPr>
            <w:tcW w:w="48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3F" w14:textId="77777777" w:rsidR="00022EDC" w:rsidRDefault="00022EDC"/>
        </w:tc>
      </w:tr>
      <w:tr w:rsidR="00022EDC" w14:paraId="4332C444"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41" w14:textId="77777777" w:rsidR="00022EDC" w:rsidRDefault="00CE1C84">
            <w:r>
              <w:rPr>
                <w:color w:val="000000"/>
                <w:sz w:val="18"/>
                <w:szCs w:val="18"/>
              </w:rPr>
              <w:t>Derived data (summaries, embeddings)</w:t>
            </w:r>
          </w:p>
        </w:tc>
        <w:tc>
          <w:tcPr>
            <w:tcW w:w="19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42" w14:textId="77777777" w:rsidR="00022EDC" w:rsidRDefault="00022EDC"/>
        </w:tc>
        <w:tc>
          <w:tcPr>
            <w:tcW w:w="48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43" w14:textId="77777777" w:rsidR="00022EDC" w:rsidRDefault="00022EDC"/>
        </w:tc>
      </w:tr>
      <w:tr w:rsidR="00022EDC" w14:paraId="4332C448"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45" w14:textId="77777777" w:rsidR="00022EDC" w:rsidRDefault="00CE1C84">
            <w:r>
              <w:rPr>
                <w:color w:val="000000"/>
                <w:sz w:val="18"/>
                <w:szCs w:val="18"/>
              </w:rPr>
              <w:t>Transaction records (if held)</w:t>
            </w:r>
          </w:p>
        </w:tc>
        <w:tc>
          <w:tcPr>
            <w:tcW w:w="19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46" w14:textId="77777777" w:rsidR="00022EDC" w:rsidRDefault="00022EDC"/>
        </w:tc>
        <w:tc>
          <w:tcPr>
            <w:tcW w:w="48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47" w14:textId="77777777" w:rsidR="00022EDC" w:rsidRDefault="00022EDC"/>
        </w:tc>
      </w:tr>
    </w:tbl>
    <w:p w14:paraId="4332C449" w14:textId="77777777" w:rsidR="00022EDC" w:rsidRDefault="00022ED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EDC" w14:paraId="4332C44B" w14:textId="77777777">
        <w:tblPrEx>
          <w:tblCellMar>
            <w:top w:w="0" w:type="dxa"/>
            <w:bottom w:w="0" w:type="dxa"/>
          </w:tblCellMar>
        </w:tblPrEx>
        <w:tc>
          <w:tcPr>
            <w:tcW w:w="9360" w:type="dxa"/>
            <w:tcBorders>
              <w:top w:val="single" w:sz="2" w:space="0" w:color="DDDDDD"/>
              <w:left w:val="single" w:sz="18" w:space="0" w:color="0B6B62"/>
              <w:bottom w:val="single" w:sz="2" w:space="0" w:color="DDDDDD"/>
              <w:right w:val="single" w:sz="2" w:space="0" w:color="DDDDDD"/>
            </w:tcBorders>
            <w:shd w:val="clear" w:color="auto" w:fill="F2F4F7"/>
            <w:tcMar>
              <w:top w:w="130" w:type="dxa"/>
              <w:left w:w="170" w:type="dxa"/>
              <w:bottom w:w="130" w:type="dxa"/>
              <w:right w:w="170" w:type="dxa"/>
            </w:tcMar>
          </w:tcPr>
          <w:p w14:paraId="4332C44A" w14:textId="77777777" w:rsidR="00022EDC" w:rsidRDefault="00CE1C84">
            <w:r>
              <w:rPr>
                <w:b/>
                <w:bCs/>
                <w:color w:val="1A2B49"/>
              </w:rPr>
              <w:t xml:space="preserve">Two </w:t>
            </w:r>
            <w:proofErr w:type="gramStart"/>
            <w:r>
              <w:rPr>
                <w:b/>
                <w:bCs/>
                <w:color w:val="1A2B49"/>
              </w:rPr>
              <w:t>things</w:t>
            </w:r>
            <w:proofErr w:type="gramEnd"/>
            <w:r>
              <w:rPr>
                <w:b/>
                <w:bCs/>
                <w:color w:val="1A2B49"/>
              </w:rPr>
              <w:t xml:space="preserve"> auditors test here.  </w:t>
            </w:r>
            <w:r>
              <w:t>First, that the erasure path actually reaches logs and backups, not just the live system — ask for a demonstration, not a policy. Second, that any long-term retention is justified by a specific record-keeping obligation limited to the data it covers, not a blanket 'banks have to keep things'. Under DPDP, data must be erased once its purpose is served.</w:t>
            </w:r>
          </w:p>
        </w:tc>
      </w:tr>
    </w:tbl>
    <w:p w14:paraId="4332C44C" w14:textId="77777777" w:rsidR="00022EDC" w:rsidRDefault="00022EDC">
      <w:pPr>
        <w:pageBreakBefore/>
      </w:pPr>
    </w:p>
    <w:p w14:paraId="4332C44D" w14:textId="77777777" w:rsidR="00022EDC" w:rsidRDefault="00CE1C84">
      <w:pPr>
        <w:pStyle w:val="Heading1"/>
      </w:pPr>
      <w:r>
        <w:t>F · Privacy Notice &amp; Rights Register</w:t>
      </w:r>
    </w:p>
    <w:p w14:paraId="4332C44E" w14:textId="77777777" w:rsidR="00022EDC" w:rsidRDefault="00CE1C84">
      <w:pPr>
        <w:spacing w:after="120"/>
      </w:pPr>
      <w:r>
        <w:t>Two linked things: that the individual is told what happens to their data, and that they can actually exercise their rights over it, including data held in the assistant.</w:t>
      </w:r>
    </w:p>
    <w:p w14:paraId="4332C44F" w14:textId="77777777" w:rsidR="00022EDC" w:rsidRDefault="00CE1C84">
      <w:pPr>
        <w:pStyle w:val="Heading3"/>
        <w:spacing w:before="160"/>
      </w:pPr>
      <w:r>
        <w:t>Privacy notice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022EDC" w14:paraId="4332C453"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450" w14:textId="77777777" w:rsidR="00022EDC" w:rsidRDefault="00CE1C84">
            <w:r>
              <w:rPr>
                <w:b/>
                <w:bCs/>
                <w:color w:val="FFFFFF"/>
                <w:sz w:val="18"/>
                <w:szCs w:val="18"/>
              </w:rPr>
              <w:t>The notice states...</w:t>
            </w:r>
          </w:p>
        </w:tc>
        <w:tc>
          <w:tcPr>
            <w:tcW w:w="234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451" w14:textId="77777777" w:rsidR="00022EDC" w:rsidRDefault="00CE1C84">
            <w:r>
              <w:rPr>
                <w:b/>
                <w:bCs/>
                <w:color w:val="FFFFFF"/>
                <w:sz w:val="18"/>
                <w:szCs w:val="18"/>
              </w:rPr>
              <w:t>Present?</w:t>
            </w:r>
          </w:p>
        </w:tc>
        <w:tc>
          <w:tcPr>
            <w:tcW w:w="234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452" w14:textId="77777777" w:rsidR="00022EDC" w:rsidRDefault="00CE1C84">
            <w:r>
              <w:rPr>
                <w:b/>
                <w:bCs/>
                <w:color w:val="FFFFFF"/>
                <w:sz w:val="18"/>
                <w:szCs w:val="18"/>
              </w:rPr>
              <w:t>At point of interaction?</w:t>
            </w:r>
          </w:p>
        </w:tc>
      </w:tr>
      <w:tr w:rsidR="00022EDC" w14:paraId="4332C457"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54" w14:textId="77777777" w:rsidR="00022EDC" w:rsidRDefault="00CE1C84">
            <w:r>
              <w:rPr>
                <w:color w:val="000000"/>
                <w:sz w:val="18"/>
                <w:szCs w:val="18"/>
              </w:rPr>
              <w:t>An AI assistant processes their data</w:t>
            </w:r>
          </w:p>
        </w:tc>
        <w:tc>
          <w:tcPr>
            <w:tcW w:w="234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55" w14:textId="77777777" w:rsidR="00022EDC" w:rsidRDefault="00022EDC"/>
        </w:tc>
        <w:tc>
          <w:tcPr>
            <w:tcW w:w="234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56" w14:textId="77777777" w:rsidR="00022EDC" w:rsidRDefault="00022EDC"/>
        </w:tc>
      </w:tr>
      <w:tr w:rsidR="00022EDC" w14:paraId="4332C45B"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58" w14:textId="77777777" w:rsidR="00022EDC" w:rsidRDefault="00CE1C84">
            <w:r>
              <w:rPr>
                <w:color w:val="000000"/>
                <w:sz w:val="18"/>
                <w:szCs w:val="18"/>
              </w:rPr>
              <w:t>The purposes of the processing</w:t>
            </w:r>
          </w:p>
        </w:tc>
        <w:tc>
          <w:tcPr>
            <w:tcW w:w="234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59" w14:textId="77777777" w:rsidR="00022EDC" w:rsidRDefault="00022EDC"/>
        </w:tc>
        <w:tc>
          <w:tcPr>
            <w:tcW w:w="234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5A" w14:textId="77777777" w:rsidR="00022EDC" w:rsidRDefault="00022EDC"/>
        </w:tc>
      </w:tr>
      <w:tr w:rsidR="00022EDC" w14:paraId="4332C45F"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5C" w14:textId="77777777" w:rsidR="00022EDC" w:rsidRDefault="00CE1C84">
            <w:r>
              <w:rPr>
                <w:color w:val="000000"/>
                <w:sz w:val="18"/>
                <w:szCs w:val="18"/>
              </w:rPr>
              <w:t>The lawful basis</w:t>
            </w:r>
          </w:p>
        </w:tc>
        <w:tc>
          <w:tcPr>
            <w:tcW w:w="234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5D" w14:textId="77777777" w:rsidR="00022EDC" w:rsidRDefault="00022EDC"/>
        </w:tc>
        <w:tc>
          <w:tcPr>
            <w:tcW w:w="234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5E" w14:textId="77777777" w:rsidR="00022EDC" w:rsidRDefault="00022EDC"/>
        </w:tc>
      </w:tr>
      <w:tr w:rsidR="00022EDC" w14:paraId="4332C463"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60" w14:textId="77777777" w:rsidR="00022EDC" w:rsidRDefault="00CE1C84">
            <w:r>
              <w:rPr>
                <w:color w:val="000000"/>
                <w:sz w:val="18"/>
                <w:szCs w:val="18"/>
              </w:rPr>
              <w:t>The retention period</w:t>
            </w:r>
          </w:p>
        </w:tc>
        <w:tc>
          <w:tcPr>
            <w:tcW w:w="234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61" w14:textId="77777777" w:rsidR="00022EDC" w:rsidRDefault="00022EDC"/>
        </w:tc>
        <w:tc>
          <w:tcPr>
            <w:tcW w:w="234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62" w14:textId="77777777" w:rsidR="00022EDC" w:rsidRDefault="00022EDC"/>
        </w:tc>
      </w:tr>
      <w:tr w:rsidR="00022EDC" w14:paraId="4332C467"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64" w14:textId="77777777" w:rsidR="00022EDC" w:rsidRDefault="00CE1C84">
            <w:r>
              <w:rPr>
                <w:color w:val="000000"/>
                <w:sz w:val="18"/>
                <w:szCs w:val="18"/>
              </w:rPr>
              <w:t>Third parties, including the model provider</w:t>
            </w:r>
          </w:p>
        </w:tc>
        <w:tc>
          <w:tcPr>
            <w:tcW w:w="234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65" w14:textId="77777777" w:rsidR="00022EDC" w:rsidRDefault="00022EDC"/>
        </w:tc>
        <w:tc>
          <w:tcPr>
            <w:tcW w:w="234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66" w14:textId="77777777" w:rsidR="00022EDC" w:rsidRDefault="00022EDC"/>
        </w:tc>
      </w:tr>
      <w:tr w:rsidR="00022EDC" w14:paraId="4332C46B"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68" w14:textId="77777777" w:rsidR="00022EDC" w:rsidRDefault="00CE1C84">
            <w:r>
              <w:rPr>
                <w:color w:val="000000"/>
                <w:sz w:val="18"/>
                <w:szCs w:val="18"/>
              </w:rPr>
              <w:t>How to exercise their rights</w:t>
            </w:r>
          </w:p>
        </w:tc>
        <w:tc>
          <w:tcPr>
            <w:tcW w:w="234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69" w14:textId="77777777" w:rsidR="00022EDC" w:rsidRDefault="00022EDC"/>
        </w:tc>
        <w:tc>
          <w:tcPr>
            <w:tcW w:w="234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6A" w14:textId="77777777" w:rsidR="00022EDC" w:rsidRDefault="00022EDC"/>
        </w:tc>
      </w:tr>
    </w:tbl>
    <w:p w14:paraId="4332C46C" w14:textId="77777777" w:rsidR="00022EDC" w:rsidRDefault="00022EDC">
      <w:pPr>
        <w:spacing w:after="120"/>
      </w:pPr>
    </w:p>
    <w:p w14:paraId="4332C46D" w14:textId="77777777" w:rsidR="00022EDC" w:rsidRDefault="00CE1C84">
      <w:pPr>
        <w:pStyle w:val="Heading3"/>
        <w:spacing w:before="160"/>
      </w:pPr>
      <w:r>
        <w:t>Rights operability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22EDC" w14:paraId="4332C470"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46E" w14:textId="77777777" w:rsidR="00022EDC" w:rsidRDefault="00CE1C84">
            <w:r>
              <w:rPr>
                <w:b/>
                <w:bCs/>
                <w:color w:val="FFFFFF"/>
                <w:sz w:val="18"/>
                <w:szCs w:val="18"/>
              </w:rPr>
              <w:t>Right</w:t>
            </w:r>
          </w:p>
        </w:tc>
        <w:tc>
          <w:tcPr>
            <w:tcW w:w="676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46F" w14:textId="77777777" w:rsidR="00022EDC" w:rsidRDefault="00CE1C84">
            <w:r>
              <w:rPr>
                <w:b/>
                <w:bCs/>
                <w:color w:val="FFFFFF"/>
                <w:sz w:val="18"/>
                <w:szCs w:val="18"/>
              </w:rPr>
              <w:t>Can it be fulfilled for assistant-held data, within the deadline?</w:t>
            </w:r>
          </w:p>
        </w:tc>
      </w:tr>
      <w:tr w:rsidR="00022EDC" w14:paraId="4332C473"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71" w14:textId="77777777" w:rsidR="00022EDC" w:rsidRDefault="00CE1C84">
            <w:r>
              <w:rPr>
                <w:color w:val="000000"/>
                <w:sz w:val="18"/>
                <w:szCs w:val="18"/>
              </w:rPr>
              <w:t>Access</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72" w14:textId="77777777" w:rsidR="00022EDC" w:rsidRDefault="00CE1C84">
            <w:r>
              <w:rPr>
                <w:color w:val="000000"/>
                <w:sz w:val="18"/>
                <w:szCs w:val="18"/>
              </w:rPr>
              <w:t>Can you locate and return conversation history and derived data?</w:t>
            </w:r>
          </w:p>
        </w:tc>
      </w:tr>
      <w:tr w:rsidR="00022EDC" w14:paraId="4332C476"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74" w14:textId="77777777" w:rsidR="00022EDC" w:rsidRDefault="00CE1C84">
            <w:r>
              <w:rPr>
                <w:color w:val="000000"/>
                <w:sz w:val="18"/>
                <w:szCs w:val="18"/>
              </w:rPr>
              <w:t>Correction</w:t>
            </w:r>
          </w:p>
        </w:tc>
        <w:tc>
          <w:tcPr>
            <w:tcW w:w="67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75" w14:textId="77777777" w:rsidR="00022EDC" w:rsidRDefault="00CE1C84">
            <w:r>
              <w:rPr>
                <w:color w:val="000000"/>
                <w:sz w:val="18"/>
                <w:szCs w:val="18"/>
              </w:rPr>
              <w:t>Can you correct data the assistant relies on, at source and in cache?</w:t>
            </w:r>
          </w:p>
        </w:tc>
      </w:tr>
      <w:tr w:rsidR="00022EDC" w14:paraId="4332C479"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77" w14:textId="77777777" w:rsidR="00022EDC" w:rsidRDefault="00CE1C84">
            <w:r>
              <w:rPr>
                <w:color w:val="000000"/>
                <w:sz w:val="18"/>
                <w:szCs w:val="18"/>
              </w:rPr>
              <w:t>Erasure</w:t>
            </w:r>
          </w:p>
        </w:tc>
        <w:tc>
          <w:tcPr>
            <w:tcW w:w="67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78" w14:textId="77777777" w:rsidR="00022EDC" w:rsidRDefault="00CE1C84">
            <w:r>
              <w:rPr>
                <w:color w:val="000000"/>
                <w:sz w:val="18"/>
                <w:szCs w:val="18"/>
              </w:rPr>
              <w:t>Does erasure reach the assistant's stores, logs and backups?</w:t>
            </w:r>
          </w:p>
        </w:tc>
      </w:tr>
    </w:tbl>
    <w:p w14:paraId="4332C47A" w14:textId="77777777" w:rsidR="00022EDC" w:rsidRDefault="00022ED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EDC" w14:paraId="4332C47C" w14:textId="77777777">
        <w:tblPrEx>
          <w:tblCellMar>
            <w:top w:w="0" w:type="dxa"/>
            <w:bottom w:w="0" w:type="dxa"/>
          </w:tblCellMar>
        </w:tblPrEx>
        <w:tc>
          <w:tcPr>
            <w:tcW w:w="9360" w:type="dxa"/>
            <w:tcBorders>
              <w:top w:val="single" w:sz="2" w:space="0" w:color="DDDDDD"/>
              <w:left w:val="single" w:sz="18" w:space="0" w:color="0B6B62"/>
              <w:bottom w:val="single" w:sz="2" w:space="0" w:color="DDDDDD"/>
              <w:right w:val="single" w:sz="2" w:space="0" w:color="DDDDDD"/>
            </w:tcBorders>
            <w:shd w:val="clear" w:color="auto" w:fill="F2F4F7"/>
            <w:tcMar>
              <w:top w:w="130" w:type="dxa"/>
              <w:left w:w="170" w:type="dxa"/>
              <w:bottom w:w="130" w:type="dxa"/>
              <w:right w:w="170" w:type="dxa"/>
            </w:tcMar>
          </w:tcPr>
          <w:p w14:paraId="4332C47B" w14:textId="77777777" w:rsidR="00022EDC" w:rsidRDefault="00CE1C84">
            <w:r>
              <w:rPr>
                <w:b/>
                <w:bCs/>
                <w:color w:val="1A2B49"/>
              </w:rPr>
              <w:t xml:space="preserve">Two duties, not one.  </w:t>
            </w:r>
            <w:r>
              <w:t>Telling the customer they are talking to an AI (Week 06, Article 50) and telling them what happens to their data (this notice) are distinct obligations. Do not let one stand in for the other. Under DPDP, the notice must also meet the s.5 and Rule 3 content standard, which is more prescriptive than a generic policy line.</w:t>
            </w:r>
          </w:p>
        </w:tc>
      </w:tr>
    </w:tbl>
    <w:p w14:paraId="4332C47D" w14:textId="77777777" w:rsidR="00022EDC" w:rsidRDefault="00022EDC">
      <w:pPr>
        <w:pageBreakBefore/>
      </w:pPr>
    </w:p>
    <w:p w14:paraId="4332C47E" w14:textId="77777777" w:rsidR="00022EDC" w:rsidRDefault="00CE1C84">
      <w:pPr>
        <w:pStyle w:val="Heading1"/>
      </w:pPr>
      <w:r>
        <w:t>Mapping the pack to the workbook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022EDC" w14:paraId="4332C482"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47F" w14:textId="77777777" w:rsidR="00022EDC" w:rsidRDefault="00CE1C84">
            <w:r>
              <w:rPr>
                <w:b/>
                <w:bCs/>
                <w:color w:val="FFFFFF"/>
                <w:sz w:val="18"/>
                <w:szCs w:val="18"/>
              </w:rPr>
              <w:t>Document</w:t>
            </w:r>
          </w:p>
        </w:tc>
        <w:tc>
          <w:tcPr>
            <w:tcW w:w="340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480" w14:textId="77777777" w:rsidR="00022EDC" w:rsidRDefault="00CE1C84">
            <w:r>
              <w:rPr>
                <w:b/>
                <w:bCs/>
                <w:color w:val="FFFFFF"/>
                <w:sz w:val="18"/>
                <w:szCs w:val="18"/>
              </w:rPr>
              <w:t xml:space="preserve">Evidences </w:t>
            </w:r>
            <w:proofErr w:type="gramStart"/>
            <w:r>
              <w:rPr>
                <w:b/>
                <w:bCs/>
                <w:color w:val="FFFFFF"/>
                <w:sz w:val="18"/>
                <w:szCs w:val="18"/>
              </w:rPr>
              <w:t>checks</w:t>
            </w:r>
            <w:proofErr w:type="gramEnd"/>
          </w:p>
        </w:tc>
        <w:tc>
          <w:tcPr>
            <w:tcW w:w="3560" w:type="dxa"/>
            <w:tcBorders>
              <w:top w:val="single" w:sz="2" w:space="0" w:color="CCCCCC"/>
              <w:left w:val="single" w:sz="2" w:space="0" w:color="CCCCCC"/>
              <w:bottom w:val="single" w:sz="2" w:space="0" w:color="CCCCCC"/>
              <w:right w:val="single" w:sz="2" w:space="0" w:color="CCCCCC"/>
            </w:tcBorders>
            <w:shd w:val="clear" w:color="auto" w:fill="0B6B62"/>
            <w:tcMar>
              <w:top w:w="70" w:type="dxa"/>
              <w:left w:w="110" w:type="dxa"/>
              <w:bottom w:w="70" w:type="dxa"/>
              <w:right w:w="110" w:type="dxa"/>
            </w:tcMar>
            <w:vAlign w:val="center"/>
          </w:tcPr>
          <w:p w14:paraId="4332C481" w14:textId="77777777" w:rsidR="00022EDC" w:rsidRDefault="00CE1C84">
            <w:r>
              <w:rPr>
                <w:b/>
                <w:bCs/>
                <w:color w:val="FFFFFF"/>
                <w:sz w:val="18"/>
                <w:szCs w:val="18"/>
              </w:rPr>
              <w:t>Log as</w:t>
            </w:r>
          </w:p>
        </w:tc>
      </w:tr>
      <w:tr w:rsidR="00022EDC" w14:paraId="4332C48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83" w14:textId="77777777" w:rsidR="00022EDC" w:rsidRDefault="00CE1C84">
            <w:r>
              <w:rPr>
                <w:color w:val="000000"/>
                <w:sz w:val="18"/>
                <w:szCs w:val="18"/>
              </w:rPr>
              <w:t>A · Personal-Data Inventory</w:t>
            </w:r>
          </w:p>
        </w:tc>
        <w:tc>
          <w:tcPr>
            <w:tcW w:w="3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84" w14:textId="77777777" w:rsidR="00022EDC" w:rsidRDefault="00CE1C84">
            <w:r>
              <w:rPr>
                <w:color w:val="000000"/>
                <w:sz w:val="18"/>
                <w:szCs w:val="18"/>
              </w:rPr>
              <w:t>W07-01</w:t>
            </w:r>
          </w:p>
        </w:tc>
        <w:tc>
          <w:tcPr>
            <w:tcW w:w="35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85" w14:textId="77777777" w:rsidR="00022EDC" w:rsidRDefault="00CE1C84">
            <w:r>
              <w:rPr>
                <w:color w:val="000000"/>
                <w:sz w:val="18"/>
                <w:szCs w:val="18"/>
              </w:rPr>
              <w:t>EV-W07-01</w:t>
            </w:r>
          </w:p>
        </w:tc>
      </w:tr>
      <w:tr w:rsidR="00022EDC" w14:paraId="4332C48A"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87" w14:textId="77777777" w:rsidR="00022EDC" w:rsidRDefault="00CE1C84">
            <w:r>
              <w:rPr>
                <w:color w:val="000000"/>
                <w:sz w:val="18"/>
                <w:szCs w:val="18"/>
              </w:rPr>
              <w:t>B · Lawful Basis &amp; Compatibility</w:t>
            </w:r>
          </w:p>
        </w:tc>
        <w:tc>
          <w:tcPr>
            <w:tcW w:w="3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88" w14:textId="77777777" w:rsidR="00022EDC" w:rsidRDefault="00CE1C84">
            <w:r>
              <w:rPr>
                <w:color w:val="000000"/>
                <w:sz w:val="18"/>
                <w:szCs w:val="18"/>
              </w:rPr>
              <w:t>W07-02, W07-03</w:t>
            </w:r>
          </w:p>
        </w:tc>
        <w:tc>
          <w:tcPr>
            <w:tcW w:w="35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89" w14:textId="77777777" w:rsidR="00022EDC" w:rsidRDefault="00CE1C84">
            <w:r>
              <w:rPr>
                <w:color w:val="000000"/>
                <w:sz w:val="18"/>
                <w:szCs w:val="18"/>
              </w:rPr>
              <w:t>EV-W07-02</w:t>
            </w:r>
          </w:p>
        </w:tc>
      </w:tr>
      <w:tr w:rsidR="00022EDC" w14:paraId="4332C48E"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8B" w14:textId="77777777" w:rsidR="00022EDC" w:rsidRDefault="00CE1C84">
            <w:r>
              <w:rPr>
                <w:color w:val="000000"/>
                <w:sz w:val="18"/>
                <w:szCs w:val="18"/>
              </w:rPr>
              <w:t>C · Minimisation &amp; Sensitive Data</w:t>
            </w:r>
          </w:p>
        </w:tc>
        <w:tc>
          <w:tcPr>
            <w:tcW w:w="3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8C" w14:textId="77777777" w:rsidR="00022EDC" w:rsidRDefault="00CE1C84">
            <w:r>
              <w:rPr>
                <w:color w:val="000000"/>
                <w:sz w:val="18"/>
                <w:szCs w:val="18"/>
              </w:rPr>
              <w:t>W07-04, W07-05</w:t>
            </w:r>
          </w:p>
        </w:tc>
        <w:tc>
          <w:tcPr>
            <w:tcW w:w="35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8D" w14:textId="77777777" w:rsidR="00022EDC" w:rsidRDefault="00CE1C84">
            <w:r>
              <w:rPr>
                <w:color w:val="000000"/>
                <w:sz w:val="18"/>
                <w:szCs w:val="18"/>
              </w:rPr>
              <w:t>EV-W07-03</w:t>
            </w:r>
          </w:p>
        </w:tc>
      </w:tr>
      <w:tr w:rsidR="00022EDC" w14:paraId="4332C492"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8F" w14:textId="77777777" w:rsidR="00022EDC" w:rsidRDefault="00CE1C84">
            <w:r>
              <w:rPr>
                <w:color w:val="000000"/>
                <w:sz w:val="18"/>
                <w:szCs w:val="18"/>
              </w:rPr>
              <w:t>D · Model-Provider Data-Flow</w:t>
            </w:r>
          </w:p>
        </w:tc>
        <w:tc>
          <w:tcPr>
            <w:tcW w:w="3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90" w14:textId="77777777" w:rsidR="00022EDC" w:rsidRDefault="00CE1C84">
            <w:r>
              <w:rPr>
                <w:color w:val="000000"/>
                <w:sz w:val="18"/>
                <w:szCs w:val="18"/>
              </w:rPr>
              <w:t>W07-06</w:t>
            </w:r>
          </w:p>
        </w:tc>
        <w:tc>
          <w:tcPr>
            <w:tcW w:w="35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91" w14:textId="77777777" w:rsidR="00022EDC" w:rsidRDefault="00CE1C84">
            <w:r>
              <w:rPr>
                <w:color w:val="000000"/>
                <w:sz w:val="18"/>
                <w:szCs w:val="18"/>
              </w:rPr>
              <w:t>EV-W07-04</w:t>
            </w:r>
          </w:p>
        </w:tc>
      </w:tr>
      <w:tr w:rsidR="00022EDC" w14:paraId="4332C49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93" w14:textId="77777777" w:rsidR="00022EDC" w:rsidRDefault="00CE1C84">
            <w:r>
              <w:rPr>
                <w:color w:val="000000"/>
                <w:sz w:val="18"/>
                <w:szCs w:val="18"/>
              </w:rPr>
              <w:t>E · Retention &amp; Erasure</w:t>
            </w:r>
          </w:p>
        </w:tc>
        <w:tc>
          <w:tcPr>
            <w:tcW w:w="3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94" w14:textId="77777777" w:rsidR="00022EDC" w:rsidRDefault="00CE1C84">
            <w:r>
              <w:rPr>
                <w:color w:val="000000"/>
                <w:sz w:val="18"/>
                <w:szCs w:val="18"/>
              </w:rPr>
              <w:t>W07-07</w:t>
            </w:r>
          </w:p>
        </w:tc>
        <w:tc>
          <w:tcPr>
            <w:tcW w:w="35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95" w14:textId="77777777" w:rsidR="00022EDC" w:rsidRDefault="00CE1C84">
            <w:r>
              <w:rPr>
                <w:color w:val="000000"/>
                <w:sz w:val="18"/>
                <w:szCs w:val="18"/>
              </w:rPr>
              <w:t>EV-W07-05</w:t>
            </w:r>
          </w:p>
        </w:tc>
      </w:tr>
      <w:tr w:rsidR="00022EDC" w14:paraId="4332C49A"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97" w14:textId="77777777" w:rsidR="00022EDC" w:rsidRDefault="00CE1C84">
            <w:r>
              <w:rPr>
                <w:color w:val="000000"/>
                <w:sz w:val="18"/>
                <w:szCs w:val="18"/>
              </w:rPr>
              <w:t>F · Privacy Notice &amp; Rights</w:t>
            </w:r>
          </w:p>
        </w:tc>
        <w:tc>
          <w:tcPr>
            <w:tcW w:w="340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98" w14:textId="77777777" w:rsidR="00022EDC" w:rsidRDefault="00CE1C84">
            <w:r>
              <w:rPr>
                <w:color w:val="000000"/>
                <w:sz w:val="18"/>
                <w:szCs w:val="18"/>
              </w:rPr>
              <w:t>W07-08, W07-10</w:t>
            </w:r>
          </w:p>
        </w:tc>
        <w:tc>
          <w:tcPr>
            <w:tcW w:w="3560" w:type="dxa"/>
            <w:tcBorders>
              <w:top w:val="single" w:sz="2" w:space="0" w:color="CCCCCC"/>
              <w:left w:val="single" w:sz="2" w:space="0" w:color="CCCCCC"/>
              <w:bottom w:val="single" w:sz="2" w:space="0" w:color="CCCCCC"/>
              <w:right w:val="single" w:sz="2" w:space="0" w:color="CCCCCC"/>
            </w:tcBorders>
            <w:tcMar>
              <w:top w:w="70" w:type="dxa"/>
              <w:left w:w="110" w:type="dxa"/>
              <w:bottom w:w="70" w:type="dxa"/>
              <w:right w:w="110" w:type="dxa"/>
            </w:tcMar>
            <w:vAlign w:val="center"/>
          </w:tcPr>
          <w:p w14:paraId="4332C499" w14:textId="77777777" w:rsidR="00022EDC" w:rsidRDefault="00CE1C84">
            <w:r>
              <w:rPr>
                <w:color w:val="000000"/>
                <w:sz w:val="18"/>
                <w:szCs w:val="18"/>
              </w:rPr>
              <w:t>EV-W07-06</w:t>
            </w:r>
          </w:p>
        </w:tc>
      </w:tr>
      <w:tr w:rsidR="00022EDC" w14:paraId="4332C49E"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9B" w14:textId="77777777" w:rsidR="00022EDC" w:rsidRDefault="00CE1C84">
            <w:r>
              <w:rPr>
                <w:color w:val="000000"/>
                <w:sz w:val="18"/>
                <w:szCs w:val="18"/>
              </w:rPr>
              <w:t>Reference-data ownership &amp; review log</w:t>
            </w:r>
          </w:p>
        </w:tc>
        <w:tc>
          <w:tcPr>
            <w:tcW w:w="340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9C" w14:textId="77777777" w:rsidR="00022EDC" w:rsidRDefault="00CE1C84">
            <w:r>
              <w:rPr>
                <w:color w:val="000000"/>
                <w:sz w:val="18"/>
                <w:szCs w:val="18"/>
              </w:rPr>
              <w:t>W07-09</w:t>
            </w:r>
          </w:p>
        </w:tc>
        <w:tc>
          <w:tcPr>
            <w:tcW w:w="3560" w:type="dxa"/>
            <w:tcBorders>
              <w:top w:val="single" w:sz="2" w:space="0" w:color="CCCCCC"/>
              <w:left w:val="single" w:sz="2" w:space="0" w:color="CCCCCC"/>
              <w:bottom w:val="single" w:sz="2" w:space="0" w:color="CCCCCC"/>
              <w:right w:val="single" w:sz="2" w:space="0" w:color="CCCCCC"/>
            </w:tcBorders>
            <w:shd w:val="clear" w:color="auto" w:fill="F2F4F7"/>
            <w:tcMar>
              <w:top w:w="70" w:type="dxa"/>
              <w:left w:w="110" w:type="dxa"/>
              <w:bottom w:w="70" w:type="dxa"/>
              <w:right w:w="110" w:type="dxa"/>
            </w:tcMar>
            <w:vAlign w:val="center"/>
          </w:tcPr>
          <w:p w14:paraId="4332C49D" w14:textId="77777777" w:rsidR="00022EDC" w:rsidRDefault="00CE1C84">
            <w:r>
              <w:rPr>
                <w:color w:val="000000"/>
                <w:sz w:val="18"/>
                <w:szCs w:val="18"/>
              </w:rPr>
              <w:t>EV-W07-07</w:t>
            </w:r>
          </w:p>
        </w:tc>
      </w:tr>
    </w:tbl>
    <w:p w14:paraId="4332C49F" w14:textId="77777777" w:rsidR="00022EDC" w:rsidRDefault="00022EDC">
      <w:pPr>
        <w:pBdr>
          <w:top w:val="single" w:sz="4" w:space="6" w:color="DDDDDD"/>
        </w:pBdr>
        <w:spacing w:before="160" w:after="120"/>
      </w:pPr>
    </w:p>
    <w:p w14:paraId="4332C4A0" w14:textId="77777777" w:rsidR="00022EDC" w:rsidRDefault="00CE1C84">
      <w:pPr>
        <w:spacing w:after="120"/>
      </w:pPr>
      <w:r>
        <w:rPr>
          <w:i/>
          <w:iCs/>
          <w:color w:val="555555"/>
        </w:rPr>
        <w:t>Kannan's Virtual Bank is a fictional institution; all data used in this series is synthetic. This material is an educational accelerator, not legal advice or a compliance guarantee. Adapt it to your own regulatory context before any real-world use.</w:t>
      </w:r>
    </w:p>
    <w:sectPr w:rsidR="00022EDC">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70B35" w14:textId="77777777" w:rsidR="00CE1C84" w:rsidRDefault="00CE1C84">
      <w:pPr>
        <w:spacing w:line="240" w:lineRule="auto"/>
      </w:pPr>
      <w:r>
        <w:separator/>
      </w:r>
    </w:p>
  </w:endnote>
  <w:endnote w:type="continuationSeparator" w:id="0">
    <w:p w14:paraId="11F312F9" w14:textId="77777777" w:rsidR="00CE1C84" w:rsidRDefault="00CE1C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C4A2" w14:textId="70297D32" w:rsidR="00022EDC" w:rsidRDefault="00CE1C84">
    <w:pPr>
      <w:jc w:val="center"/>
    </w:pPr>
    <w:r>
      <w:rPr>
        <w:color w:val="555555"/>
        <w:sz w:val="15"/>
        <w:szCs w:val="15"/>
      </w:rPr>
      <w:t xml:space="preserve">Governance Artifact Pack · Week 07 · Kannan K   ·   </w:t>
    </w:r>
    <w:r>
      <w:rPr>
        <w:color w:val="555555"/>
        <w:sz w:val="15"/>
        <w:szCs w:val="15"/>
      </w:rPr>
      <w:fldChar w:fldCharType="begin"/>
    </w:r>
    <w:r>
      <w:rPr>
        <w:color w:val="555555"/>
        <w:sz w:val="15"/>
        <w:szCs w:val="15"/>
      </w:rPr>
      <w:instrText>PAGE</w:instrText>
    </w:r>
    <w:r>
      <w:rPr>
        <w:color w:val="555555"/>
        <w:sz w:val="15"/>
        <w:szCs w:val="15"/>
      </w:rPr>
      <w:fldChar w:fldCharType="separate"/>
    </w:r>
    <w:r w:rsidR="00D923AA">
      <w:rPr>
        <w:noProof/>
        <w:color w:val="555555"/>
        <w:sz w:val="15"/>
        <w:szCs w:val="15"/>
      </w:rPr>
      <w:t>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FCA21" w14:textId="77777777" w:rsidR="00CE1C84" w:rsidRDefault="00CE1C84">
      <w:pPr>
        <w:spacing w:line="240" w:lineRule="auto"/>
      </w:pPr>
      <w:r>
        <w:separator/>
      </w:r>
    </w:p>
  </w:footnote>
  <w:footnote w:type="continuationSeparator" w:id="0">
    <w:p w14:paraId="097611D5" w14:textId="77777777" w:rsidR="00CE1C84" w:rsidRDefault="00CE1C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C4A1" w14:textId="77777777" w:rsidR="00022EDC" w:rsidRDefault="00CE1C84">
    <w:pPr>
      <w:pBdr>
        <w:bottom w:val="single" w:sz="4" w:space="4" w:color="DDDDDD"/>
      </w:pBdr>
      <w:spacing w:after="60"/>
      <w:jc w:val="right"/>
    </w:pPr>
    <w:r>
      <w:rPr>
        <w:color w:val="555555"/>
        <w:sz w:val="15"/>
        <w:szCs w:val="15"/>
      </w:rPr>
      <w:t>AI Governance, Unpacked · Governance Artifact Pack · Week 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50D0"/>
    <w:multiLevelType w:val="hybridMultilevel"/>
    <w:tmpl w:val="1C9C1414"/>
    <w:lvl w:ilvl="0" w:tplc="8462212E">
      <w:start w:val="1"/>
      <w:numFmt w:val="decimal"/>
      <w:lvlText w:val="%1."/>
      <w:lvlJc w:val="left"/>
      <w:pPr>
        <w:ind w:left="540" w:hanging="280"/>
      </w:pPr>
    </w:lvl>
    <w:lvl w:ilvl="1" w:tplc="62BAD996">
      <w:numFmt w:val="decimal"/>
      <w:lvlText w:val=""/>
      <w:lvlJc w:val="left"/>
    </w:lvl>
    <w:lvl w:ilvl="2" w:tplc="F6CEEDC4">
      <w:numFmt w:val="decimal"/>
      <w:lvlText w:val=""/>
      <w:lvlJc w:val="left"/>
    </w:lvl>
    <w:lvl w:ilvl="3" w:tplc="274C018C">
      <w:numFmt w:val="decimal"/>
      <w:lvlText w:val=""/>
      <w:lvlJc w:val="left"/>
    </w:lvl>
    <w:lvl w:ilvl="4" w:tplc="A188557C">
      <w:numFmt w:val="decimal"/>
      <w:lvlText w:val=""/>
      <w:lvlJc w:val="left"/>
    </w:lvl>
    <w:lvl w:ilvl="5" w:tplc="04FA386C">
      <w:numFmt w:val="decimal"/>
      <w:lvlText w:val=""/>
      <w:lvlJc w:val="left"/>
    </w:lvl>
    <w:lvl w:ilvl="6" w:tplc="F8348210">
      <w:numFmt w:val="decimal"/>
      <w:lvlText w:val=""/>
      <w:lvlJc w:val="left"/>
    </w:lvl>
    <w:lvl w:ilvl="7" w:tplc="1FE606BC">
      <w:numFmt w:val="decimal"/>
      <w:lvlText w:val=""/>
      <w:lvlJc w:val="left"/>
    </w:lvl>
    <w:lvl w:ilvl="8" w:tplc="C55E3434">
      <w:numFmt w:val="decimal"/>
      <w:lvlText w:val=""/>
      <w:lvlJc w:val="left"/>
    </w:lvl>
  </w:abstractNum>
  <w:abstractNum w:abstractNumId="1" w15:restartNumberingAfterBreak="0">
    <w:nsid w:val="0D800EEF"/>
    <w:multiLevelType w:val="hybridMultilevel"/>
    <w:tmpl w:val="0EC88E5C"/>
    <w:lvl w:ilvl="0" w:tplc="06D09FF6">
      <w:start w:val="1"/>
      <w:numFmt w:val="bullet"/>
      <w:lvlText w:val="●"/>
      <w:lvlJc w:val="left"/>
      <w:pPr>
        <w:ind w:left="720" w:hanging="360"/>
      </w:pPr>
    </w:lvl>
    <w:lvl w:ilvl="1" w:tplc="205AA164">
      <w:start w:val="1"/>
      <w:numFmt w:val="bullet"/>
      <w:lvlText w:val="○"/>
      <w:lvlJc w:val="left"/>
      <w:pPr>
        <w:ind w:left="1440" w:hanging="360"/>
      </w:pPr>
    </w:lvl>
    <w:lvl w:ilvl="2" w:tplc="0DF490E4">
      <w:start w:val="1"/>
      <w:numFmt w:val="bullet"/>
      <w:lvlText w:val="■"/>
      <w:lvlJc w:val="left"/>
      <w:pPr>
        <w:ind w:left="2160" w:hanging="360"/>
      </w:pPr>
    </w:lvl>
    <w:lvl w:ilvl="3" w:tplc="137CF248">
      <w:start w:val="1"/>
      <w:numFmt w:val="bullet"/>
      <w:lvlText w:val="●"/>
      <w:lvlJc w:val="left"/>
      <w:pPr>
        <w:ind w:left="2880" w:hanging="360"/>
      </w:pPr>
    </w:lvl>
    <w:lvl w:ilvl="4" w:tplc="52E8291E">
      <w:start w:val="1"/>
      <w:numFmt w:val="bullet"/>
      <w:lvlText w:val="○"/>
      <w:lvlJc w:val="left"/>
      <w:pPr>
        <w:ind w:left="3600" w:hanging="360"/>
      </w:pPr>
    </w:lvl>
    <w:lvl w:ilvl="5" w:tplc="E7D20326">
      <w:start w:val="1"/>
      <w:numFmt w:val="bullet"/>
      <w:lvlText w:val="■"/>
      <w:lvlJc w:val="left"/>
      <w:pPr>
        <w:ind w:left="4320" w:hanging="360"/>
      </w:pPr>
    </w:lvl>
    <w:lvl w:ilvl="6" w:tplc="3618ABF4">
      <w:start w:val="1"/>
      <w:numFmt w:val="bullet"/>
      <w:lvlText w:val="●"/>
      <w:lvlJc w:val="left"/>
      <w:pPr>
        <w:ind w:left="5040" w:hanging="360"/>
      </w:pPr>
    </w:lvl>
    <w:lvl w:ilvl="7" w:tplc="59B60388">
      <w:start w:val="1"/>
      <w:numFmt w:val="bullet"/>
      <w:lvlText w:val="●"/>
      <w:lvlJc w:val="left"/>
      <w:pPr>
        <w:ind w:left="5760" w:hanging="360"/>
      </w:pPr>
    </w:lvl>
    <w:lvl w:ilvl="8" w:tplc="DE006316">
      <w:start w:val="1"/>
      <w:numFmt w:val="bullet"/>
      <w:lvlText w:val="●"/>
      <w:lvlJc w:val="left"/>
      <w:pPr>
        <w:ind w:left="6480" w:hanging="360"/>
      </w:pPr>
    </w:lvl>
  </w:abstractNum>
  <w:abstractNum w:abstractNumId="2" w15:restartNumberingAfterBreak="0">
    <w:nsid w:val="1336453C"/>
    <w:multiLevelType w:val="hybridMultilevel"/>
    <w:tmpl w:val="900217E4"/>
    <w:lvl w:ilvl="0" w:tplc="DD88281C">
      <w:start w:val="1"/>
      <w:numFmt w:val="decimal"/>
      <w:lvlText w:val="%1."/>
      <w:lvlJc w:val="left"/>
      <w:pPr>
        <w:ind w:left="540" w:hanging="280"/>
      </w:pPr>
    </w:lvl>
    <w:lvl w:ilvl="1" w:tplc="165894C6">
      <w:numFmt w:val="decimal"/>
      <w:lvlText w:val=""/>
      <w:lvlJc w:val="left"/>
    </w:lvl>
    <w:lvl w:ilvl="2" w:tplc="05503CE8">
      <w:numFmt w:val="decimal"/>
      <w:lvlText w:val=""/>
      <w:lvlJc w:val="left"/>
    </w:lvl>
    <w:lvl w:ilvl="3" w:tplc="E10ABE3C">
      <w:numFmt w:val="decimal"/>
      <w:lvlText w:val=""/>
      <w:lvlJc w:val="left"/>
    </w:lvl>
    <w:lvl w:ilvl="4" w:tplc="7F929C1C">
      <w:numFmt w:val="decimal"/>
      <w:lvlText w:val=""/>
      <w:lvlJc w:val="left"/>
    </w:lvl>
    <w:lvl w:ilvl="5" w:tplc="4C7CA012">
      <w:numFmt w:val="decimal"/>
      <w:lvlText w:val=""/>
      <w:lvlJc w:val="left"/>
    </w:lvl>
    <w:lvl w:ilvl="6" w:tplc="6C101CEA">
      <w:numFmt w:val="decimal"/>
      <w:lvlText w:val=""/>
      <w:lvlJc w:val="left"/>
    </w:lvl>
    <w:lvl w:ilvl="7" w:tplc="89AE5A38">
      <w:numFmt w:val="decimal"/>
      <w:lvlText w:val=""/>
      <w:lvlJc w:val="left"/>
    </w:lvl>
    <w:lvl w:ilvl="8" w:tplc="732CC2D0">
      <w:numFmt w:val="decimal"/>
      <w:lvlText w:val=""/>
      <w:lvlJc w:val="left"/>
    </w:lvl>
  </w:abstractNum>
  <w:abstractNum w:abstractNumId="3" w15:restartNumberingAfterBreak="0">
    <w:nsid w:val="1AF97AA6"/>
    <w:multiLevelType w:val="hybridMultilevel"/>
    <w:tmpl w:val="10DAF6BA"/>
    <w:lvl w:ilvl="0" w:tplc="EA94DA48">
      <w:start w:val="1"/>
      <w:numFmt w:val="decimal"/>
      <w:lvlText w:val="%1."/>
      <w:lvlJc w:val="left"/>
      <w:pPr>
        <w:ind w:left="540" w:hanging="280"/>
      </w:pPr>
    </w:lvl>
    <w:lvl w:ilvl="1" w:tplc="A31853F6">
      <w:numFmt w:val="decimal"/>
      <w:lvlText w:val=""/>
      <w:lvlJc w:val="left"/>
    </w:lvl>
    <w:lvl w:ilvl="2" w:tplc="7838713E">
      <w:numFmt w:val="decimal"/>
      <w:lvlText w:val=""/>
      <w:lvlJc w:val="left"/>
    </w:lvl>
    <w:lvl w:ilvl="3" w:tplc="B87264A8">
      <w:numFmt w:val="decimal"/>
      <w:lvlText w:val=""/>
      <w:lvlJc w:val="left"/>
    </w:lvl>
    <w:lvl w:ilvl="4" w:tplc="1E18D72A">
      <w:numFmt w:val="decimal"/>
      <w:lvlText w:val=""/>
      <w:lvlJc w:val="left"/>
    </w:lvl>
    <w:lvl w:ilvl="5" w:tplc="EEAA9BAE">
      <w:numFmt w:val="decimal"/>
      <w:lvlText w:val=""/>
      <w:lvlJc w:val="left"/>
    </w:lvl>
    <w:lvl w:ilvl="6" w:tplc="099AA84E">
      <w:numFmt w:val="decimal"/>
      <w:lvlText w:val=""/>
      <w:lvlJc w:val="left"/>
    </w:lvl>
    <w:lvl w:ilvl="7" w:tplc="3272C738">
      <w:numFmt w:val="decimal"/>
      <w:lvlText w:val=""/>
      <w:lvlJc w:val="left"/>
    </w:lvl>
    <w:lvl w:ilvl="8" w:tplc="443C2CAC">
      <w:numFmt w:val="decimal"/>
      <w:lvlText w:val=""/>
      <w:lvlJc w:val="left"/>
    </w:lvl>
  </w:abstractNum>
  <w:abstractNum w:abstractNumId="4" w15:restartNumberingAfterBreak="0">
    <w:nsid w:val="24337BB7"/>
    <w:multiLevelType w:val="hybridMultilevel"/>
    <w:tmpl w:val="BB867300"/>
    <w:lvl w:ilvl="0" w:tplc="5F501348">
      <w:start w:val="1"/>
      <w:numFmt w:val="decimal"/>
      <w:lvlText w:val="%1."/>
      <w:lvlJc w:val="left"/>
      <w:pPr>
        <w:ind w:left="540" w:hanging="280"/>
      </w:pPr>
    </w:lvl>
    <w:lvl w:ilvl="1" w:tplc="1994CCB0">
      <w:numFmt w:val="decimal"/>
      <w:lvlText w:val=""/>
      <w:lvlJc w:val="left"/>
    </w:lvl>
    <w:lvl w:ilvl="2" w:tplc="FC2CB950">
      <w:numFmt w:val="decimal"/>
      <w:lvlText w:val=""/>
      <w:lvlJc w:val="left"/>
    </w:lvl>
    <w:lvl w:ilvl="3" w:tplc="E4E8136E">
      <w:numFmt w:val="decimal"/>
      <w:lvlText w:val=""/>
      <w:lvlJc w:val="left"/>
    </w:lvl>
    <w:lvl w:ilvl="4" w:tplc="D9AE796A">
      <w:numFmt w:val="decimal"/>
      <w:lvlText w:val=""/>
      <w:lvlJc w:val="left"/>
    </w:lvl>
    <w:lvl w:ilvl="5" w:tplc="75A6C2DE">
      <w:numFmt w:val="decimal"/>
      <w:lvlText w:val=""/>
      <w:lvlJc w:val="left"/>
    </w:lvl>
    <w:lvl w:ilvl="6" w:tplc="6C14B1EC">
      <w:numFmt w:val="decimal"/>
      <w:lvlText w:val=""/>
      <w:lvlJc w:val="left"/>
    </w:lvl>
    <w:lvl w:ilvl="7" w:tplc="32040DAE">
      <w:numFmt w:val="decimal"/>
      <w:lvlText w:val=""/>
      <w:lvlJc w:val="left"/>
    </w:lvl>
    <w:lvl w:ilvl="8" w:tplc="42F6635A">
      <w:numFmt w:val="decimal"/>
      <w:lvlText w:val=""/>
      <w:lvlJc w:val="left"/>
    </w:lvl>
  </w:abstractNum>
  <w:abstractNum w:abstractNumId="5" w15:restartNumberingAfterBreak="0">
    <w:nsid w:val="27AB07F4"/>
    <w:multiLevelType w:val="hybridMultilevel"/>
    <w:tmpl w:val="A6D025AE"/>
    <w:lvl w:ilvl="0" w:tplc="009E0B78">
      <w:start w:val="1"/>
      <w:numFmt w:val="decimal"/>
      <w:lvlText w:val="%1."/>
      <w:lvlJc w:val="left"/>
      <w:pPr>
        <w:ind w:left="540" w:hanging="280"/>
      </w:pPr>
    </w:lvl>
    <w:lvl w:ilvl="1" w:tplc="7C041CE0">
      <w:numFmt w:val="decimal"/>
      <w:lvlText w:val=""/>
      <w:lvlJc w:val="left"/>
    </w:lvl>
    <w:lvl w:ilvl="2" w:tplc="FD58CFF4">
      <w:numFmt w:val="decimal"/>
      <w:lvlText w:val=""/>
      <w:lvlJc w:val="left"/>
    </w:lvl>
    <w:lvl w:ilvl="3" w:tplc="3F480DC4">
      <w:numFmt w:val="decimal"/>
      <w:lvlText w:val=""/>
      <w:lvlJc w:val="left"/>
    </w:lvl>
    <w:lvl w:ilvl="4" w:tplc="6706EA54">
      <w:numFmt w:val="decimal"/>
      <w:lvlText w:val=""/>
      <w:lvlJc w:val="left"/>
    </w:lvl>
    <w:lvl w:ilvl="5" w:tplc="5B6EDFDC">
      <w:numFmt w:val="decimal"/>
      <w:lvlText w:val=""/>
      <w:lvlJc w:val="left"/>
    </w:lvl>
    <w:lvl w:ilvl="6" w:tplc="BD76F400">
      <w:numFmt w:val="decimal"/>
      <w:lvlText w:val=""/>
      <w:lvlJc w:val="left"/>
    </w:lvl>
    <w:lvl w:ilvl="7" w:tplc="36386202">
      <w:numFmt w:val="decimal"/>
      <w:lvlText w:val=""/>
      <w:lvlJc w:val="left"/>
    </w:lvl>
    <w:lvl w:ilvl="8" w:tplc="4A4C9254">
      <w:numFmt w:val="decimal"/>
      <w:lvlText w:val=""/>
      <w:lvlJc w:val="left"/>
    </w:lvl>
  </w:abstractNum>
  <w:abstractNum w:abstractNumId="6" w15:restartNumberingAfterBreak="0">
    <w:nsid w:val="2BEB0CDA"/>
    <w:multiLevelType w:val="hybridMultilevel"/>
    <w:tmpl w:val="7C8A2CAE"/>
    <w:lvl w:ilvl="0" w:tplc="68CE2306">
      <w:start w:val="1"/>
      <w:numFmt w:val="bullet"/>
      <w:lvlText w:val="•"/>
      <w:lvlJc w:val="left"/>
      <w:pPr>
        <w:ind w:left="540" w:hanging="260"/>
      </w:pPr>
    </w:lvl>
    <w:lvl w:ilvl="1" w:tplc="26DC3202">
      <w:numFmt w:val="decimal"/>
      <w:lvlText w:val=""/>
      <w:lvlJc w:val="left"/>
    </w:lvl>
    <w:lvl w:ilvl="2" w:tplc="E2904FEC">
      <w:numFmt w:val="decimal"/>
      <w:lvlText w:val=""/>
      <w:lvlJc w:val="left"/>
    </w:lvl>
    <w:lvl w:ilvl="3" w:tplc="70EC735C">
      <w:numFmt w:val="decimal"/>
      <w:lvlText w:val=""/>
      <w:lvlJc w:val="left"/>
    </w:lvl>
    <w:lvl w:ilvl="4" w:tplc="1B724862">
      <w:numFmt w:val="decimal"/>
      <w:lvlText w:val=""/>
      <w:lvlJc w:val="left"/>
    </w:lvl>
    <w:lvl w:ilvl="5" w:tplc="6E82F366">
      <w:numFmt w:val="decimal"/>
      <w:lvlText w:val=""/>
      <w:lvlJc w:val="left"/>
    </w:lvl>
    <w:lvl w:ilvl="6" w:tplc="1A0EDAD0">
      <w:numFmt w:val="decimal"/>
      <w:lvlText w:val=""/>
      <w:lvlJc w:val="left"/>
    </w:lvl>
    <w:lvl w:ilvl="7" w:tplc="F926C1CC">
      <w:numFmt w:val="decimal"/>
      <w:lvlText w:val=""/>
      <w:lvlJc w:val="left"/>
    </w:lvl>
    <w:lvl w:ilvl="8" w:tplc="5B48320E">
      <w:numFmt w:val="decimal"/>
      <w:lvlText w:val=""/>
      <w:lvlJc w:val="left"/>
    </w:lvl>
  </w:abstractNum>
  <w:abstractNum w:abstractNumId="7" w15:restartNumberingAfterBreak="0">
    <w:nsid w:val="36DB1B10"/>
    <w:multiLevelType w:val="hybridMultilevel"/>
    <w:tmpl w:val="B8726014"/>
    <w:lvl w:ilvl="0" w:tplc="5E58AD18">
      <w:start w:val="1"/>
      <w:numFmt w:val="decimal"/>
      <w:lvlText w:val="%1."/>
      <w:lvlJc w:val="left"/>
      <w:pPr>
        <w:ind w:left="540" w:hanging="280"/>
      </w:pPr>
    </w:lvl>
    <w:lvl w:ilvl="1" w:tplc="E8D84F18">
      <w:numFmt w:val="decimal"/>
      <w:lvlText w:val=""/>
      <w:lvlJc w:val="left"/>
    </w:lvl>
    <w:lvl w:ilvl="2" w:tplc="C14C38B4">
      <w:numFmt w:val="decimal"/>
      <w:lvlText w:val=""/>
      <w:lvlJc w:val="left"/>
    </w:lvl>
    <w:lvl w:ilvl="3" w:tplc="D2689990">
      <w:numFmt w:val="decimal"/>
      <w:lvlText w:val=""/>
      <w:lvlJc w:val="left"/>
    </w:lvl>
    <w:lvl w:ilvl="4" w:tplc="9F34092C">
      <w:numFmt w:val="decimal"/>
      <w:lvlText w:val=""/>
      <w:lvlJc w:val="left"/>
    </w:lvl>
    <w:lvl w:ilvl="5" w:tplc="50D43DC6">
      <w:numFmt w:val="decimal"/>
      <w:lvlText w:val=""/>
      <w:lvlJc w:val="left"/>
    </w:lvl>
    <w:lvl w:ilvl="6" w:tplc="65BA1A98">
      <w:numFmt w:val="decimal"/>
      <w:lvlText w:val=""/>
      <w:lvlJc w:val="left"/>
    </w:lvl>
    <w:lvl w:ilvl="7" w:tplc="A0D24020">
      <w:numFmt w:val="decimal"/>
      <w:lvlText w:val=""/>
      <w:lvlJc w:val="left"/>
    </w:lvl>
    <w:lvl w:ilvl="8" w:tplc="869CB00C">
      <w:numFmt w:val="decimal"/>
      <w:lvlText w:val=""/>
      <w:lvlJc w:val="left"/>
    </w:lvl>
  </w:abstractNum>
  <w:abstractNum w:abstractNumId="8" w15:restartNumberingAfterBreak="0">
    <w:nsid w:val="3AC41E74"/>
    <w:multiLevelType w:val="hybridMultilevel"/>
    <w:tmpl w:val="FCBC4302"/>
    <w:lvl w:ilvl="0" w:tplc="36A843E6">
      <w:start w:val="1"/>
      <w:numFmt w:val="decimal"/>
      <w:lvlText w:val="%1."/>
      <w:lvlJc w:val="left"/>
      <w:pPr>
        <w:ind w:left="540" w:hanging="280"/>
      </w:pPr>
    </w:lvl>
    <w:lvl w:ilvl="1" w:tplc="44AE1F30">
      <w:numFmt w:val="decimal"/>
      <w:lvlText w:val=""/>
      <w:lvlJc w:val="left"/>
    </w:lvl>
    <w:lvl w:ilvl="2" w:tplc="FC8E67D4">
      <w:numFmt w:val="decimal"/>
      <w:lvlText w:val=""/>
      <w:lvlJc w:val="left"/>
    </w:lvl>
    <w:lvl w:ilvl="3" w:tplc="8C307484">
      <w:numFmt w:val="decimal"/>
      <w:lvlText w:val=""/>
      <w:lvlJc w:val="left"/>
    </w:lvl>
    <w:lvl w:ilvl="4" w:tplc="5A829946">
      <w:numFmt w:val="decimal"/>
      <w:lvlText w:val=""/>
      <w:lvlJc w:val="left"/>
    </w:lvl>
    <w:lvl w:ilvl="5" w:tplc="9D7640CA">
      <w:numFmt w:val="decimal"/>
      <w:lvlText w:val=""/>
      <w:lvlJc w:val="left"/>
    </w:lvl>
    <w:lvl w:ilvl="6" w:tplc="04B87B64">
      <w:numFmt w:val="decimal"/>
      <w:lvlText w:val=""/>
      <w:lvlJc w:val="left"/>
    </w:lvl>
    <w:lvl w:ilvl="7" w:tplc="2C74DAC8">
      <w:numFmt w:val="decimal"/>
      <w:lvlText w:val=""/>
      <w:lvlJc w:val="left"/>
    </w:lvl>
    <w:lvl w:ilvl="8" w:tplc="CAD61A38">
      <w:numFmt w:val="decimal"/>
      <w:lvlText w:val=""/>
      <w:lvlJc w:val="left"/>
    </w:lvl>
  </w:abstractNum>
  <w:abstractNum w:abstractNumId="9" w15:restartNumberingAfterBreak="0">
    <w:nsid w:val="3FC65A07"/>
    <w:multiLevelType w:val="hybridMultilevel"/>
    <w:tmpl w:val="0EBA56BA"/>
    <w:lvl w:ilvl="0" w:tplc="7C7E8290">
      <w:start w:val="1"/>
      <w:numFmt w:val="decimal"/>
      <w:lvlText w:val="%1."/>
      <w:lvlJc w:val="left"/>
      <w:pPr>
        <w:ind w:left="540" w:hanging="280"/>
      </w:pPr>
    </w:lvl>
    <w:lvl w:ilvl="1" w:tplc="66C869C6">
      <w:numFmt w:val="decimal"/>
      <w:lvlText w:val=""/>
      <w:lvlJc w:val="left"/>
    </w:lvl>
    <w:lvl w:ilvl="2" w:tplc="2AF2EB90">
      <w:numFmt w:val="decimal"/>
      <w:lvlText w:val=""/>
      <w:lvlJc w:val="left"/>
    </w:lvl>
    <w:lvl w:ilvl="3" w:tplc="B106AEAE">
      <w:numFmt w:val="decimal"/>
      <w:lvlText w:val=""/>
      <w:lvlJc w:val="left"/>
    </w:lvl>
    <w:lvl w:ilvl="4" w:tplc="FA0C3AE8">
      <w:numFmt w:val="decimal"/>
      <w:lvlText w:val=""/>
      <w:lvlJc w:val="left"/>
    </w:lvl>
    <w:lvl w:ilvl="5" w:tplc="5CB054E4">
      <w:numFmt w:val="decimal"/>
      <w:lvlText w:val=""/>
      <w:lvlJc w:val="left"/>
    </w:lvl>
    <w:lvl w:ilvl="6" w:tplc="311ED5E4">
      <w:numFmt w:val="decimal"/>
      <w:lvlText w:val=""/>
      <w:lvlJc w:val="left"/>
    </w:lvl>
    <w:lvl w:ilvl="7" w:tplc="2724FDAA">
      <w:numFmt w:val="decimal"/>
      <w:lvlText w:val=""/>
      <w:lvlJc w:val="left"/>
    </w:lvl>
    <w:lvl w:ilvl="8" w:tplc="0018D07C">
      <w:numFmt w:val="decimal"/>
      <w:lvlText w:val=""/>
      <w:lvlJc w:val="left"/>
    </w:lvl>
  </w:abstractNum>
  <w:abstractNum w:abstractNumId="10" w15:restartNumberingAfterBreak="0">
    <w:nsid w:val="45F03EEC"/>
    <w:multiLevelType w:val="hybridMultilevel"/>
    <w:tmpl w:val="555AB146"/>
    <w:lvl w:ilvl="0" w:tplc="805CDA30">
      <w:start w:val="1"/>
      <w:numFmt w:val="decimal"/>
      <w:lvlText w:val="%1."/>
      <w:lvlJc w:val="left"/>
      <w:pPr>
        <w:ind w:left="540" w:hanging="280"/>
      </w:pPr>
    </w:lvl>
    <w:lvl w:ilvl="1" w:tplc="135AEC06">
      <w:numFmt w:val="decimal"/>
      <w:lvlText w:val=""/>
      <w:lvlJc w:val="left"/>
    </w:lvl>
    <w:lvl w:ilvl="2" w:tplc="4EC2DF8C">
      <w:numFmt w:val="decimal"/>
      <w:lvlText w:val=""/>
      <w:lvlJc w:val="left"/>
    </w:lvl>
    <w:lvl w:ilvl="3" w:tplc="851E4BD2">
      <w:numFmt w:val="decimal"/>
      <w:lvlText w:val=""/>
      <w:lvlJc w:val="left"/>
    </w:lvl>
    <w:lvl w:ilvl="4" w:tplc="15EEA670">
      <w:numFmt w:val="decimal"/>
      <w:lvlText w:val=""/>
      <w:lvlJc w:val="left"/>
    </w:lvl>
    <w:lvl w:ilvl="5" w:tplc="AA44A0A4">
      <w:numFmt w:val="decimal"/>
      <w:lvlText w:val=""/>
      <w:lvlJc w:val="left"/>
    </w:lvl>
    <w:lvl w:ilvl="6" w:tplc="23D63954">
      <w:numFmt w:val="decimal"/>
      <w:lvlText w:val=""/>
      <w:lvlJc w:val="left"/>
    </w:lvl>
    <w:lvl w:ilvl="7" w:tplc="D700A8A4">
      <w:numFmt w:val="decimal"/>
      <w:lvlText w:val=""/>
      <w:lvlJc w:val="left"/>
    </w:lvl>
    <w:lvl w:ilvl="8" w:tplc="2746245A">
      <w:numFmt w:val="decimal"/>
      <w:lvlText w:val=""/>
      <w:lvlJc w:val="left"/>
    </w:lvl>
  </w:abstractNum>
  <w:abstractNum w:abstractNumId="11" w15:restartNumberingAfterBreak="0">
    <w:nsid w:val="5EDB3FBB"/>
    <w:multiLevelType w:val="hybridMultilevel"/>
    <w:tmpl w:val="392A8F4A"/>
    <w:lvl w:ilvl="0" w:tplc="7B0A96F4">
      <w:start w:val="1"/>
      <w:numFmt w:val="decimal"/>
      <w:lvlText w:val="%1."/>
      <w:lvlJc w:val="left"/>
      <w:pPr>
        <w:ind w:left="540" w:hanging="280"/>
      </w:pPr>
    </w:lvl>
    <w:lvl w:ilvl="1" w:tplc="9F9CA62A">
      <w:numFmt w:val="decimal"/>
      <w:lvlText w:val=""/>
      <w:lvlJc w:val="left"/>
    </w:lvl>
    <w:lvl w:ilvl="2" w:tplc="2332AA24">
      <w:numFmt w:val="decimal"/>
      <w:lvlText w:val=""/>
      <w:lvlJc w:val="left"/>
    </w:lvl>
    <w:lvl w:ilvl="3" w:tplc="D3842C7E">
      <w:numFmt w:val="decimal"/>
      <w:lvlText w:val=""/>
      <w:lvlJc w:val="left"/>
    </w:lvl>
    <w:lvl w:ilvl="4" w:tplc="46E41A86">
      <w:numFmt w:val="decimal"/>
      <w:lvlText w:val=""/>
      <w:lvlJc w:val="left"/>
    </w:lvl>
    <w:lvl w:ilvl="5" w:tplc="EFA0922C">
      <w:numFmt w:val="decimal"/>
      <w:lvlText w:val=""/>
      <w:lvlJc w:val="left"/>
    </w:lvl>
    <w:lvl w:ilvl="6" w:tplc="1ACEA982">
      <w:numFmt w:val="decimal"/>
      <w:lvlText w:val=""/>
      <w:lvlJc w:val="left"/>
    </w:lvl>
    <w:lvl w:ilvl="7" w:tplc="5664D1A8">
      <w:numFmt w:val="decimal"/>
      <w:lvlText w:val=""/>
      <w:lvlJc w:val="left"/>
    </w:lvl>
    <w:lvl w:ilvl="8" w:tplc="9DECFAE6">
      <w:numFmt w:val="decimal"/>
      <w:lvlText w:val=""/>
      <w:lvlJc w:val="left"/>
    </w:lvl>
  </w:abstractNum>
  <w:abstractNum w:abstractNumId="12" w15:restartNumberingAfterBreak="0">
    <w:nsid w:val="5EF1109B"/>
    <w:multiLevelType w:val="hybridMultilevel"/>
    <w:tmpl w:val="619C176C"/>
    <w:lvl w:ilvl="0" w:tplc="FDAEBF6A">
      <w:start w:val="1"/>
      <w:numFmt w:val="decimal"/>
      <w:lvlText w:val="%1."/>
      <w:lvlJc w:val="left"/>
      <w:pPr>
        <w:ind w:left="540" w:hanging="280"/>
      </w:pPr>
    </w:lvl>
    <w:lvl w:ilvl="1" w:tplc="F2648EB4">
      <w:numFmt w:val="decimal"/>
      <w:lvlText w:val=""/>
      <w:lvlJc w:val="left"/>
    </w:lvl>
    <w:lvl w:ilvl="2" w:tplc="261C4426">
      <w:numFmt w:val="decimal"/>
      <w:lvlText w:val=""/>
      <w:lvlJc w:val="left"/>
    </w:lvl>
    <w:lvl w:ilvl="3" w:tplc="E238174A">
      <w:numFmt w:val="decimal"/>
      <w:lvlText w:val=""/>
      <w:lvlJc w:val="left"/>
    </w:lvl>
    <w:lvl w:ilvl="4" w:tplc="B5E6D8AC">
      <w:numFmt w:val="decimal"/>
      <w:lvlText w:val=""/>
      <w:lvlJc w:val="left"/>
    </w:lvl>
    <w:lvl w:ilvl="5" w:tplc="F9524142">
      <w:numFmt w:val="decimal"/>
      <w:lvlText w:val=""/>
      <w:lvlJc w:val="left"/>
    </w:lvl>
    <w:lvl w:ilvl="6" w:tplc="DC44998E">
      <w:numFmt w:val="decimal"/>
      <w:lvlText w:val=""/>
      <w:lvlJc w:val="left"/>
    </w:lvl>
    <w:lvl w:ilvl="7" w:tplc="885492CE">
      <w:numFmt w:val="decimal"/>
      <w:lvlText w:val=""/>
      <w:lvlJc w:val="left"/>
    </w:lvl>
    <w:lvl w:ilvl="8" w:tplc="8EACE8DE">
      <w:numFmt w:val="decimal"/>
      <w:lvlText w:val=""/>
      <w:lvlJc w:val="left"/>
    </w:lvl>
  </w:abstractNum>
  <w:abstractNum w:abstractNumId="13" w15:restartNumberingAfterBreak="0">
    <w:nsid w:val="5FBB444F"/>
    <w:multiLevelType w:val="hybridMultilevel"/>
    <w:tmpl w:val="97423BD6"/>
    <w:lvl w:ilvl="0" w:tplc="F3CA2478">
      <w:start w:val="1"/>
      <w:numFmt w:val="decimal"/>
      <w:lvlText w:val="%1."/>
      <w:lvlJc w:val="left"/>
      <w:pPr>
        <w:ind w:left="540" w:hanging="280"/>
      </w:pPr>
    </w:lvl>
    <w:lvl w:ilvl="1" w:tplc="65DABEEC">
      <w:numFmt w:val="decimal"/>
      <w:lvlText w:val=""/>
      <w:lvlJc w:val="left"/>
    </w:lvl>
    <w:lvl w:ilvl="2" w:tplc="062C4252">
      <w:numFmt w:val="decimal"/>
      <w:lvlText w:val=""/>
      <w:lvlJc w:val="left"/>
    </w:lvl>
    <w:lvl w:ilvl="3" w:tplc="9904DE82">
      <w:numFmt w:val="decimal"/>
      <w:lvlText w:val=""/>
      <w:lvlJc w:val="left"/>
    </w:lvl>
    <w:lvl w:ilvl="4" w:tplc="AB402124">
      <w:numFmt w:val="decimal"/>
      <w:lvlText w:val=""/>
      <w:lvlJc w:val="left"/>
    </w:lvl>
    <w:lvl w:ilvl="5" w:tplc="A4585CF0">
      <w:numFmt w:val="decimal"/>
      <w:lvlText w:val=""/>
      <w:lvlJc w:val="left"/>
    </w:lvl>
    <w:lvl w:ilvl="6" w:tplc="F0AA4D4C">
      <w:numFmt w:val="decimal"/>
      <w:lvlText w:val=""/>
      <w:lvlJc w:val="left"/>
    </w:lvl>
    <w:lvl w:ilvl="7" w:tplc="B8A2A304">
      <w:numFmt w:val="decimal"/>
      <w:lvlText w:val=""/>
      <w:lvlJc w:val="left"/>
    </w:lvl>
    <w:lvl w:ilvl="8" w:tplc="7012F626">
      <w:numFmt w:val="decimal"/>
      <w:lvlText w:val=""/>
      <w:lvlJc w:val="left"/>
    </w:lvl>
  </w:abstractNum>
  <w:abstractNum w:abstractNumId="14" w15:restartNumberingAfterBreak="0">
    <w:nsid w:val="78B45D50"/>
    <w:multiLevelType w:val="hybridMultilevel"/>
    <w:tmpl w:val="0282ADAE"/>
    <w:lvl w:ilvl="0" w:tplc="790E89DE">
      <w:start w:val="1"/>
      <w:numFmt w:val="decimal"/>
      <w:lvlText w:val="%1."/>
      <w:lvlJc w:val="left"/>
      <w:pPr>
        <w:ind w:left="540" w:hanging="280"/>
      </w:pPr>
    </w:lvl>
    <w:lvl w:ilvl="1" w:tplc="6EDC7C4E">
      <w:numFmt w:val="decimal"/>
      <w:lvlText w:val=""/>
      <w:lvlJc w:val="left"/>
    </w:lvl>
    <w:lvl w:ilvl="2" w:tplc="5256400C">
      <w:numFmt w:val="decimal"/>
      <w:lvlText w:val=""/>
      <w:lvlJc w:val="left"/>
    </w:lvl>
    <w:lvl w:ilvl="3" w:tplc="93C465AA">
      <w:numFmt w:val="decimal"/>
      <w:lvlText w:val=""/>
      <w:lvlJc w:val="left"/>
    </w:lvl>
    <w:lvl w:ilvl="4" w:tplc="955E9FCA">
      <w:numFmt w:val="decimal"/>
      <w:lvlText w:val=""/>
      <w:lvlJc w:val="left"/>
    </w:lvl>
    <w:lvl w:ilvl="5" w:tplc="732498FE">
      <w:numFmt w:val="decimal"/>
      <w:lvlText w:val=""/>
      <w:lvlJc w:val="left"/>
    </w:lvl>
    <w:lvl w:ilvl="6" w:tplc="F4FE792A">
      <w:numFmt w:val="decimal"/>
      <w:lvlText w:val=""/>
      <w:lvlJc w:val="left"/>
    </w:lvl>
    <w:lvl w:ilvl="7" w:tplc="AF087496">
      <w:numFmt w:val="decimal"/>
      <w:lvlText w:val=""/>
      <w:lvlJc w:val="left"/>
    </w:lvl>
    <w:lvl w:ilvl="8" w:tplc="36D03A7A">
      <w:numFmt w:val="decimal"/>
      <w:lvlText w:val=""/>
      <w:lvlJc w:val="left"/>
    </w:lvl>
  </w:abstractNum>
  <w:num w:numId="1" w16cid:durableId="16582212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EDC"/>
    <w:rsid w:val="00022EDC"/>
    <w:rsid w:val="008E2B31"/>
    <w:rsid w:val="00CE1C84"/>
    <w:rsid w:val="00D92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2C36F"/>
  <w15:docId w15:val="{A5D76600-7F67-4517-A477-56BD5630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2B49"/>
      <w:sz w:val="34"/>
      <w:szCs w:val="34"/>
    </w:rPr>
  </w:style>
  <w:style w:type="paragraph" w:styleId="Heading2">
    <w:name w:val="heading 2"/>
    <w:uiPriority w:val="9"/>
    <w:unhideWhenUsed/>
    <w:qFormat/>
    <w:pPr>
      <w:spacing w:before="240" w:after="110"/>
      <w:outlineLvl w:val="1"/>
    </w:pPr>
    <w:rPr>
      <w:b/>
      <w:bCs/>
      <w:color w:val="0B6B62"/>
      <w:sz w:val="26"/>
      <w:szCs w:val="26"/>
    </w:rPr>
  </w:style>
  <w:style w:type="paragraph" w:styleId="Heading3">
    <w:name w:val="heading 3"/>
    <w:uiPriority w:val="9"/>
    <w:unhideWhenUsed/>
    <w:qFormat/>
    <w:pPr>
      <w:spacing w:before="180" w:after="80"/>
      <w:outlineLvl w:val="2"/>
    </w:pPr>
    <w:rPr>
      <w:b/>
      <w:bCs/>
      <w:color w:val="1A2B4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1230</Words>
  <Characters>7011</Characters>
  <Application>Microsoft Office Word</Application>
  <DocSecurity>0</DocSecurity>
  <Lines>58</Lines>
  <Paragraphs>16</Paragraphs>
  <ScaleCrop>false</ScaleCrop>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Kannan Kuppusamy</dc:creator>
  <cp:lastModifiedBy>Kannan Kuppusamy</cp:lastModifiedBy>
  <cp:revision>2</cp:revision>
  <dcterms:created xsi:type="dcterms:W3CDTF">2026-07-29T11:15:00Z</dcterms:created>
  <dcterms:modified xsi:type="dcterms:W3CDTF">2026-07-29T11:15:00Z</dcterms:modified>
</cp:coreProperties>
</file>