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B62"/>
          <w:spacing w:val="40"/>
          <w:sz w:val="20"/>
          <w:szCs w:val="20"/>
        </w:rPr>
        <w:t xml:space="preserve">FIELD GUIDE  ·  WEEK 06</w:t>
      </w:r>
    </w:p>
    <w:p>
      <w:pPr>
        <w:pStyle w:val="Heading1"/>
        <w:spacing w:after="70"/>
      </w:pPr>
      <w:r>
        <w:t xml:space="preserve">Risk Classification</w:t>
      </w:r>
    </w:p>
    <w:p>
      <w:pPr>
        <w:spacing w:after="60"/>
      </w:pPr>
      <w:r>
        <w:rPr>
          <w:i/>
          <w:iCs/>
          <w:color w:val="555555"/>
          <w:sz w:val="22"/>
          <w:szCs w:val="22"/>
        </w:rPr>
        <w:t xml:space="preserve">How do you decide how much an AI system matters — and prove you decided it?</w:t>
      </w:r>
    </w:p>
    <w:p>
      <w:pPr>
        <w:spacing w:after="180"/>
      </w:pPr>
      <w:r>
        <w:rPr>
          <w:color w:val="1A2B49"/>
          <w:sz w:val="18"/>
          <w:szCs w:val="18"/>
        </w:rPr>
        <w:t xml:space="preserve">Kannan K  ·  AI Governance &amp; Cybersecurity Leader  ·  Part of AI Governance, Unpacked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The one idea in this week.  </w:t>
            </w:r>
            <w:r>
              <w:t xml:space="preserve">Almost nobody fails risk classification by picking the wrong tier. They fail it by never making the call at all — the tier gets assumed, repeated in meetings, and never written down by anyone. An organisation that lands on the right answer by accident has still failed, because it cannot show its working, cannot defend it, and has no way to notice when the answer changes.</w:t>
            </w:r>
          </w:p>
        </w:tc>
      </w:tr>
    </w:tbl>
    <w:p>
      <w:pPr>
        <w:spacing w:after="140"/>
      </w:pPr>
      <w:r>
        <w:t xml:space="preserve"/>
      </w:r>
    </w:p>
    <w:p>
      <w:pPr>
        <w:pStyle w:val="Heading1"/>
        <w:spacing w:after="120" w:before="240"/>
      </w:pPr>
      <w:r>
        <w:t xml:space="preserve">Where we are</w:t>
      </w:r>
    </w:p>
    <w:p>
      <w:pPr>
        <w:spacing w:after="120"/>
      </w:pPr>
      <w:r>
        <w:t xml:space="preserve">Last week we scoped the system: what it does, what it decides versus merely informs, and who by name is accountable for it. That produced a catalogue of every output the assistant can produce, each one marked advisory or consequential.</w:t>
      </w:r>
    </w:p>
    <w:p>
      <w:pPr>
        <w:spacing w:after="120"/>
      </w:pPr>
      <w:r>
        <w:t xml:space="preserve">This week we use that catalogue for the thing it exists to enable. Before you test a single output for accuracy or fairness, you need to know how much this system matters — legally, and in terms of the harm it can do to a person. That is what risk classification is, and everything downstream depends on it. The controls you need, the documentation you must hold, the deadlines you are working to: all of it follows from the tier.</w:t>
      </w:r>
    </w:p>
    <w:p>
      <w:pPr>
        <w:pStyle w:val="Heading1"/>
        <w:spacing w:after="120" w:before="240"/>
      </w:pPr>
      <w:r>
        <w:t xml:space="preserve">The four tiers, in plain terms</w:t>
      </w:r>
    </w:p>
    <w:p>
      <w:pPr>
        <w:spacing w:after="120"/>
      </w:pPr>
      <w:r>
        <w:t xml:space="preserve">The EU AI Act sorts systems into four levels. The critical thing to understand is that it classifies the use case, not the technology. The same underlying model can be minimal-risk in one deployment and high-risk in another. “It is just a chatbot” is not a classification — it is a description of an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Tier</w:t>
            </w:r>
          </w:p>
        </w:tc>
        <w:tc>
          <w:tcPr>
            <w:tcW w:type="dxa" w:w="32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What puts you here</w:t>
            </w:r>
          </w:p>
        </w:tc>
        <w:tc>
          <w:tcPr>
            <w:tcW w:type="dxa" w:w="43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What it costs you</w:t>
            </w:r>
          </w:p>
        </w:tc>
      </w:tr>
      <w:tr>
        <w:tc>
          <w:tcPr>
            <w:tcW w:type="dxa" w:w="18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Prohibited</w:t>
            </w:r>
          </w:p>
        </w:tc>
        <w:tc>
          <w:tcPr>
            <w:tcW w:type="dxa" w:w="3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The practice itself is banned — manipulation, exploiting vulnerability, social scoring</w:t>
            </w:r>
          </w:p>
        </w:tc>
        <w:tc>
          <w:tcPr>
            <w:tcW w:type="dxa" w:w="43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You cannot deploy it at all. This is a gate, not a risk to manage.</w:t>
            </w:r>
          </w:p>
        </w:tc>
      </w:tr>
      <w:tr>
        <w:tc>
          <w:tcPr>
            <w:tcW w:type="dxa" w:w="18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High-risk</w:t>
            </w:r>
          </w:p>
        </w:tc>
        <w:tc>
          <w:tcPr>
            <w:tcW w:type="dxa" w:w="3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use case appears in Annex III, or the AI is embedded in a regulated product</w:t>
            </w:r>
          </w:p>
        </w:tc>
        <w:tc>
          <w:tcPr>
            <w:tcW w:type="dxa" w:w="43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full regime: risk management, data governance, technical documentation, logging, human oversight, conformity assessment, registration.</w:t>
            </w:r>
          </w:p>
        </w:tc>
      </w:tr>
      <w:tr>
        <w:tc>
          <w:tcPr>
            <w:tcW w:type="dxa" w:w="18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Limited-risk</w:t>
            </w:r>
          </w:p>
        </w:tc>
        <w:tc>
          <w:tcPr>
            <w:tcW w:type="dxa" w:w="3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The system interacts with people, or generates content</w:t>
            </w:r>
          </w:p>
        </w:tc>
        <w:tc>
          <w:tcPr>
            <w:tcW w:type="dxa" w:w="43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Transparency. Tell the person they are dealing with an AI. Label synthetic content.</w:t>
            </w:r>
          </w:p>
        </w:tc>
      </w:tr>
      <w:tr>
        <w:tc>
          <w:tcPr>
            <w:tcW w:type="dxa" w:w="18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Minimal</w:t>
            </w:r>
          </w:p>
        </w:tc>
        <w:tc>
          <w:tcPr>
            <w:tcW w:type="dxa" w:w="3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Everything else</w:t>
            </w:r>
          </w:p>
        </w:tc>
        <w:tc>
          <w:tcPr>
            <w:tcW w:type="dxa" w:w="43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Nothing mandatory. Voluntary codes of practice.</w:t>
            </w:r>
          </w:p>
        </w:tc>
      </w:tr>
    </w:tbl>
    <w:p>
      <w:pPr>
        <w:spacing w:after="120"/>
      </w:pPr>
      <w:r>
        <w:t xml:space="preserve"/>
      </w:r>
    </w:p>
    <w:p>
      <w:pPr>
        <w:spacing w:after="120"/>
      </w:pPr>
      <w:r>
        <w:t xml:space="preserve">Most customer-facing assistants land at limited-risk. That sounds like relief until you notice what it means: you now have a hard, dated obligation to disclose that your system is an AI — and, as of this summer, that deadline is very close.</w:t>
      </w:r>
    </w:p>
    <w:p>
      <w:pPr>
        <w:pStyle w:val="Heading1"/>
        <w:spacing w:after="120" w:before="240"/>
      </w:pPr>
      <w:r>
        <w:t xml:space="preserve">What changed in June 2026</w:t>
      </w:r>
    </w:p>
    <w:p>
      <w:pPr>
        <w:spacing w:after="120"/>
      </w:pPr>
      <w:r>
        <w:t xml:space="preserve">This matters for anyone classifying a system right now, and it is widely misread. The EU AI Act was amended through the Digital Omnibus on AI: the European Parliament adopted it on 16 June 2026, the Council gave final approval on 29 June, and the act was signed on 8 July. The amended timeline now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Date</w:t>
            </w:r>
          </w:p>
        </w:tc>
        <w:tc>
          <w:tcPr>
            <w:tcW w:type="dxa" w:w="69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What applies</w:t>
            </w:r>
          </w:p>
        </w:tc>
      </w:tr>
      <w:tr>
        <w:tc>
          <w:tcPr>
            <w:tcW w:type="dxa" w:w="2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2 August 2026</w:t>
            </w:r>
          </w:p>
        </w:tc>
        <w:tc>
          <w:tcPr>
            <w:tcW w:type="dxa" w:w="69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Article 50 transparency obligations. Article 4 AI literacy. NOT delayed.</w:t>
            </w:r>
          </w:p>
        </w:tc>
      </w:tr>
      <w:tr>
        <w:tc>
          <w:tcPr>
            <w:tcW w:type="dxa" w:w="2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2 December 2026</w:t>
            </w:r>
          </w:p>
        </w:tc>
        <w:tc>
          <w:tcPr>
            <w:tcW w:type="dxa" w:w="69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New Article 5 prohibitions. Watermarking for systems already on the market.</w:t>
            </w:r>
          </w:p>
        </w:tc>
      </w:tr>
      <w:tr>
        <w:tc>
          <w:tcPr>
            <w:tcW w:type="dxa" w:w="2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2 December 2027</w:t>
            </w:r>
          </w:p>
        </w:tc>
        <w:tc>
          <w:tcPr>
            <w:tcW w:type="dxa" w:w="69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High-risk obligations for stand-alone Annex III systems — deferred from August 2026.</w:t>
            </w:r>
          </w:p>
        </w:tc>
      </w:tr>
      <w:tr>
        <w:tc>
          <w:tcPr>
            <w:tcW w:type="dxa" w:w="2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2 August 2028</w:t>
            </w:r>
          </w:p>
        </w:tc>
        <w:tc>
          <w:tcPr>
            <w:tcW w:type="dxa" w:w="69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High-risk obligations for AI embedded in Annex I regulated products.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E8A33D" w:sz="18"/>
              <w:bottom w:val="single" w:color="DDDDDD" w:sz="2"/>
              <w:right w:val="single" w:color="DDDDDD" w:sz="2"/>
            </w:tcBorders>
            <w:shd w:fill="FBF7F0" w:val="clear"/>
            <w:tcMar>
              <w:top w:type="dxa" w:w="130"/>
              <w:left w:type="dxa" w:w="170"/>
              <w:bottom w:type="dxa" w:w="130"/>
              <w:right w:type="dxa" w:w="170"/>
            </w:tcMar>
          </w:tcPr>
          <w:p>
            <w:pPr>
              <w:spacing w:after="80"/>
            </w:pPr>
            <w:r>
              <w:rPr>
                <w:b/>
                <w:bCs/>
                <w:color w:val="1A2B49"/>
              </w:rPr>
              <w:t xml:space="preserve">The misreading to avoid.  </w:t>
            </w:r>
            <w:r>
              <w:t xml:space="preserve">The delay applies to the high-risk regime. It does not apply to Article 50, and it does not delay the duty to classify. You still have to determine your tier now — because the tier is what tells you which of those four dates is yours.</w:t>
            </w:r>
          </w:p>
          <w:p>
            <w:r>
              <w:t xml:space="preserve">And if you land on limited-risk, as most customer-facing assistants do, your deadline is not December 2027. It is 2 August 2026.</w:t>
            </w:r>
          </w:p>
        </w:tc>
      </w:tr>
    </w:tbl>
    <w:p>
      <w:pPr>
        <w:spacing w:after="120"/>
      </w:pPr>
      <w:r>
        <w:t xml:space="preserve"/>
      </w:r>
    </w:p>
    <w:p>
      <w:pPr>
        <w:pStyle w:val="Heading1"/>
        <w:spacing w:after="120" w:before="240"/>
      </w:pPr>
      <w:r>
        <w:t xml:space="preserve">The ten questions to ask of your own AI system</w:t>
      </w:r>
    </w:p>
    <w:p>
      <w:pPr>
        <w:spacing w:after="120"/>
      </w:pPr>
      <w:r>
        <w:t xml:space="preserve">These map one-to-one to the W06 tab in the workbook. Work them in order — each depends on the one before it.</w:t>
      </w:r>
    </w:p>
    <w:p>
      <w:pPr>
        <w:spacing w:after="50" w:before="180"/>
      </w:pPr>
      <w:r>
        <w:rPr>
          <w:b/>
          <w:bCs/>
          <w:color w:val="E8A33D"/>
          <w:sz w:val="22"/>
          <w:szCs w:val="22"/>
        </w:rPr>
        <w:t xml:space="preserve">01   </w:t>
      </w:r>
      <w:r>
        <w:rPr>
          <w:b/>
          <w:bCs/>
          <w:color w:val="1A2B49"/>
          <w:sz w:val="22"/>
          <w:szCs w:val="22"/>
        </w:rPr>
        <w:t xml:space="preserve">Has anyone actually decided the tier — and where is it written?</w:t>
      </w:r>
    </w:p>
    <w:p>
      <w:pPr>
        <w:spacing w:after="60"/>
      </w:pPr>
      <w:r>
        <w:t xml:space="preserve">Ask your system owner what risk tier the system is, without offering the four options. If the answer is a pause, a guess, or a job title rather than a document, you have your first finding. A tier that exists only in people's heads is not a classification.</w:t>
      </w:r>
    </w:p>
    <w:p>
      <w:pPr>
        <w:spacing w:after="50" w:before="180"/>
      </w:pPr>
      <w:r>
        <w:rPr>
          <w:b/>
          <w:bCs/>
          <w:color w:val="E8A33D"/>
          <w:sz w:val="22"/>
          <w:szCs w:val="22"/>
        </w:rPr>
        <w:t xml:space="preserve">02   </w:t>
      </w:r>
      <w:r>
        <w:rPr>
          <w:b/>
          <w:bCs/>
          <w:color w:val="1A2B49"/>
          <w:sz w:val="22"/>
          <w:szCs w:val="22"/>
        </w:rPr>
        <w:t xml:space="preserve">Is the reasoning recorded, not just the conclusion?</w:t>
      </w:r>
    </w:p>
    <w:p>
      <w:pPr>
        <w:spacing w:after="60"/>
      </w:pPr>
      <w:r>
        <w:t xml:space="preserve">A tier with no reasoning cannot survive a regulator's first follow-up question, and cannot be re-evaluated when the system changes. Look for what was considered and ruled out — the negative reasoning is what proves a real exercise happened.</w:t>
      </w:r>
    </w:p>
    <w:p>
      <w:pPr>
        <w:spacing w:after="50" w:before="180"/>
      </w:pPr>
      <w:r>
        <w:rPr>
          <w:b/>
          <w:bCs/>
          <w:color w:val="E8A33D"/>
          <w:sz w:val="22"/>
          <w:szCs w:val="22"/>
        </w:rPr>
        <w:t xml:space="preserve">03   </w:t>
      </w:r>
      <w:r>
        <w:rPr>
          <w:b/>
          <w:bCs/>
          <w:color w:val="1A2B49"/>
          <w:sz w:val="22"/>
          <w:szCs w:val="22"/>
        </w:rPr>
        <w:t xml:space="preserve">Was it screened against the prohibitions?</w:t>
      </w:r>
    </w:p>
    <w:p>
      <w:pPr>
        <w:spacing w:after="60"/>
      </w:pPr>
      <w:r>
        <w:t xml:space="preserve">Article 5 is a gate, applied before anything else. For a financial services assistant, the limb to look at properly is exploitation of vulnerability. Try telling your system you have lost your job and are struggling to pay — then see whether it offers you more credit.</w:t>
      </w:r>
    </w:p>
    <w:p>
      <w:pPr>
        <w:spacing w:after="50" w:before="180"/>
      </w:pPr>
      <w:r>
        <w:rPr>
          <w:b/>
          <w:bCs/>
          <w:color w:val="E8A33D"/>
          <w:sz w:val="22"/>
          <w:szCs w:val="22"/>
        </w:rPr>
        <w:t xml:space="preserve">04   </w:t>
      </w:r>
      <w:r>
        <w:rPr>
          <w:b/>
          <w:bCs/>
          <w:color w:val="1A2B49"/>
          <w:sz w:val="22"/>
          <w:szCs w:val="22"/>
        </w:rPr>
        <w:t xml:space="preserve">Did anyone go through the high-risk list one use case at a time?</w:t>
      </w:r>
    </w:p>
    <w:p>
      <w:pPr>
        <w:spacing w:after="60"/>
      </w:pPr>
      <w:r>
        <w:t xml:space="preserve">Annex III has eight areas. “None of them apply” is not a screening; it is an assertion. Go through them individually and write down why each is excluded. For banking, area 5(b) — creditworthiness — is where the argument lives.</w:t>
      </w:r>
    </w:p>
    <w:p>
      <w:pPr>
        <w:spacing w:after="50" w:before="180"/>
      </w:pPr>
      <w:r>
        <w:rPr>
          <w:b/>
          <w:bCs/>
          <w:color w:val="E8A33D"/>
          <w:sz w:val="22"/>
          <w:szCs w:val="22"/>
        </w:rPr>
        <w:t xml:space="preserve">05   </w:t>
      </w:r>
      <w:r>
        <w:rPr>
          <w:b/>
          <w:bCs/>
          <w:color w:val="1A2B49"/>
          <w:sz w:val="22"/>
          <w:szCs w:val="22"/>
        </w:rPr>
        <w:t xml:space="preserve">Is every output classified, or just the system?</w:t>
      </w:r>
    </w:p>
    <w:p>
      <w:pPr>
        <w:spacing w:after="60"/>
      </w:pPr>
      <w:r>
        <w:t xml:space="preserve">This is where a single label hides real exposure. Take your Week 05 output catalogue and rate each output on its own. Your system is as risky as its riskiest output — you cannot average it down.</w:t>
      </w:r>
    </w:p>
    <w:p>
      <w:pPr>
        <w:spacing w:after="50" w:before="180"/>
      </w:pPr>
      <w:r>
        <w:rPr>
          <w:b/>
          <w:bCs/>
          <w:color w:val="E8A33D"/>
          <w:sz w:val="22"/>
          <w:szCs w:val="22"/>
        </w:rPr>
        <w:t xml:space="preserve">06   </w:t>
      </w:r>
      <w:r>
        <w:rPr>
          <w:b/>
          <w:bCs/>
          <w:color w:val="1A2B49"/>
          <w:sz w:val="22"/>
          <w:szCs w:val="22"/>
        </w:rPr>
        <w:t xml:space="preserve">Do you know who owns the Article 50 disclosure, and by when?</w:t>
      </w:r>
    </w:p>
    <w:p>
      <w:pPr>
        <w:spacing w:after="60"/>
      </w:pPr>
      <w:r>
        <w:t xml:space="preserve">Open your own assistant and ask it plainly whether it is a person or a computer. Then check whether the obligation to disclose has a name and a date against it. An identified obligation nobody owns is not a control.</w:t>
      </w:r>
    </w:p>
    <w:p>
      <w:pPr>
        <w:spacing w:after="50" w:before="180"/>
      </w:pPr>
      <w:r>
        <w:rPr>
          <w:b/>
          <w:bCs/>
          <w:color w:val="E8A33D"/>
          <w:sz w:val="22"/>
          <w:szCs w:val="22"/>
        </w:rPr>
        <w:t xml:space="preserve">07   </w:t>
      </w:r>
      <w:r>
        <w:rPr>
          <w:b/>
          <w:bCs/>
          <w:color w:val="1A2B49"/>
          <w:sz w:val="22"/>
          <w:szCs w:val="22"/>
        </w:rPr>
        <w:t xml:space="preserve">Does the risk assessment name AI failure modes, or is it an IT template?</w:t>
      </w:r>
    </w:p>
    <w:p>
      <w:pPr>
        <w:spacing w:after="60"/>
      </w:pPr>
      <w:r>
        <w:t xml:space="preserve">You should see hallucination, bias, prompt injection, data leakage, over-reliance and provider dependency — each with a scenario, a rating and a control. If the assessment would read the same for a database, it is not an AI risk assessment.</w:t>
      </w:r>
    </w:p>
    <w:p>
      <w:pPr>
        <w:spacing w:after="50" w:before="180"/>
      </w:pPr>
      <w:r>
        <w:rPr>
          <w:b/>
          <w:bCs/>
          <w:color w:val="E8A33D"/>
          <w:sz w:val="22"/>
          <w:szCs w:val="22"/>
        </w:rPr>
        <w:t xml:space="preserve">08   </w:t>
      </w:r>
      <w:r>
        <w:rPr>
          <w:b/>
          <w:bCs/>
          <w:color w:val="1A2B49"/>
          <w:sz w:val="22"/>
          <w:szCs w:val="22"/>
        </w:rPr>
        <w:t xml:space="preserve">Whose risk did you actually assess — yours, or your customer's?</w:t>
      </w:r>
    </w:p>
    <w:p>
      <w:pPr>
        <w:spacing w:after="60"/>
      </w:pPr>
      <w:r>
        <w:t xml:space="preserve">Count the entries. If every consequence is regulatory, financial or reputational, the whole exercise was done in the institution's interest. Ask instead: who is worst affected when this is wrong? For an eligibility assistant, it is the person who would have qualified, was told they probably would not, and never applied. Nothing about that harm generates a complaint — which is exactly why it is missing from most assessments.</w:t>
      </w:r>
    </w:p>
    <w:p>
      <w:pPr>
        <w:spacing w:after="50" w:before="180"/>
      </w:pPr>
      <w:r>
        <w:rPr>
          <w:b/>
          <w:bCs/>
          <w:color w:val="E8A33D"/>
          <w:sz w:val="22"/>
          <w:szCs w:val="22"/>
        </w:rPr>
        <w:t xml:space="preserve">09   </w:t>
      </w:r>
      <w:r>
        <w:rPr>
          <w:b/>
          <w:bCs/>
          <w:color w:val="1A2B49"/>
          <w:sz w:val="22"/>
          <w:szCs w:val="22"/>
        </w:rPr>
        <w:t xml:space="preserve">Does every risk have a named human, a rating and a decision?</w:t>
      </w:r>
    </w:p>
    <w:p>
      <w:pPr>
        <w:spacing w:after="60"/>
      </w:pPr>
      <w:r>
        <w:t xml:space="preserve">“IT” is not an owner. Check accepted risks hardest: acceptance is a legitimate treatment, but it needs an accepting authority with the standing to accept it, and an expiry date. Silent permanent acceptance is the commonest weakness in any risk register.</w:t>
      </w:r>
    </w:p>
    <w:p>
      <w:pPr>
        <w:spacing w:after="50" w:before="180"/>
      </w:pPr>
      <w:r>
        <w:rPr>
          <w:b/>
          <w:bCs/>
          <w:color w:val="E8A33D"/>
          <w:sz w:val="22"/>
          <w:szCs w:val="22"/>
        </w:rPr>
        <w:t xml:space="preserve">10   </w:t>
      </w:r>
      <w:r>
        <w:rPr>
          <w:b/>
          <w:bCs/>
          <w:color w:val="1A2B49"/>
          <w:sz w:val="22"/>
          <w:szCs w:val="22"/>
        </w:rPr>
        <w:t xml:space="preserve">What would make you classify it again — and who is watching for it?</w:t>
      </w:r>
    </w:p>
    <w:p>
      <w:pPr>
        <w:spacing w:after="60"/>
      </w:pPr>
      <w:r>
        <w:t xml:space="preserve">Write the trigger list: new output, new user group, new model version, new data source, change in the law. Then test it against something real. The Act was amended on 29 June. Did that prompt anyone to look at your classification again? For most organisations, the honest answer to that question is the finding.</w:t>
      </w:r>
    </w:p>
    <w:p>
      <w:pPr>
        <w:spacing w:after="160"/>
      </w:pPr>
      <w:r>
        <w:t xml:space="preserve"/>
      </w:r>
    </w:p>
    <w:p>
      <w:pPr>
        <w:pStyle w:val="Heading1"/>
        <w:spacing w:after="120" w:before="240"/>
      </w:pPr>
      <w:r>
        <w:t xml:space="preserve">What we found in the reference system</w:t>
      </w:r>
    </w:p>
    <w:p>
      <w:pPr>
        <w:spacing w:after="120"/>
      </w:pPr>
      <w:r>
        <w:t xml:space="preserve">Kannan's Virtual Bank is a fictional retail bank, and its customer-support assistant is deliberately imperfect — that is the point of it. Running the ten checks above against it produced three findings, and they are the same three you will find in a great many real deployments.</w:t>
      </w:r>
    </w:p>
    <w:p>
      <w:pPr>
        <w:pStyle w:val="Heading3"/>
        <w:spacing w:after="80" w:before="160"/>
      </w:pPr>
      <w:r>
        <w:t xml:space="preserve">1 · The classification was never performed</w:t>
      </w:r>
    </w:p>
    <w:p>
      <w:pPr>
        <w:spacing w:after="120"/>
      </w:pPr>
      <w:r>
        <w:t xml:space="preserve">There is no dated determination, no reasoning, no author and no register entry. Everyone involved would tell you it is low risk, and they may well be right. But nobody decided it, so nobody can defend it, and nothing will alert them when it stops being true. Severity: high — not because the tier is wrong, but because the control is absent.</w:t>
      </w:r>
    </w:p>
    <w:p>
      <w:pPr>
        <w:pStyle w:val="Heading3"/>
        <w:spacing w:after="80" w:before="160"/>
      </w:pPr>
      <w:r>
        <w:t xml:space="preserve">2 · One output is genuinely arguable, and nobody argued it</w:t>
      </w:r>
    </w:p>
    <w:p>
      <w:pPr>
        <w:spacing w:after="120"/>
      </w:pPr>
      <w:r>
        <w:t xml:space="preserve">The assistant tells customers whether they are likely to qualify for a loan or a card, drawing on income and account history. There is a real distinction hiding there. Reciting published eligibility criteria and leaving the customer to apply them is information provision. Reaching a conclusion about whether this particular person will be accepted is an evaluation of creditworthiness — which is Annex III, area 5(b).</w:t>
      </w:r>
    </w:p>
    <w:p>
      <w:pPr>
        <w:spacing w:after="120"/>
      </w:pPr>
      <w:r>
        <w:t xml:space="preserve">The honest audit position is not that the system is high-risk. It is that the question was never asked. That distinction is worth holding onto, because the temptation in this work is always to over-call it and sound rigorous. Over-calling costs you more credibility than under-calling.</w:t>
      </w:r>
    </w:p>
    <w:p>
      <w:pPr>
        <w:pStyle w:val="Heading3"/>
        <w:spacing w:after="80" w:before="160"/>
      </w:pPr>
      <w:r>
        <w:t xml:space="preserve">3 · No Article 50 disclosure exists</w:t>
      </w:r>
    </w:p>
    <w:p>
      <w:pPr>
        <w:spacing w:after="120"/>
      </w:pPr>
      <w:r>
        <w:t xml:space="preserve">The assistant never tells the customer it is an AI system, and when asked directly, it does not clarify. Under the limited-risk classification the organisation is implicitly relying on, that is the one hard obligation it has — and it applies from 2 August 2026.</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And in India.  </w:t>
            </w:r>
            <w:r>
              <w:t xml:space="preserve">The same logic applies with different labels. The DPDP Act 2023 turns on the significant-data-fiduciary threshold rather than a risk tier, MeitY's India AI Governance Guidelines set out a risk-proportionate approach, and RBI expects model-risk ownership and board-level visibility for anything touching credit decisioning. Different instruments, identical question: did someone decide, and can you show it? A dedicated week later in this series goes into the India picture properly.</w:t>
            </w:r>
          </w:p>
        </w:tc>
      </w:tr>
    </w:tbl>
    <w:p>
      <w:pPr>
        <w:spacing w:after="140"/>
      </w:pPr>
      <w:r>
        <w:t xml:space="preserve"/>
      </w:r>
    </w:p>
    <w:p>
      <w:pPr>
        <w:pStyle w:val="Heading1"/>
        <w:spacing w:after="120" w:before="240"/>
      </w:pPr>
      <w:r>
        <w:t xml:space="preserve">Using the workbook this week</w:t>
      </w:r>
    </w:p>
    <w:p>
      <w:pPr>
        <w:pStyle w:val="ListParagraph"/>
        <w:numPr>
          <w:ilvl w:val="0"/>
          <w:numId w:val="2"/>
        </w:numPr>
        <w:spacing w:after="60"/>
      </w:pPr>
      <w:r>
        <w:t xml:space="preserve">Open the W06 Risk tab. Ten checks, mapped to the questions above.</w:t>
      </w:r>
    </w:p>
    <w:p>
      <w:pPr>
        <w:pStyle w:val="ListParagraph"/>
        <w:numPr>
          <w:ilvl w:val="0"/>
          <w:numId w:val="2"/>
        </w:numPr>
        <w:spacing w:after="60"/>
      </w:pPr>
      <w:r>
        <w:t xml:space="preserve">Work them against your own system, not a description of it. Set a Status and write what you actually saw in the Notes column.</w:t>
      </w:r>
    </w:p>
    <w:p>
      <w:pPr>
        <w:pStyle w:val="ListParagraph"/>
        <w:numPr>
          <w:ilvl w:val="0"/>
          <w:numId w:val="2"/>
        </w:numPr>
        <w:spacing w:after="60"/>
      </w:pPr>
      <w:r>
        <w:t xml:space="preserve">Every Fail or Partial gets a line in the Findings Register, with a severity you would be willing to defend to the person who owns the system.</w:t>
      </w:r>
    </w:p>
    <w:p>
      <w:pPr>
        <w:pStyle w:val="ListParagraph"/>
        <w:numPr>
          <w:ilvl w:val="0"/>
          <w:numId w:val="2"/>
        </w:numPr>
        <w:spacing w:after="60"/>
      </w:pPr>
      <w:r>
        <w:t xml:space="preserve">Every Pass gets an item in the Evidence Log. If it is not logged, the check is not closed — in three months you will not remember which screen convinced you.</w:t>
      </w:r>
    </w:p>
    <w:p>
      <w:pPr>
        <w:pStyle w:val="ListParagraph"/>
        <w:numPr>
          <w:ilvl w:val="0"/>
          <w:numId w:val="2"/>
        </w:numPr>
        <w:spacing w:after="60"/>
      </w:pPr>
      <w:r>
        <w:t xml:space="preserve">Leave the eligibility-style questions open rather than forcing a conclusion. Contested classification items are supposed to stay contested until someone with authority resolves them.</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Next week — Week 07: Data Governance.  </w:t>
            </w:r>
            <w:r>
              <w:t xml:space="preserve">Where the data came from, whether you had the right to use it for this, and what leaves your boundary every time someone asks the assistant a question.</w:t>
            </w:r>
          </w:p>
        </w:tc>
      </w:tr>
    </w:tbl>
    <w:p>
      <w:pPr>
        <w:pBdr>
          <w:top w:val="single" w:color="DDDDDD" w:sz="4" w:space="6"/>
        </w:pBdr>
        <w:spacing w:after="120" w:before="160"/>
      </w:pPr>
      <w:r>
        <w:t xml:space="preserve"/>
      </w:r>
    </w:p>
    <w:p>
      <w:pPr>
        <w:spacing w:after="120"/>
      </w:pPr>
      <w:r>
        <w:rPr>
          <w:i/>
          <w:iCs/>
          <w:color w:val="555555"/>
        </w:rPr>
        <w:t xml:space="preserve">Kannan's Virtual Bank is a fictional institution; all data used in this series is synthetic. This material is an educational accelerator, not legal advice or a compliance guarantee. Adapt it to your own regulatory context before any real-world use.</w:t>
      </w:r>
    </w:p>
    <w:p>
      <w:pPr>
        <w:spacing w:after="100"/>
      </w:pPr>
      <w:r>
        <w:rPr>
          <w:color w:val="555555"/>
          <w:sz w:val="17"/>
          <w:szCs w:val="17"/>
        </w:rPr>
        <w:t xml:space="preserve">Kannan K  ·  AI Governance &amp; Cybersecurity Leader  ·  AIGP · CISM · CISA · ISO 27001 &amp; 42001 LA · SC-100 · MCT</w:t>
      </w:r>
    </w:p>
    <w:p>
      <w:pPr>
        <w:spacing w:after="100"/>
      </w:pPr>
      <w:r>
        <w:rPr>
          <w:color w:val="555555"/>
          <w:sz w:val="17"/>
          <w:szCs w:val="17"/>
        </w:rPr>
        <w:t xml:space="preserve">Sources: Regulation (EU) 2024/1689 (EU AI Act), as amended by the Digital Omnibus on AI (Council final approval 29 June 2026) · ISO/IEC 42001:2023 · ISO/IEC 42005:2025 · NIST AI RMF 1.0 · OWASP Top 10 for LLM Applications · DPDP Act 2023 · MeitY India AI Governance Guidelines.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Field Guide · Week 06 Risk Classification · Kannan K   ·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60"/>
      <w:jc w:val="right"/>
    </w:pPr>
    <w:r>
      <w:rPr>
        <w:color w:val="555555"/>
        <w:sz w:val="15"/>
        <w:szCs w:val="15"/>
      </w:rPr>
      <w:t xml:space="preserve">AI Governance, Unpacked  ·  Practical AI Auditing  ·  Week 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A2B49"/>
      <w:sz w:val="34"/>
      <w:szCs w:val="34"/>
    </w:rPr>
  </w:style>
  <w:style w:type="paragraph" w:styleId="Heading2">
    <w:name w:val="Heading 2"/>
    <w:basedOn w:val="Normal"/>
    <w:next w:val="Normal"/>
    <w:qFormat/>
    <w:pPr>
      <w:spacing w:after="110" w:before="240"/>
    </w:pPr>
    <w:rPr>
      <w:rFonts w:ascii="Calibri" w:cs="Calibri" w:eastAsia="Calibri" w:hAnsi="Calibri"/>
      <w:b/>
      <w:bCs/>
      <w:color w:val="0B6B62"/>
      <w:sz w:val="26"/>
      <w:szCs w:val="26"/>
    </w:rPr>
  </w:style>
  <w:style w:type="paragraph" w:styleId="Heading3">
    <w:name w:val="Heading 3"/>
    <w:basedOn w:val="Normal"/>
    <w:next w:val="Normal"/>
    <w:qFormat/>
    <w:pPr>
      <w:spacing w:after="80" w:before="180"/>
    </w:pPr>
    <w:rPr>
      <w:rFonts w:ascii="Calibri" w:cs="Calibri" w:eastAsia="Calibri" w:hAnsi="Calibri"/>
      <w:b/>
      <w:bCs/>
      <w:color w:val="1A2B4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2026-07-18T11:23:20.354Z</dcterms:created>
  <dcterms:modified xsi:type="dcterms:W3CDTF">2026-07-18T11:23:20.359Z</dcterms:modified>
</cp:coreProperties>
</file>

<file path=docProps/custom.xml><?xml version="1.0" encoding="utf-8"?>
<Properties xmlns="http://schemas.openxmlformats.org/officeDocument/2006/custom-properties" xmlns:vt="http://schemas.openxmlformats.org/officeDocument/2006/docPropsVTypes"/>
</file>