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z w:val="20"/>
          <w:szCs w:val="20"/>
        </w:rPr>
        <w:t xml:space="preserve">PRACTICAL AI AUDITING · WEEK 05</w:t>
      </w:r>
    </w:p>
    <w:p>
      <w:pPr>
        <w:pStyle w:val="Heading1"/>
        <w:spacing w:after="60"/>
      </w:pPr>
      <w:r>
        <w:t xml:space="preserve">Scope &amp; System Inventory</w:t>
      </w:r>
    </w:p>
    <w:p>
      <w:pPr>
        <w:spacing w:after="40"/>
      </w:pPr>
      <w:r>
        <w:rPr>
          <w:i/>
          <w:iCs/>
          <w:color w:val="555555"/>
        </w:rPr>
        <w:t xml:space="preserve">The AI Audit Field Guide — where every audit has to start</w:t>
      </w:r>
    </w:p>
    <w:p>
      <w:pPr>
        <w:spacing w:after="150"/>
      </w:pPr>
      <w:r>
        <w:rPr>
          <w:color w:val="1A2B49"/>
          <w:sz w:val="18"/>
          <w:szCs w:val="18"/>
        </w:rPr>
        <w:t xml:space="preserve">Kannan K · AI Governance &amp; Cybersecurity Leader</w:t>
      </w:r>
    </w:p>
    <w:p>
      <w:pPr>
        <w:pStyle w:val="Heading2"/>
      </w:pPr>
      <w:r>
        <w:t xml:space="preserve">From theory to the ground</w:t>
      </w:r>
    </w:p>
    <w:p>
      <w:pPr>
        <w:spacing w:after="120"/>
      </w:pPr>
      <w:r>
        <w:t xml:space="preserve">For four weeks we covered the concepts: what AI governance is, how it differs from ethics and security, the regulatory map, and who owns the risk. Now we put our hands on a real system and actually audit it.</w:t>
      </w:r>
    </w:p>
    <w:p>
      <w:pPr>
        <w:spacing w:after="120"/>
      </w:pPr>
      <w:r>
        <w:t xml:space="preserve">The system under audit is deliberately ordinary: a customer-support assistant for a fictional retail bank, “Kannan's Virtual Bank,” running on entirely synthetic data. It answers balance and transaction questions, helps with card blocks and disputes, and — the interesting part — tells customers whether they're eligible for cards and loans. It's the kind of AI system quietly going live in banks everywhere. Over the next twelve weeks we audit it end to end, one domain a week.</w:t>
      </w:r>
    </w:p>
    <w:p>
      <w:pPr>
        <w:pStyle w:val="Heading2"/>
      </w:pPr>
      <w:r>
        <w:t xml:space="preserve">Why start with scope?</w:t>
      </w:r>
    </w:p>
    <w:p>
      <w:pPr>
        <w:spacing w:after="120"/>
      </w:pPr>
      <w:r>
        <w:t xml:space="preserve">Because you can't audit what you haven't defined. Before you test a single output for accuracy, bias or security, you have to be able to say what the system is, what it decides, and who answers for it. Most AI systems fail this first step — they “work,” but no one can tell you their purpose, their owner, or where they're recorded. Scope is the foundation the other eleven domains stand on.</w:t>
      </w:r>
    </w:p>
    <w:p>
      <w:pPr>
        <w:pStyle w:val="Heading2"/>
      </w:pPr>
      <w:r>
        <w:t xml:space="preserve">The ten questions — ask these of your own AI system</w:t>
      </w:r>
    </w:p>
    <w:p>
      <w:pPr>
        <w:spacing w:after="140"/>
      </w:pPr>
      <w:r>
        <w:t xml:space="preserve">This is the Scope &amp; System Inventory checklist, framed for your own systems. Each pairs with a row in the Week 05 tab of the AI Audit Accelerator workbook.</w:t>
      </w:r>
    </w:p>
    <w:p>
      <w:pPr>
        <w:spacing w:after="20" w:before="110"/>
      </w:pPr>
      <w:r>
        <w:rPr>
          <w:b/>
          <w:bCs/>
          <w:color w:val="1A2B49"/>
          <w:sz w:val="22"/>
          <w:szCs w:val="22"/>
        </w:rPr>
        <w:t xml:space="preserve">1.  Is the system's purpose written down?</w:t>
      </w:r>
    </w:p>
    <w:p>
      <w:pPr>
        <w:spacing w:after="16"/>
      </w:pPr>
      <w:r>
        <w:rPr>
          <w:b/>
          <w:bCs/>
          <w:color w:val="0B6B62"/>
        </w:rPr>
        <w:t xml:space="preserve">Why it matters.  </w:t>
      </w:r>
      <w:r>
        <w:t xml:space="preserve">A purpose buried in a prompt or someone's head isn't governable. An auditor, a regulator or a board should be able to read what it does and doesn't do.</w:t>
      </w:r>
    </w:p>
    <w:p>
      <w:pPr>
        <w:spacing w:after="40"/>
      </w:pPr>
      <w:r>
        <w:rPr>
          <w:b/>
          <w:bCs/>
          <w:color w:val="0B6B62"/>
        </w:rPr>
        <w:t xml:space="preserve">What good looks like.  </w:t>
      </w:r>
      <w:r>
        <w:t xml:space="preserve">A one-page description: purpose, in-scope tasks, out-of-scope, intended users — owned and dated.</w:t>
      </w:r>
    </w:p>
    <w:p>
      <w:pPr>
        <w:spacing w:after="20" w:before="110"/>
      </w:pPr>
      <w:r>
        <w:rPr>
          <w:b/>
          <w:bCs/>
          <w:color w:val="1A2B49"/>
          <w:sz w:val="22"/>
          <w:szCs w:val="22"/>
        </w:rPr>
        <w:t xml:space="preserve">2.  Can you name one accountable owner?</w:t>
      </w:r>
    </w:p>
    <w:p>
      <w:pPr>
        <w:spacing w:after="16"/>
      </w:pPr>
      <w:r>
        <w:rPr>
          <w:b/>
          <w:bCs/>
          <w:color w:val="0B6B62"/>
        </w:rPr>
        <w:t xml:space="preserve">Why it matters.  </w:t>
      </w:r>
      <w:r>
        <w:t xml:space="preserve">“The AI did it” starts when everyone is a little responsible and no one is answerable. Accountability can't be handed to a team, a vendor or an algorithm.</w:t>
      </w:r>
    </w:p>
    <w:p>
      <w:pPr>
        <w:spacing w:after="40"/>
      </w:pPr>
      <w:r>
        <w:rPr>
          <w:b/>
          <w:bCs/>
          <w:color w:val="0B6B62"/>
        </w:rPr>
        <w:t xml:space="preserve">What good looks like.  </w:t>
      </w:r>
      <w:r>
        <w:t xml:space="preserve">A single named person — first and last name — with the authority to stop or change the system.</w:t>
      </w:r>
    </w:p>
    <w:p>
      <w:pPr>
        <w:spacing w:after="20" w:before="110"/>
      </w:pPr>
      <w:r>
        <w:rPr>
          <w:b/>
          <w:bCs/>
          <w:color w:val="1A2B49"/>
          <w:sz w:val="22"/>
          <w:szCs w:val="22"/>
        </w:rPr>
        <w:t xml:space="preserve">3.  Is there a RACI?</w:t>
      </w:r>
    </w:p>
    <w:p>
      <w:pPr>
        <w:spacing w:after="16"/>
      </w:pPr>
      <w:r>
        <w:rPr>
          <w:b/>
          <w:bCs/>
          <w:color w:val="0B6B62"/>
        </w:rPr>
        <w:t xml:space="preserve">Why it matters.  </w:t>
      </w:r>
      <w:r>
        <w:t xml:space="preserve">Responsibility is shared and delegable; accountability is owned. A RACI keeps the two from blurring.</w:t>
      </w:r>
    </w:p>
    <w:p>
      <w:pPr>
        <w:spacing w:after="40"/>
      </w:pPr>
      <w:r>
        <w:rPr>
          <w:b/>
          <w:bCs/>
          <w:color w:val="0B6B62"/>
        </w:rPr>
        <w:t xml:space="preserve">What good looks like.  </w:t>
      </w:r>
      <w:r>
        <w:t xml:space="preserve">One Accountable per decision, builders as Responsible, risk/compliance Consulted, and an independent assurance line.</w:t>
      </w:r>
    </w:p>
    <w:p>
      <w:pPr>
        <w:spacing w:after="20" w:before="110"/>
      </w:pPr>
      <w:r>
        <w:rPr>
          <w:b/>
          <w:bCs/>
          <w:color w:val="1A2B49"/>
          <w:sz w:val="22"/>
          <w:szCs w:val="22"/>
        </w:rPr>
        <w:t xml:space="preserve">4.  Is the system in an AI register?</w:t>
      </w:r>
    </w:p>
    <w:p>
      <w:pPr>
        <w:spacing w:after="16"/>
      </w:pPr>
      <w:r>
        <w:rPr>
          <w:b/>
          <w:bCs/>
          <w:color w:val="0B6B62"/>
        </w:rPr>
        <w:t xml:space="preserve">Why it matters.  </w:t>
      </w:r>
      <w:r>
        <w:t xml:space="preserve">You can't govern what you can't see. If the system isn't inventoried, it's invisible at portfolio level.</w:t>
      </w:r>
    </w:p>
    <w:p>
      <w:pPr>
        <w:spacing w:after="40"/>
      </w:pPr>
      <w:r>
        <w:rPr>
          <w:b/>
          <w:bCs/>
          <w:color w:val="0B6B62"/>
        </w:rPr>
        <w:t xml:space="preserve">What good looks like.  </w:t>
      </w:r>
      <w:r>
        <w:t xml:space="preserve">A register entry with owner, purpose, risk tier, data used, model, status and review date.</w:t>
      </w:r>
    </w:p>
    <w:p>
      <w:pPr>
        <w:spacing w:after="20" w:before="110"/>
      </w:pPr>
      <w:r>
        <w:rPr>
          <w:b/>
          <w:bCs/>
          <w:color w:val="1A2B49"/>
          <w:sz w:val="22"/>
          <w:szCs w:val="22"/>
        </w:rPr>
        <w:t xml:space="preserve">5.  Are intended users and context defined?</w:t>
      </w:r>
    </w:p>
    <w:p>
      <w:pPr>
        <w:spacing w:after="16"/>
      </w:pPr>
      <w:r>
        <w:rPr>
          <w:b/>
          <w:bCs/>
          <w:color w:val="0B6B62"/>
        </w:rPr>
        <w:t xml:space="preserve">Why it matters.  </w:t>
      </w:r>
      <w:r>
        <w:t xml:space="preserve">Everything downstream — risk tier, transparency, oversight — depends on who it's for and where it's used.</w:t>
      </w:r>
    </w:p>
    <w:p>
      <w:pPr>
        <w:spacing w:after="40"/>
      </w:pPr>
      <w:r>
        <w:rPr>
          <w:b/>
          <w:bCs/>
          <w:color w:val="0B6B62"/>
        </w:rPr>
        <w:t xml:space="preserve">What good looks like.  </w:t>
      </w:r>
      <w:r>
        <w:t xml:space="preserve">A clear statement of intended users, deployment context, conditions of use and foreseeable misuse.</w:t>
      </w:r>
    </w:p>
    <w:p>
      <w:pPr>
        <w:spacing w:after="20" w:before="110"/>
      </w:pPr>
      <w:r>
        <w:rPr>
          <w:b/>
          <w:bCs/>
          <w:color w:val="1A2B49"/>
          <w:sz w:val="22"/>
          <w:szCs w:val="22"/>
        </w:rPr>
        <w:t xml:space="preserve">6.  Are outputs classified advisory vs consequential?</w:t>
      </w:r>
    </w:p>
    <w:p>
      <w:pPr>
        <w:spacing w:after="16"/>
      </w:pPr>
      <w:r>
        <w:rPr>
          <w:b/>
          <w:bCs/>
          <w:color w:val="0B6B62"/>
        </w:rPr>
        <w:t xml:space="preserve">Why it matters.  </w:t>
      </w:r>
      <w:r>
        <w:t xml:space="preserve">An eligibility verdict a customer acts on is not the same as a branch timing. Consequence drives how much oversight and explanation you owe.</w:t>
      </w:r>
    </w:p>
    <w:p>
      <w:pPr>
        <w:spacing w:after="40"/>
      </w:pPr>
      <w:r>
        <w:rPr>
          <w:b/>
          <w:bCs/>
          <w:color w:val="0B6B62"/>
        </w:rPr>
        <w:t xml:space="preserve">What good looks like.  </w:t>
      </w:r>
      <w:r>
        <w:t xml:space="preserve">Each output type listed and marked; consequential ones routed to extra oversight.</w:t>
      </w:r>
    </w:p>
    <w:p>
      <w:pPr>
        <w:spacing w:after="20" w:before="110"/>
      </w:pPr>
      <w:r>
        <w:rPr>
          <w:b/>
          <w:bCs/>
          <w:color w:val="1A2B49"/>
          <w:sz w:val="22"/>
          <w:szCs w:val="22"/>
        </w:rPr>
        <w:t xml:space="preserve">7.  Are out-of-scope and prohibited uses stated?</w:t>
      </w:r>
    </w:p>
    <w:p>
      <w:pPr>
        <w:spacing w:after="16"/>
      </w:pPr>
      <w:r>
        <w:rPr>
          <w:b/>
          <w:bCs/>
          <w:color w:val="0B6B62"/>
        </w:rPr>
        <w:t xml:space="preserve">Why it matters.  </w:t>
      </w:r>
      <w:r>
        <w:t xml:space="preserve">If you never say what the system must not do, you can't test whether it refuses.</w:t>
      </w:r>
    </w:p>
    <w:p>
      <w:pPr>
        <w:spacing w:after="40"/>
      </w:pPr>
      <w:r>
        <w:rPr>
          <w:b/>
          <w:bCs/>
          <w:color w:val="0B6B62"/>
        </w:rPr>
        <w:t xml:space="preserve">What good looks like.  </w:t>
      </w:r>
      <w:r>
        <w:t xml:space="preserve">A written list of prohibited uses (e.g. investment advice, acting on another person's data) — and evidence it honours them.</w:t>
      </w:r>
    </w:p>
    <w:p>
      <w:pPr>
        <w:spacing w:after="20" w:before="110"/>
      </w:pPr>
      <w:r>
        <w:rPr>
          <w:b/>
          <w:bCs/>
          <w:color w:val="1A2B49"/>
          <w:sz w:val="22"/>
          <w:szCs w:val="22"/>
        </w:rPr>
        <w:t xml:space="preserve">8.  Are the system's boundaries mapped?</w:t>
      </w:r>
    </w:p>
    <w:p>
      <w:pPr>
        <w:spacing w:after="16"/>
      </w:pPr>
      <w:r>
        <w:rPr>
          <w:b/>
          <w:bCs/>
          <w:color w:val="0B6B62"/>
        </w:rPr>
        <w:t xml:space="preserve">Why it matters.  </w:t>
      </w:r>
      <w:r>
        <w:t xml:space="preserve">Data flows in, and — crucially — data leaves to a model provider. Unmapped boundaries hide your biggest risks.</w:t>
      </w:r>
    </w:p>
    <w:p>
      <w:pPr>
        <w:spacing w:after="40"/>
      </w:pPr>
      <w:r>
        <w:rPr>
          <w:b/>
          <w:bCs/>
          <w:color w:val="0B6B62"/>
        </w:rPr>
        <w:t xml:space="preserve">What good looks like.  </w:t>
      </w:r>
      <w:r>
        <w:t xml:space="preserve">A simple data-flow diagram marking every trust boundary, including data sent to the model.</w:t>
      </w:r>
    </w:p>
    <w:p>
      <w:pPr>
        <w:spacing w:after="20" w:before="110"/>
      </w:pPr>
      <w:r>
        <w:rPr>
          <w:b/>
          <w:bCs/>
          <w:color w:val="1A2B49"/>
          <w:sz w:val="22"/>
          <w:szCs w:val="22"/>
        </w:rPr>
        <w:t xml:space="preserve">9.  Is the lifecycle stage and review date recorded?</w:t>
      </w:r>
    </w:p>
    <w:p>
      <w:pPr>
        <w:spacing w:after="16"/>
      </w:pPr>
      <w:r>
        <w:rPr>
          <w:b/>
          <w:bCs/>
          <w:color w:val="0B6B62"/>
        </w:rPr>
        <w:t xml:space="preserve">Why it matters.  </w:t>
      </w:r>
      <w:r>
        <w:t xml:space="preserve">Governance decays. A system marked “deployed” with no review date drifts out of control silently.</w:t>
      </w:r>
    </w:p>
    <w:p>
      <w:pPr>
        <w:spacing w:after="40"/>
      </w:pPr>
      <w:r>
        <w:rPr>
          <w:b/>
          <w:bCs/>
          <w:color w:val="0B6B62"/>
        </w:rPr>
        <w:t xml:space="preserve">What good looks like.  </w:t>
      </w:r>
      <w:r>
        <w:t xml:space="preserve">A recorded stage plus scheduled and trigger-based reviews (model change, incident, new regulation).</w:t>
      </w:r>
    </w:p>
    <w:p>
      <w:pPr>
        <w:spacing w:after="20" w:before="110"/>
      </w:pPr>
      <w:r>
        <w:rPr>
          <w:b/>
          <w:bCs/>
          <w:color w:val="1A2B49"/>
          <w:sz w:val="22"/>
          <w:szCs w:val="22"/>
        </w:rPr>
        <w:t xml:space="preserve">10.  Is a criticality / impact level assigned?</w:t>
      </w:r>
    </w:p>
    <w:p>
      <w:pPr>
        <w:spacing w:after="16"/>
      </w:pPr>
      <w:r>
        <w:rPr>
          <w:b/>
          <w:bCs/>
          <w:color w:val="0B6B62"/>
        </w:rPr>
        <w:t xml:space="preserve">Why it matters.  </w:t>
      </w:r>
      <w:r>
        <w:t xml:space="preserve">A wrong eligibility steer or a data leak are real customer harms. Impact should drive how strong your controls are.</w:t>
      </w:r>
    </w:p>
    <w:p>
      <w:pPr>
        <w:spacing w:after="40"/>
      </w:pPr>
      <w:r>
        <w:rPr>
          <w:b/>
          <w:bCs/>
          <w:color w:val="0B6B62"/>
        </w:rPr>
        <w:t xml:space="preserve">What good looks like.  </w:t>
      </w:r>
      <w:r>
        <w:t xml:space="preserve">A justified criticality rating that visibly raises the bar on oversight for higher-impact systems.</w:t>
      </w:r>
    </w:p>
    <w:p>
      <w:pPr>
        <w:pStyle w:val="Heading2"/>
      </w:pPr>
      <w:r>
        <w:t xml:space="preserve">How to use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Pair it with the workbook.  </w:t>
            </w:r>
            <w:r>
              <w:t xml:space="preserve">Open the Week 05 tab of the AI Audit Accelerator (Excel). Work each of the ten checks against a system you own: fill in the evidence, set a severity and status, and write the finding. Anything that fails becomes a row in the Findings Register. That's a real scoping audit — done.</w:t>
            </w:r>
          </w:p>
        </w:tc>
      </w:tr>
    </w:tbl>
    <w:p>
      <w:pPr>
        <w:spacing w:after="140"/>
      </w:pPr>
      <w:r>
        <w:t xml:space="preserve">A quiet truth from doing this on real systems: most of the ten are documentation questions, and most teams can't answer half of them on the spot. That's not a failure of the tool — it's the finding. A system no one can scope is, in practice, ungoverned.</w:t>
      </w:r>
    </w:p>
    <w:p>
      <w:pPr>
        <w:pStyle w:val="Heading2"/>
      </w:pPr>
      <w:r>
        <w:t xml:space="preserve">Next week</w:t>
      </w:r>
    </w:p>
    <w:p>
      <w:pPr>
        <w:spacing w:after="120"/>
      </w:pPr>
      <w:r>
        <w:t xml:space="preserve">Week 06 — Risk Classification. Now that we know what the system is, which rules actually apply to it? EU AI Act tiers, and the India layering (DPDP, MeitY, RBI) that decides how heavy the obligations get.</w:t>
      </w:r>
    </w:p>
    <w:p>
      <w:pPr>
        <w:pBdr>
          <w:top w:val="single" w:color="DDDDDD" w:sz="4" w:space="6"/>
        </w:pBdr>
        <w:spacing w:before="160"/>
      </w:pPr>
      <w:r>
        <w:rPr>
          <w:i/>
          <w:iCs/>
          <w:color w:val="555555"/>
          <w:sz w:val="16"/>
          <w:szCs w:val="16"/>
        </w:rPr>
        <w:t xml:space="preserve">Fictional “Kannan's Virtual Bank,” synthetic data, for education. An audit accelerator, not a compliance guarantee — adapt before real-world use.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AI Governance, Unpacked · Week 05 Field Guide · Kannan K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A2B4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2B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2026-07-11T13:47:15.619Z</dcterms:created>
  <dcterms:modified xsi:type="dcterms:W3CDTF">2026-07-11T13:47:15.631Z</dcterms:modified>
</cp:coreProperties>
</file>

<file path=docProps/custom.xml><?xml version="1.0" encoding="utf-8"?>
<Properties xmlns="http://schemas.openxmlformats.org/officeDocument/2006/custom-properties" xmlns:vt="http://schemas.openxmlformats.org/officeDocument/2006/docPropsVTypes"/>
</file>