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z w:val="20"/>
          <w:szCs w:val="20"/>
        </w:rPr>
        <w:t xml:space="preserve">AI AUDIT SERIES</w:t>
      </w:r>
    </w:p>
    <w:p>
      <w:pPr>
        <w:pStyle w:val="Heading1"/>
        <w:spacing w:after="60"/>
      </w:pPr>
      <w:r>
        <w:t xml:space="preserve">Audit Environment Setup Guide</w:t>
      </w:r>
    </w:p>
    <w:p>
      <w:pPr>
        <w:spacing w:after="40"/>
      </w:pPr>
      <w:r>
        <w:rPr>
          <w:i/>
          <w:iCs/>
          <w:color w:val="555555"/>
        </w:rPr>
        <w:t xml:space="preserve">Standing up the Kannan's Virtual Bank support assistant (synthetic) for the hands-on, end-to-end audit</w:t>
      </w:r>
    </w:p>
    <w:p>
      <w:pPr>
        <w:spacing w:after="150"/>
      </w:pPr>
      <w:r>
        <w:rPr>
          <w:color w:val="1A2B49"/>
          <w:sz w:val="18"/>
          <w:szCs w:val="18"/>
        </w:rPr>
        <w:t xml:space="preserve">Kannan K · AI Governance &amp; Cybersecurity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FF6E8" w:val="clear"/>
            <w:tcMar>
              <w:top w:type="dxa" w:w="130"/>
              <w:left w:type="dxa" w:w="170"/>
              <w:bottom w:type="dxa" w:w="130"/>
              <w:right w:type="dxa" w:w="170"/>
            </w:tcMar>
          </w:tcPr>
          <w:p>
            <w:r>
              <w:rPr>
                <w:b/>
                <w:bCs/>
                <w:color w:val="9A3412"/>
              </w:rPr>
              <w:t xml:space="preserve">PRIVATE REFERENCE · SYNTHETIC ENVIRONMENT.  </w:t>
            </w:r>
            <w:r>
              <w:t xml:space="preserve">Everything here builds a fictional “Kannan's Virtual Bank” bot on fully synthetic data, for AI-audit training only. Never point this at, or reference, any real client or real customer data. This guide pairs with two artifacts you already have: the notebook (KV_Support_Bot.ipynb) and the AI Audit Accelerator workbook.</w:t>
            </w:r>
          </w:p>
        </w:tc>
      </w:tr>
    </w:tbl>
    <w:p>
      <w:pPr>
        <w:spacing w:after="80"/>
      </w:pPr>
      <w:r>
        <w:t xml:space="preserve"/>
      </w:r>
    </w:p>
    <w:p>
      <w:pPr>
        <w:pStyle w:val="Heading2"/>
      </w:pPr>
      <w:r>
        <w:t xml:space="preserve">1 · What you are setting up</w:t>
      </w:r>
    </w:p>
    <w:p>
      <w:pPr>
        <w:spacing w:after="110"/>
      </w:pPr>
      <w:r>
        <w:t xml:space="preserve">You will stand up a small, deliberately-imperfect AI customer-support assistant for a fictional retail bank, then run it long enough to capture all the evidence your twelve-week audit needs. The pieces:</w:t>
      </w:r>
    </w:p>
    <w:p>
      <w:pPr>
        <w:pStyle w:val="ListParagraph"/>
        <w:numPr>
          <w:ilvl w:val="0"/>
          <w:numId w:val="2"/>
        </w:numPr>
        <w:spacing w:after="50"/>
      </w:pPr>
      <w:r>
        <w:t xml:space="preserve">The app — a Colab notebook that calls the Gemini API and serves a chat UI (Gradio).</w:t>
      </w:r>
    </w:p>
    <w:p>
      <w:pPr>
        <w:pStyle w:val="ListParagraph"/>
        <w:numPr>
          <w:ilvl w:val="0"/>
          <w:numId w:val="2"/>
        </w:numPr>
        <w:spacing w:after="50"/>
      </w:pPr>
      <w:r>
        <w:t xml:space="preserve">The data — synthetic customers, transactions, products, a policy/FAQ knowledge base, and two probe sets (bias, red-team).</w:t>
      </w:r>
    </w:p>
    <w:p>
      <w:pPr>
        <w:pStyle w:val="ListParagraph"/>
        <w:numPr>
          <w:ilvl w:val="0"/>
          <w:numId w:val="2"/>
        </w:numPr>
        <w:spacing w:after="50"/>
      </w:pPr>
      <w:r>
        <w:t xml:space="preserve">The model — Gemini 2.5 Flash on the paid tier, pinned to an exact version and date.</w:t>
      </w:r>
    </w:p>
    <w:p>
      <w:pPr>
        <w:pStyle w:val="ListParagraph"/>
        <w:numPr>
          <w:ilvl w:val="0"/>
          <w:numId w:val="2"/>
        </w:numPr>
        <w:spacing w:after="50"/>
      </w:pPr>
      <w:r>
        <w:t xml:space="preserve">The workbook — where you record findings, evidence and status as you audit.</w:t>
      </w:r>
    </w:p>
    <w:p>
      <w:pPr>
        <w:spacing w:after="90"/>
      </w:pPr>
      <w:r>
        <w:rPr>
          <w:b/>
          <w:bCs/>
          <w:color w:val="0B6B62"/>
        </w:rPr>
        <w:t xml:space="preserve">Time needed:  </w:t>
      </w:r>
      <w:r>
        <w:t xml:space="preserve">About 45–60 minutes the first time; ~10 minutes on any later re-run. Do it in one focused sitting so the evidence is captured while the environment is live.</w:t>
      </w:r>
    </w:p>
    <w:p>
      <w:pPr>
        <w:spacing w:after="90"/>
      </w:pPr>
      <w:r>
        <w:rPr>
          <w:b/>
          <w:bCs/>
          <w:color w:val="0B6B62"/>
        </w:rPr>
        <w:t xml:space="preserve">Golden rule:  </w:t>
      </w:r>
      <w:r>
        <w:t xml:space="preserve">You are keeping the evidence for twelve weeks — not the running app. Build it, capture everything, then shut it down. The app can be resurrected from the frozen snapshot in under an hour if you ever need it.</w:t>
      </w:r>
    </w:p>
    <w:p>
      <w:pPr>
        <w:pStyle w:val="Heading2"/>
      </w:pPr>
      <w:r>
        <w:t xml:space="preserve">2 · Prerequisites (tick these first)</w:t>
      </w:r>
    </w:p>
    <w:p>
      <w:pPr>
        <w:pStyle w:val="ListParagraph"/>
        <w:numPr>
          <w:ilvl w:val="0"/>
          <w:numId w:val="2"/>
        </w:numPr>
        <w:spacing w:after="50"/>
      </w:pPr>
      <w:r>
        <w:t xml:space="preserve">A Google account (personal, not a restricted Workspace account, is simplest).</w:t>
      </w:r>
    </w:p>
    <w:p>
      <w:pPr>
        <w:pStyle w:val="ListParagraph"/>
        <w:numPr>
          <w:ilvl w:val="0"/>
          <w:numId w:val="2"/>
        </w:numPr>
        <w:spacing w:after="50"/>
      </w:pPr>
      <w:r>
        <w:t xml:space="preserve">Access to Google Colab — colab.research.google.com (the free runtime is enough; no GPU needed).</w:t>
      </w:r>
    </w:p>
    <w:p>
      <w:pPr>
        <w:pStyle w:val="ListParagraph"/>
        <w:numPr>
          <w:ilvl w:val="0"/>
          <w:numId w:val="2"/>
        </w:numPr>
        <w:spacing w:after="50"/>
      </w:pPr>
      <w:r>
        <w:t xml:space="preserve">A paid-tier Gemini API key (set up in Part A). Paid tier matters for two reasons: higher, predictable rate limits, and — importantly for an audit — on the paid tier your prompts are not used to train Google's models, whereas free-tier data may be. Record this; it is evidence for the data-governance (W07) and provider due-diligence (W08) domains.</w:t>
      </w:r>
    </w:p>
    <w:p>
      <w:pPr>
        <w:pStyle w:val="ListParagraph"/>
        <w:numPr>
          <w:ilvl w:val="0"/>
          <w:numId w:val="2"/>
        </w:numPr>
        <w:spacing w:after="50"/>
      </w:pPr>
      <w:r>
        <w:t xml:space="preserve">The two artifact files: KV_Support_Bot.ipynb and kv_data.zip.</w:t>
      </w:r>
    </w:p>
    <w:p>
      <w:pPr>
        <w:pStyle w:val="ListParagraph"/>
        <w:numPr>
          <w:ilvl w:val="0"/>
          <w:numId w:val="2"/>
        </w:numPr>
        <w:spacing w:after="50"/>
      </w:pPr>
      <w:r>
        <w:t xml:space="preserve">A browser, and a folder on your machine to store captured evidence.</w:t>
      </w:r>
    </w:p>
    <w:p>
      <w:pPr>
        <w:pStyle w:val="Heading2"/>
      </w:pPr>
      <w:r>
        <w:t xml:space="preserve">3 · Part A — Get your paid Gemini API key</w:t>
      </w:r>
    </w:p>
    <w:p>
      <w:pPr>
        <w:spacing w:after="90"/>
      </w:pPr>
      <w:r>
        <w:t xml:space="preserve">The Gemini API changed in mid-2026: new keys from AI Studio are now “auth keys” by default, and since 19 June 2026 the API rejects unrestricted standard keys. New accounts are also defaulted to prepaid billing. The steps below reflect that. Exact button labels may shift — if so, follow the on-screen billing/key flow, which guides you.</w:t>
      </w:r>
    </w:p>
    <w:p>
      <w:pPr>
        <w:pStyle w:val="ListParagraph"/>
        <w:numPr>
          <w:ilvl w:val="0"/>
          <w:numId w:val="3"/>
        </w:numPr>
        <w:spacing w:after="60"/>
      </w:pPr>
      <w:r>
        <w:t xml:space="preserve">Go to Google AI Studio (aistudio.google.com) and sign in with your Google account.</w:t>
      </w:r>
    </w:p>
    <w:p>
      <w:pPr>
        <w:pStyle w:val="ListParagraph"/>
        <w:numPr>
          <w:ilvl w:val="0"/>
          <w:numId w:val="3"/>
        </w:numPr>
        <w:spacing w:after="60"/>
      </w:pPr>
      <w:r>
        <w:t xml:space="preserve">Open the API keys page and click Create API key. New keys are created as auth keys automatically — that is what you want.</w:t>
      </w:r>
    </w:p>
    <w:p>
      <w:pPr>
        <w:pStyle w:val="ListParagraph"/>
        <w:numPr>
          <w:ilvl w:val="0"/>
          <w:numId w:val="3"/>
        </w:numPr>
        <w:spacing w:after="60"/>
      </w:pPr>
      <w:r>
        <w:t xml:space="preserve">Copy the key and store it somewhere secure (a password manager). </w:t>
      </w:r>
      <w:r>
        <w:rPr>
          <w:b/>
          <w:bCs/>
        </w:rPr>
        <w:t xml:space="preserve">Never paste it into code, chat, a screenshot, or a shared doc.</w:t>
      </w:r>
    </w:p>
    <w:p>
      <w:pPr>
        <w:pStyle w:val="ListParagraph"/>
        <w:numPr>
          <w:ilvl w:val="0"/>
          <w:numId w:val="3"/>
        </w:numPr>
        <w:spacing w:after="60"/>
      </w:pPr>
      <w:r>
        <w:t xml:space="preserve">Enable billing to reach the paid tier: link a Google Cloud billing account to the key's project. New users are placed on Prepaid — purchase the minimum credit (around $10), and turn on Auto-reload so the balance never hits zero mid-run.</w:t>
      </w:r>
    </w:p>
    <w:p>
      <w:pPr>
        <w:pStyle w:val="ListParagraph"/>
        <w:numPr>
          <w:ilvl w:val="0"/>
          <w:numId w:val="3"/>
        </w:numPr>
        <w:spacing w:after="60"/>
      </w:pPr>
      <w:r>
        <w:t xml:space="preserve">Set a guardrail: add a project-level spend cap and a budget alert (e.g. alert at $10, cap low). Tier-level monthly caps are enforced automatically, but your own low cap protects you from surprises.</w:t>
      </w:r>
    </w:p>
    <w:p>
      <w:pPr>
        <w:pStyle w:val="ListParagraph"/>
        <w:numPr>
          <w:ilvl w:val="0"/>
          <w:numId w:val="3"/>
        </w:numPr>
        <w:spacing w:after="60"/>
      </w:pPr>
      <w:r>
        <w:t xml:space="preserve">Secure the key: auth keys are restricted to the Gemini API by default. If you are re-using an older key, add restrictions to it (unrestricted keys are now rejected). Record the key's project name and creation date for your evidence pack — do not record the key value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Audit tie-in:  </w:t>
            </w:r>
            <w:r>
              <w:t xml:space="preserve">The fact that paid-tier inputs are excluded from model training, and where the project is billed/hosted, are exactly the questions Week 08 (provider due diligence) asks. Note the answers now while you have them.</w:t>
            </w:r>
          </w:p>
        </w:tc>
      </w:tr>
    </w:tbl>
    <w:p>
      <w:pPr>
        <w:pStyle w:val="Heading2"/>
      </w:pPr>
      <w:r>
        <w:t xml:space="preserve">4 · Part B — Open the notebook in Colab</w:t>
      </w:r>
    </w:p>
    <w:p>
      <w:pPr>
        <w:pStyle w:val="ListParagraph"/>
        <w:numPr>
          <w:ilvl w:val="0"/>
          <w:numId w:val="4"/>
        </w:numPr>
        <w:spacing w:after="60"/>
      </w:pPr>
      <w:r>
        <w:t xml:space="preserve">Go to colab.research.google.com.</w:t>
      </w:r>
    </w:p>
    <w:p>
      <w:pPr>
        <w:pStyle w:val="ListParagraph"/>
        <w:numPr>
          <w:ilvl w:val="0"/>
          <w:numId w:val="4"/>
        </w:numPr>
        <w:spacing w:after="60"/>
      </w:pPr>
      <w:r>
        <w:t xml:space="preserve">File → Upload notebook, and choose KV_Support_Bot.ipynb.</w:t>
      </w:r>
    </w:p>
    <w:p>
      <w:pPr>
        <w:pStyle w:val="ListParagraph"/>
        <w:numPr>
          <w:ilvl w:val="0"/>
          <w:numId w:val="4"/>
        </w:numPr>
        <w:spacing w:after="60"/>
      </w:pPr>
      <w:r>
        <w:t xml:space="preserve">Leave the runtime on the default CPU (Runtime → Change runtime type shows the options; you do not need a GPU).</w:t>
      </w:r>
    </w:p>
    <w:p>
      <w:pPr>
        <w:pStyle w:val="Heading2"/>
      </w:pPr>
      <w:r>
        <w:t xml:space="preserve">5 · Part C — Add your key as a Colab secret</w:t>
      </w:r>
    </w:p>
    <w:p>
      <w:pPr>
        <w:spacing w:after="90"/>
      </w:pPr>
      <w:r>
        <w:t xml:space="preserve">The notebook reads the key from a Colab secret — never from hard-coded text. Storing secrets properly is itself an audit good-practice, and a deliberate contrast to the app's built-in flaws.</w:t>
      </w:r>
    </w:p>
    <w:p>
      <w:pPr>
        <w:pStyle w:val="ListParagraph"/>
        <w:numPr>
          <w:ilvl w:val="0"/>
          <w:numId w:val="5"/>
        </w:numPr>
        <w:spacing w:after="60"/>
      </w:pPr>
      <w:r>
        <w:t xml:space="preserve">In the Colab left sidebar, click the key icon (Secrets).</w:t>
      </w:r>
    </w:p>
    <w:p>
      <w:pPr>
        <w:pStyle w:val="ListParagraph"/>
        <w:numPr>
          <w:ilvl w:val="0"/>
          <w:numId w:val="5"/>
        </w:numPr>
        <w:spacing w:after="60"/>
      </w:pPr>
      <w:r>
        <w:t xml:space="preserve">Click Add new secret. Name it exactly </w:t>
      </w:r>
      <w:r>
        <w:rPr>
          <w:rFonts w:ascii="Consolas" w:cs="Consolas" w:eastAsia="Consolas" w:hAnsi="Consolas"/>
        </w:rPr>
        <w:t xml:space="preserve">GEMINI_API_KEY</w:t>
      </w:r>
      <w:r>
        <w:t xml:space="preserve"> (case-sensitive), and paste your key as the value.</w:t>
      </w:r>
    </w:p>
    <w:p>
      <w:pPr>
        <w:pStyle w:val="ListParagraph"/>
        <w:numPr>
          <w:ilvl w:val="0"/>
          <w:numId w:val="5"/>
        </w:numPr>
        <w:spacing w:after="60"/>
      </w:pPr>
      <w:r>
        <w:t xml:space="preserve">Toggle Notebook access on for that secret. Without this, the notebook cannot read it.</w:t>
      </w:r>
    </w:p>
    <w:p>
      <w:pPr>
        <w:pStyle w:val="Heading2"/>
      </w:pPr>
      <w:r>
        <w:t xml:space="preserve">6 · Part D — Upload the synthetic data</w:t>
      </w:r>
    </w:p>
    <w:p>
      <w:pPr>
        <w:pStyle w:val="ListParagraph"/>
        <w:numPr>
          <w:ilvl w:val="0"/>
          <w:numId w:val="6"/>
        </w:numPr>
        <w:spacing w:after="60"/>
      </w:pPr>
      <w:r>
        <w:t xml:space="preserve">In the sidebar, click the folder icon (Files).</w:t>
      </w:r>
    </w:p>
    <w:p>
      <w:pPr>
        <w:pStyle w:val="ListParagraph"/>
        <w:numPr>
          <w:ilvl w:val="0"/>
          <w:numId w:val="6"/>
        </w:numPr>
        <w:spacing w:after="60"/>
      </w:pPr>
      <w:r>
        <w:t xml:space="preserve">Upload kv_data.zip into the session (drag-and-drop, or the upload button).</w:t>
      </w:r>
    </w:p>
    <w:p>
      <w:pPr>
        <w:pStyle w:val="ListParagraph"/>
        <w:numPr>
          <w:ilvl w:val="0"/>
          <w:numId w:val="6"/>
        </w:numPr>
        <w:spacing w:after="60"/>
      </w:pPr>
      <w:r>
        <w:t xml:space="preserve">Unzip it: add a new code cell at the top and run </w:t>
      </w:r>
      <w:r>
        <w:rPr>
          <w:rFonts w:ascii="Consolas" w:cs="Consolas" w:eastAsia="Consolas" w:hAnsi="Consolas"/>
        </w:rPr>
        <w:t xml:space="preserve">!unzip -o kv_data.zip</w:t>
      </w:r>
      <w:r>
        <w:t xml:space="preserve"> . You should now see a </w:t>
      </w:r>
      <w:r>
        <w:rPr>
          <w:rFonts w:ascii="Consolas" w:cs="Consolas" w:eastAsia="Consolas" w:hAnsi="Consolas"/>
        </w:rPr>
        <w:t xml:space="preserve">data/</w:t>
      </w:r>
      <w:r>
        <w:t xml:space="preserve"> folder containing six files.</w:t>
      </w:r>
    </w:p>
    <w:p>
      <w:pPr>
        <w:shd w:fill="F4F4F4" w:val="clear"/>
        <w:spacing w:after="60"/>
      </w:pPr>
      <w:r>
        <w:rPr>
          <w:rFonts w:ascii="Consolas" w:cs="Consolas" w:eastAsia="Consolas" w:hAnsi="Consolas"/>
          <w:sz w:val="18"/>
          <w:szCs w:val="18"/>
        </w:rPr>
        <w:t xml:space="preserve">data/customers.csv   data/transactions.csv   data/products_eligibility.csv
data/policy_faq.md   data/bias_probes.csv   data/redteam_probes.csv</w:t>
      </w:r>
    </w:p>
    <w:p>
      <w:pPr>
        <w:pStyle w:val="ListParagraph"/>
        <w:numPr>
          <w:ilvl w:val="0"/>
          <w:numId w:val="6"/>
        </w:numPr>
        <w:spacing w:after="60"/>
      </w:pPr>
      <w:r>
        <w:t xml:space="preserve">Confirm the six files are present before running the rest. If they are not inside a data/ folder, either re-unzip or upload the individual files into a folder named data.</w:t>
      </w:r>
    </w:p>
    <w:p>
      <w:pPr>
        <w:pStyle w:val="Heading2"/>
      </w:pPr>
      <w:r>
        <w:t xml:space="preserve">7 · Part E — Run the notebook, cell by cell</w:t>
      </w:r>
    </w:p>
    <w:p>
      <w:pPr>
        <w:spacing w:after="90"/>
      </w:pPr>
      <w:r>
        <w:t xml:space="preserve">Run each cell in order with Shift+Enter. Here is what each does, and what a healthy run looks like. Screenshot anything marked ▶ capture.</w:t>
      </w:r>
    </w:p>
    <w:p>
      <w:pPr>
        <w:spacing w:after="16" w:before="60"/>
      </w:pPr>
      <w:r>
        <w:rPr>
          <w:b/>
          <w:bCs/>
          <w:color w:val="1A2B49"/>
        </w:rPr>
        <w:t xml:space="preserve">Cell 1 — Install</w:t>
      </w:r>
    </w:p>
    <w:p>
      <w:pPr>
        <w:spacing w:after="10"/>
      </w:pPr>
      <w:r>
        <w:rPr>
          <w:b/>
          <w:bCs/>
          <w:color w:val="0B6B62"/>
        </w:rPr>
        <w:t xml:space="preserve">Does: </w:t>
      </w:r>
      <w:r>
        <w:t xml:space="preserve">Installs google-genai, gradio and pandas.</w:t>
      </w:r>
    </w:p>
    <w:p>
      <w:pPr>
        <w:spacing w:after="30"/>
      </w:pPr>
      <w:r>
        <w:rPr>
          <w:b/>
          <w:bCs/>
          <w:color w:val="0B6B62"/>
        </w:rPr>
        <w:t xml:space="preserve">Expect: </w:t>
      </w:r>
      <w:r>
        <w:t xml:space="preserve">Install logs ending without errors. First run takes a minute.</w:t>
      </w:r>
    </w:p>
    <w:p>
      <w:pPr>
        <w:spacing w:after="16" w:before="60"/>
      </w:pPr>
      <w:r>
        <w:rPr>
          <w:b/>
          <w:bCs/>
          <w:color w:val="1A2B49"/>
        </w:rPr>
        <w:t xml:space="preserve">Cell 2 — Key + model</w:t>
      </w:r>
    </w:p>
    <w:p>
      <w:pPr>
        <w:spacing w:after="10"/>
      </w:pPr>
      <w:r>
        <w:rPr>
          <w:b/>
          <w:bCs/>
          <w:color w:val="0B6B62"/>
        </w:rPr>
        <w:t xml:space="preserve">Does: </w:t>
      </w:r>
      <w:r>
        <w:t xml:space="preserve">Reads GEMINI_API_KEY and pins the model.</w:t>
      </w:r>
    </w:p>
    <w:p>
      <w:pPr>
        <w:spacing w:after="30"/>
      </w:pPr>
      <w:r>
        <w:rPr>
          <w:b/>
          <w:bCs/>
          <w:color w:val="0B6B62"/>
        </w:rPr>
        <w:t xml:space="preserve">Expect: </w:t>
      </w:r>
      <w:r>
        <w:t xml:space="preserve">Prints: Client ready. Model pinned: gemini-3.5-flash.  ▶ capture (proves the pinned model).</w:t>
      </w:r>
    </w:p>
    <w:p>
      <w:pPr>
        <w:spacing w:after="16" w:before="60"/>
      </w:pPr>
      <w:r>
        <w:rPr>
          <w:b/>
          <w:bCs/>
          <w:color w:val="1A2B49"/>
        </w:rPr>
        <w:t xml:space="preserve">Cell 3 — Load data</w:t>
      </w:r>
    </w:p>
    <w:p>
      <w:pPr>
        <w:spacing w:after="10"/>
      </w:pPr>
      <w:r>
        <w:rPr>
          <w:b/>
          <w:bCs/>
          <w:color w:val="0B6B62"/>
        </w:rPr>
        <w:t xml:space="preserve">Does: </w:t>
      </w:r>
      <w:r>
        <w:t xml:space="preserve">Loads the synthetic CSVs and the policy file.</w:t>
      </w:r>
    </w:p>
    <w:p>
      <w:pPr>
        <w:spacing w:after="30"/>
      </w:pPr>
      <w:r>
        <w:rPr>
          <w:b/>
          <w:bCs/>
          <w:color w:val="0B6B62"/>
        </w:rPr>
        <w:t xml:space="preserve">Expect: </w:t>
      </w:r>
      <w:r>
        <w:t xml:space="preserve">Prints: Loaded 40 customers, 7 products, 160 transactions, then shows the first rows.</w:t>
      </w:r>
    </w:p>
    <w:p>
      <w:pPr>
        <w:spacing w:after="16" w:before="60"/>
      </w:pPr>
      <w:r>
        <w:rPr>
          <w:b/>
          <w:bCs/>
          <w:color w:val="1A2B49"/>
        </w:rPr>
        <w:t xml:space="preserve">Cell 4 — System prompt</w:t>
      </w:r>
    </w:p>
    <w:p>
      <w:pPr>
        <w:spacing w:after="10"/>
      </w:pPr>
      <w:r>
        <w:rPr>
          <w:b/>
          <w:bCs/>
          <w:color w:val="0B6B62"/>
        </w:rPr>
        <w:t xml:space="preserve">Does: </w:t>
      </w:r>
      <w:r>
        <w:t xml:space="preserve">Assembles the (intentionally imperfect) system prompt with the full data in context.</w:t>
      </w:r>
    </w:p>
    <w:p>
      <w:pPr>
        <w:spacing w:after="30"/>
      </w:pPr>
      <w:r>
        <w:rPr>
          <w:b/>
          <w:bCs/>
          <w:color w:val="0B6B62"/>
        </w:rPr>
        <w:t xml:space="preserve">Expect: </w:t>
      </w:r>
      <w:r>
        <w:t xml:space="preserve">Prints the character count.  ▶ capture the cell — it is evidence for W05/W07/W14 (whole table in context).</w:t>
      </w:r>
    </w:p>
    <w:p>
      <w:pPr>
        <w:spacing w:after="16" w:before="60"/>
      </w:pPr>
      <w:r>
        <w:rPr>
          <w:b/>
          <w:bCs/>
          <w:color w:val="1A2B49"/>
        </w:rPr>
        <w:t xml:space="preserve">Cell 5 — Logging</w:t>
      </w:r>
    </w:p>
    <w:p>
      <w:pPr>
        <w:spacing w:after="10"/>
      </w:pPr>
      <w:r>
        <w:rPr>
          <w:b/>
          <w:bCs/>
          <w:color w:val="0B6B62"/>
        </w:rPr>
        <w:t xml:space="preserve">Does: </w:t>
      </w:r>
      <w:r>
        <w:t xml:space="preserve">Sets up logging to audit_log.csv (deliberately unmasked — a W14 finding).</w:t>
      </w:r>
    </w:p>
    <w:p>
      <w:pPr>
        <w:spacing w:after="30"/>
      </w:pPr>
      <w:r>
        <w:rPr>
          <w:b/>
          <w:bCs/>
          <w:color w:val="0B6B62"/>
        </w:rPr>
        <w:t xml:space="preserve">Expect: </w:t>
      </w:r>
      <w:r>
        <w:t xml:space="preserve">No output; it defines the logger.</w:t>
      </w:r>
    </w:p>
    <w:p>
      <w:pPr>
        <w:spacing w:after="16" w:before="60"/>
      </w:pPr>
      <w:r>
        <w:rPr>
          <w:b/>
          <w:bCs/>
          <w:color w:val="1A2B49"/>
        </w:rPr>
        <w:t xml:space="preserve">Cell 6 — Chat function</w:t>
      </w:r>
    </w:p>
    <w:p>
      <w:pPr>
        <w:spacing w:after="10"/>
      </w:pPr>
      <w:r>
        <w:rPr>
          <w:b/>
          <w:bCs/>
          <w:color w:val="0B6B62"/>
        </w:rPr>
        <w:t xml:space="preserve">Does: </w:t>
      </w:r>
      <w:r>
        <w:t xml:space="preserve">Defines the bot and runs one test question.</w:t>
      </w:r>
    </w:p>
    <w:p>
      <w:pPr>
        <w:spacing w:after="30"/>
      </w:pPr>
      <w:r>
        <w:rPr>
          <w:b/>
          <w:bCs/>
          <w:color w:val="0B6B62"/>
        </w:rPr>
        <w:t xml:space="preserve">Expect: </w:t>
      </w:r>
      <w:r>
        <w:t xml:space="preserve">Prints the bot's eligibility answer.  ▶ capture (first live response).</w:t>
      </w:r>
    </w:p>
    <w:p>
      <w:pPr>
        <w:spacing w:after="16" w:before="60"/>
      </w:pPr>
      <w:r>
        <w:rPr>
          <w:b/>
          <w:bCs/>
          <w:color w:val="1A2B49"/>
        </w:rPr>
        <w:t xml:space="preserve">Cell 7 — Gradio UI</w:t>
      </w:r>
    </w:p>
    <w:p>
      <w:pPr>
        <w:spacing w:after="10"/>
      </w:pPr>
      <w:r>
        <w:rPr>
          <w:b/>
          <w:bCs/>
          <w:color w:val="0B6B62"/>
        </w:rPr>
        <w:t xml:space="preserve">Does: </w:t>
      </w:r>
      <w:r>
        <w:t xml:space="preserve">Launches the chat interface with a public share link.</w:t>
      </w:r>
    </w:p>
    <w:p>
      <w:pPr>
        <w:spacing w:after="30"/>
      </w:pPr>
      <w:r>
        <w:rPr>
          <w:b/>
          <w:bCs/>
          <w:color w:val="0B6B62"/>
        </w:rPr>
        <w:t xml:space="preserve">Expect: </w:t>
      </w:r>
      <w:r>
        <w:t xml:space="preserve">Prints a URL ending in .gradio.live. Open it — this is the UI you screen-record for Week 05.</w:t>
      </w:r>
    </w:p>
    <w:p>
      <w:pPr>
        <w:spacing w:after="16" w:before="60"/>
      </w:pPr>
      <w:r>
        <w:rPr>
          <w:b/>
          <w:bCs/>
          <w:color w:val="1A2B49"/>
        </w:rPr>
        <w:t xml:space="preserve">Cell 8 — Bias runner</w:t>
      </w:r>
    </w:p>
    <w:p>
      <w:pPr>
        <w:spacing w:after="10"/>
      </w:pPr>
      <w:r>
        <w:rPr>
          <w:b/>
          <w:bCs/>
          <w:color w:val="0B6B62"/>
        </w:rPr>
        <w:t xml:space="preserve">Does: </w:t>
      </w:r>
      <w:r>
        <w:t xml:space="preserve">Runs every bias probe and saves week11_bias_results.csv.</w:t>
      </w:r>
    </w:p>
    <w:p>
      <w:pPr>
        <w:spacing w:after="30"/>
      </w:pPr>
      <w:r>
        <w:rPr>
          <w:b/>
          <w:bCs/>
          <w:color w:val="0B6B62"/>
        </w:rPr>
        <w:t xml:space="preserve">Expect: </w:t>
      </w:r>
      <w:r>
        <w:t xml:space="preserve">Confirmation message + a results preview. Feeds Week 11.</w:t>
      </w:r>
    </w:p>
    <w:p>
      <w:pPr>
        <w:spacing w:after="16" w:before="60"/>
      </w:pPr>
      <w:r>
        <w:rPr>
          <w:b/>
          <w:bCs/>
          <w:color w:val="1A2B49"/>
        </w:rPr>
        <w:t xml:space="preserve">Cell 9 — Red-team runner</w:t>
      </w:r>
    </w:p>
    <w:p>
      <w:pPr>
        <w:spacing w:after="10"/>
      </w:pPr>
      <w:r>
        <w:rPr>
          <w:b/>
          <w:bCs/>
          <w:color w:val="0B6B62"/>
        </w:rPr>
        <w:t xml:space="preserve">Does: </w:t>
      </w:r>
      <w:r>
        <w:t xml:space="preserve">Runs every red-team probe and saves week12_redteam_results.csv.</w:t>
      </w:r>
    </w:p>
    <w:p>
      <w:pPr>
        <w:spacing w:after="30"/>
      </w:pPr>
      <w:r>
        <w:rPr>
          <w:b/>
          <w:bCs/>
          <w:color w:val="0B6B62"/>
        </w:rPr>
        <w:t xml:space="preserve">Expect: </w:t>
      </w:r>
      <w:r>
        <w:t xml:space="preserve">Confirmation message + a results preview. Feeds Week 12.</w:t>
      </w:r>
    </w:p>
    <w:p>
      <w:pPr>
        <w:spacing w:after="16" w:before="60"/>
      </w:pPr>
      <w:r>
        <w:rPr>
          <w:b/>
          <w:bCs/>
          <w:color w:val="1A2B49"/>
        </w:rPr>
        <w:t xml:space="preserve">Cell 10 — Log export</w:t>
      </w:r>
    </w:p>
    <w:p>
      <w:pPr>
        <w:spacing w:after="10"/>
      </w:pPr>
      <w:r>
        <w:rPr>
          <w:b/>
          <w:bCs/>
          <w:color w:val="0B6B62"/>
        </w:rPr>
        <w:t xml:space="preserve">Does: </w:t>
      </w:r>
      <w:r>
        <w:t xml:space="preserve">Reads back audit_log.csv so you can inspect it.</w:t>
      </w:r>
    </w:p>
    <w:p>
      <w:pPr>
        <w:spacing w:after="30"/>
      </w:pPr>
      <w:r>
        <w:rPr>
          <w:b/>
          <w:bCs/>
          <w:color w:val="0B6B62"/>
        </w:rPr>
        <w:t xml:space="preserve">Expect: </w:t>
      </w:r>
      <w:r>
        <w:t xml:space="preserve">Shows the last logged turns. Note the unmasked PII — that is the W14 evidence.</w:t>
      </w:r>
    </w:p>
    <w:p>
      <w:pPr>
        <w:pStyle w:val="Heading2"/>
      </w:pPr>
      <w:r>
        <w:t xml:space="preserve">8 · Part F — Baseline smoke test</w:t>
      </w:r>
    </w:p>
    <w:p>
      <w:pPr>
        <w:spacing w:after="90"/>
      </w:pPr>
      <w:r>
        <w:t xml:space="preserve">Before you audit anything, confirm the bot behaves. In the Gradio UI, send these and watch the responses (and start your clean baseline recording here — it is the demo for the Week 05 post):</w:t>
      </w:r>
    </w:p>
    <w:p>
      <w:pPr>
        <w:pStyle w:val="ListParagraph"/>
        <w:numPr>
          <w:ilvl w:val="0"/>
          <w:numId w:val="2"/>
        </w:numPr>
        <w:spacing w:after="50"/>
      </w:pPr>
      <w:r>
        <w:t xml:space="preserve">“Can you help me check if I'm eligible for a credit card?” — should ask for or use income/credit details.</w:t>
      </w:r>
    </w:p>
    <w:p>
      <w:pPr>
        <w:pStyle w:val="ListParagraph"/>
        <w:numPr>
          <w:ilvl w:val="0"/>
          <w:numId w:val="2"/>
        </w:numPr>
        <w:spacing w:after="50"/>
      </w:pPr>
      <w:r>
        <w:t xml:space="preserve">“I earn 3,00,000 a year with a Fair credit score — which card can I get?” — should reference the products.</w:t>
      </w:r>
    </w:p>
    <w:p>
      <w:pPr>
        <w:pStyle w:val="ListParagraph"/>
        <w:numPr>
          <w:ilvl w:val="0"/>
          <w:numId w:val="2"/>
        </w:numPr>
        <w:spacing w:after="50"/>
      </w:pPr>
      <w:r>
        <w:t xml:space="preserve">“How do I block a lost card?” — should give the card-block guidance from the policy.</w:t>
      </w:r>
    </w:p>
    <w:p>
      <w:pPr>
        <w:pStyle w:val="ListParagraph"/>
        <w:numPr>
          <w:ilvl w:val="0"/>
          <w:numId w:val="2"/>
        </w:numPr>
        <w:spacing w:after="50"/>
      </w:pPr>
      <w:r>
        <w:t xml:space="preserve">“What are your branch timings on the moon?” — an out-of-scope question; see how it handles the unknown.</w:t>
      </w:r>
    </w:p>
    <w:p>
      <w:pPr>
        <w:spacing w:after="90"/>
      </w:pPr>
      <w:r>
        <w:rPr>
          <w:b/>
          <w:bCs/>
          <w:color w:val="0B6B62"/>
        </w:rPr>
        <w:t xml:space="preserve">Healthy result:  </w:t>
      </w:r>
      <w:r>
        <w:t xml:space="preserve">Coherent, on-topic answers that draw on the synthetic data. You are not judging quality yet — only confirming the environment works. The gaps are for the audit to find.</w:t>
      </w:r>
    </w:p>
    <w:p>
      <w:pPr>
        <w:pStyle w:val="Heading2"/>
      </w:pPr>
      <w:r>
        <w:t xml:space="preserve">9 · Part G — Generate your audit evidence</w:t>
      </w:r>
    </w:p>
    <w:p>
      <w:pPr>
        <w:pStyle w:val="ListParagraph"/>
        <w:numPr>
          <w:ilvl w:val="0"/>
          <w:numId w:val="7"/>
        </w:numPr>
        <w:spacing w:after="60"/>
      </w:pPr>
      <w:r>
        <w:t xml:space="preserve">Run Cell 8 and Cell 9 to execute the bias and red-team probe sets.</w:t>
      </w:r>
    </w:p>
    <w:p>
      <w:pPr>
        <w:pStyle w:val="ListParagraph"/>
        <w:numPr>
          <w:ilvl w:val="0"/>
          <w:numId w:val="7"/>
        </w:numPr>
        <w:spacing w:after="60"/>
      </w:pPr>
      <w:r>
        <w:t xml:space="preserve">Download the outputs from the Files panel: </w:t>
      </w:r>
      <w:r>
        <w:rPr>
          <w:rFonts w:ascii="Consolas" w:cs="Consolas" w:eastAsia="Consolas" w:hAnsi="Consolas"/>
        </w:rPr>
        <w:t xml:space="preserve">week11_bias_results.csv</w:t>
      </w:r>
      <w:r>
        <w:t xml:space="preserve">, </w:t>
      </w:r>
      <w:r>
        <w:rPr>
          <w:rFonts w:ascii="Consolas" w:cs="Consolas" w:eastAsia="Consolas" w:hAnsi="Consolas"/>
        </w:rPr>
        <w:t xml:space="preserve">week12_redteam_results.csv</w:t>
      </w:r>
      <w:r>
        <w:t xml:space="preserve">, and </w:t>
      </w:r>
      <w:r>
        <w:rPr>
          <w:rFonts w:ascii="Consolas" w:cs="Consolas" w:eastAsia="Consolas" w:hAnsi="Consolas"/>
        </w:rPr>
        <w:t xml:space="preserve">audit_log.csv</w:t>
      </w:r>
      <w:r>
        <w:t xml:space="preserve">.</w:t>
      </w:r>
    </w:p>
    <w:p>
      <w:pPr>
        <w:pStyle w:val="ListParagraph"/>
        <w:numPr>
          <w:ilvl w:val="0"/>
          <w:numId w:val="7"/>
        </w:numPr>
        <w:spacing w:after="60"/>
      </w:pPr>
      <w:r>
        <w:t xml:space="preserve">Screen-record each run as it happens. Capture more than you think you need; you cannot re-run once the environment is gone.</w:t>
      </w:r>
    </w:p>
    <w:p>
      <w:pPr>
        <w:pStyle w:val="Heading2"/>
      </w:pPr>
      <w:r>
        <w:t xml:space="preserve">10 · Part H — Evidence capture protocol</w:t>
      </w:r>
    </w:p>
    <w:p>
      <w:pPr>
        <w:spacing w:after="90"/>
      </w:pPr>
      <w:r>
        <w:t xml:space="preserve">Consistency now saves hours later. Use one folder and one naming convention.</w:t>
      </w:r>
    </w:p>
    <w:p>
      <w:pPr>
        <w:spacing w:after="90"/>
      </w:pPr>
      <w:r>
        <w:rPr>
          <w:b/>
          <w:bCs/>
          <w:color w:val="0B6B62"/>
        </w:rPr>
        <w:t xml:space="preserve">Folder:  </w:t>
      </w:r>
      <w:r>
        <w:t xml:space="preserve">Create /Kannan's Virtual Bank_Audit_Evidence/ with a subfolder per domain (W05 … W16).</w:t>
      </w:r>
    </w:p>
    <w:p>
      <w:pPr>
        <w:spacing w:after="90"/>
      </w:pPr>
      <w:r>
        <w:rPr>
          <w:b/>
          <w:bCs/>
          <w:color w:val="0B6B62"/>
        </w:rPr>
        <w:t xml:space="preserve">Naming:  </w:t>
      </w:r>
      <w:r>
        <w:t xml:space="preserve">W##_check-id_type_YYYYMMDD  —  e.g. W12_RT-02_screenrec_20260620.</w:t>
      </w:r>
    </w:p>
    <w:p>
      <w:pPr>
        <w:pStyle w:val="ListParagraph"/>
        <w:numPr>
          <w:ilvl w:val="0"/>
          <w:numId w:val="2"/>
        </w:numPr>
        <w:spacing w:after="50"/>
      </w:pPr>
      <w:r>
        <w:t xml:space="preserve">For every check you run, capture: the input, the bot's output, a timestamp, and the relevant CSV/log.</w:t>
      </w:r>
    </w:p>
    <w:p>
      <w:pPr>
        <w:pStyle w:val="ListParagraph"/>
        <w:numPr>
          <w:ilvl w:val="0"/>
          <w:numId w:val="2"/>
        </w:numPr>
        <w:spacing w:after="50"/>
      </w:pPr>
      <w:r>
        <w:t xml:space="preserve">Log each artifact in the workbook's Evidence Log tab (Evidence ID, domain, type, filename, time, description).</w:t>
      </w:r>
    </w:p>
    <w:p>
      <w:pPr>
        <w:pStyle w:val="ListParagraph"/>
        <w:numPr>
          <w:ilvl w:val="0"/>
          <w:numId w:val="2"/>
        </w:numPr>
        <w:spacing w:after="50"/>
      </w:pPr>
      <w:r>
        <w:t xml:space="preserve">Record the exact model id and the date/time of the run — model behaviour drifts, so evidence must say “audited against model X on date Y.”</w:t>
      </w:r>
    </w:p>
    <w:p>
      <w:pPr>
        <w:pStyle w:val="ListParagraph"/>
        <w:numPr>
          <w:ilvl w:val="0"/>
          <w:numId w:val="2"/>
        </w:numPr>
        <w:spacing w:after="50"/>
      </w:pPr>
      <w:r>
        <w:t xml:space="preserve">Capture the messy first run, not a cleaned-up retake. The honest first result is what makes the audit credible.</w:t>
      </w:r>
    </w:p>
    <w:p>
      <w:pPr>
        <w:pStyle w:val="Heading2"/>
      </w:pPr>
      <w:r>
        <w:t xml:space="preserve">11 · Part I — Freeze the snapshot (before you shut down)</w:t>
      </w:r>
    </w:p>
    <w:p>
      <w:pPr>
        <w:spacing w:after="90"/>
      </w:pPr>
      <w:r>
        <w:t xml:space="preserve">So the app is resurrectable in under an hour — for a comment challenge, your PhD PoC, or a live demo:</w:t>
      </w:r>
    </w:p>
    <w:p>
      <w:pPr>
        <w:pStyle w:val="ListParagraph"/>
        <w:numPr>
          <w:ilvl w:val="0"/>
          <w:numId w:val="8"/>
        </w:numPr>
        <w:spacing w:after="60"/>
      </w:pPr>
      <w:r>
        <w:t xml:space="preserve">Save a copy of the notebook: File → Download → .ipynb (and/or File → Save a copy in Drive).</w:t>
      </w:r>
    </w:p>
    <w:p>
      <w:pPr>
        <w:pStyle w:val="ListParagraph"/>
        <w:numPr>
          <w:ilvl w:val="0"/>
          <w:numId w:val="8"/>
        </w:numPr>
        <w:spacing w:after="60"/>
      </w:pPr>
      <w:r>
        <w:t xml:space="preserve">Keep kv_data.zip alongside it (the exact synthetic data used).</w:t>
      </w:r>
    </w:p>
    <w:p>
      <w:pPr>
        <w:pStyle w:val="ListParagraph"/>
        <w:numPr>
          <w:ilvl w:val="0"/>
          <w:numId w:val="8"/>
        </w:numPr>
        <w:spacing w:after="60"/>
      </w:pPr>
      <w:r>
        <w:t xml:space="preserve">Record the environment: run </w:t>
      </w:r>
      <w:r>
        <w:rPr>
          <w:rFonts w:ascii="Consolas" w:cs="Consolas" w:eastAsia="Consolas" w:hAnsi="Consolas"/>
        </w:rPr>
        <w:t xml:space="preserve">!pip freeze &gt; requirements.txt</w:t>
      </w:r>
      <w:r>
        <w:t xml:space="preserve"> and download it, plus note the model id, run date, region, and the key's project name (not the key).</w:t>
      </w:r>
    </w:p>
    <w:p>
      <w:pPr>
        <w:pStyle w:val="ListParagraph"/>
        <w:numPr>
          <w:ilvl w:val="0"/>
          <w:numId w:val="8"/>
        </w:numPr>
        <w:spacing w:after="60"/>
      </w:pPr>
      <w:r>
        <w:t xml:space="preserve">Store all of the above in a private repo or folder. This is your frozen, reproducible snapshot.</w:t>
      </w:r>
    </w:p>
    <w:p>
      <w:pPr>
        <w:pStyle w:val="Heading2"/>
      </w:pPr>
      <w:r>
        <w:t xml:space="preserve">12 · Part J — Shut down &amp; control cost</w:t>
      </w:r>
    </w:p>
    <w:p>
      <w:pPr>
        <w:pStyle w:val="ListParagraph"/>
        <w:numPr>
          <w:ilvl w:val="0"/>
          <w:numId w:val="9"/>
        </w:numPr>
        <w:spacing w:after="60"/>
      </w:pPr>
      <w:r>
        <w:t xml:space="preserve">When capture is complete: Runtime → Disconnect and delete runtime. Do not leave it running for twelve weeks — you keep the evidence, not the live app.</w:t>
      </w:r>
    </w:p>
    <w:p>
      <w:pPr>
        <w:pStyle w:val="ListParagraph"/>
        <w:numPr>
          <w:ilvl w:val="0"/>
          <w:numId w:val="9"/>
        </w:numPr>
        <w:spacing w:after="60"/>
      </w:pPr>
      <w:r>
        <w:t xml:space="preserve">Check your prepay balance and spend afterward. The system prompt embeds the whole customer table, so each call is token-heavy; Flash is inexpensive, but a runaway loop is not. Your spend cap from Part A is the backstop.</w:t>
      </w:r>
    </w:p>
    <w:p>
      <w:pPr>
        <w:pStyle w:val="Heading2"/>
      </w:pPr>
      <w:r>
        <w:t xml:space="preserve">13 · Part K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2"/>
              <w:left w:val="single" w:color="CCCCCC" w:sz="2"/>
              <w:bottom w:val="single" w:color="CCCCCC" w:sz="2"/>
              <w:right w:val="single" w:color="CCCCCC" w:sz="2"/>
            </w:tcBorders>
            <w:shd w:fill="0B6B62" w:val="clear"/>
            <w:tcMar>
              <w:top w:type="dxa" w:w="60"/>
              <w:left w:type="dxa" w:w="110"/>
              <w:bottom w:type="dxa" w:w="60"/>
              <w:right w:type="dxa" w:w="110"/>
            </w:tcMar>
            <w:vAlign w:val="center"/>
          </w:tcPr>
          <w:p>
            <w:r>
              <w:rPr>
                <w:b/>
                <w:bCs/>
                <w:color w:val="FFFFFF"/>
                <w:sz w:val="18"/>
                <w:szCs w:val="18"/>
              </w:rPr>
              <w:t xml:space="preserve">Symptom</w:t>
            </w:r>
          </w:p>
        </w:tc>
        <w:tc>
          <w:tcPr>
            <w:tcBorders>
              <w:top w:val="single" w:color="CCCCCC" w:sz="2"/>
              <w:left w:val="single" w:color="CCCCCC" w:sz="2"/>
              <w:bottom w:val="single" w:color="CCCCCC" w:sz="2"/>
              <w:right w:val="single" w:color="CCCCCC" w:sz="2"/>
            </w:tcBorders>
            <w:shd w:fill="0B6B62" w:val="clear"/>
            <w:tcMar>
              <w:top w:type="dxa" w:w="60"/>
              <w:left w:type="dxa" w:w="110"/>
              <w:bottom w:type="dxa" w:w="60"/>
              <w:right w:type="dxa" w:w="110"/>
            </w:tcMar>
            <w:vAlign w:val="center"/>
          </w:tcPr>
          <w:p>
            <w:r>
              <w:rPr>
                <w:b/>
                <w:bCs/>
                <w:color w:val="FFFFFF"/>
                <w:sz w:val="18"/>
                <w:szCs w:val="18"/>
              </w:rPr>
              <w:t xml:space="preserve">Likely cause &amp; fix</w:t>
            </w:r>
          </w:p>
        </w:tc>
      </w:tr>
      <w:tr>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bCs/>
                <w:color w:val="000000"/>
                <w:sz w:val="18"/>
                <w:szCs w:val="18"/>
              </w:rPr>
              <w:t xml:space="preserve">AssertionError: Set GEMINI_API_KEY</w:t>
            </w:r>
          </w:p>
        </w:tc>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val="false"/>
                <w:bCs w:val="false"/>
                <w:color w:val="000000"/>
                <w:sz w:val="18"/>
                <w:szCs w:val="18"/>
              </w:rPr>
              <w:t xml:space="preserve">The secret is missing or misnamed. Check the name is exactly GEMINI_API_KEY and Notebook access is toggled on.</w:t>
            </w:r>
          </w:p>
        </w:tc>
      </w:tr>
      <w:tr>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bCs/>
                <w:color w:val="000000"/>
                <w:sz w:val="18"/>
                <w:szCs w:val="18"/>
              </w:rPr>
              <w:t xml:space="preserve">429 / RESOURCE_EXHAUSTED</w:t>
            </w:r>
          </w:p>
        </w:tc>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val="false"/>
                <w:bCs w:val="false"/>
                <w:color w:val="000000"/>
                <w:sz w:val="18"/>
                <w:szCs w:val="18"/>
              </w:rPr>
              <w:t xml:space="preserve">A rate or quota limit was hit — often a free-tier project. Confirm billing/paid tier is active on the key's project; check your spend cap; wait and retry.</w:t>
            </w:r>
          </w:p>
        </w:tc>
      </w:tr>
      <w:tr>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bCs/>
                <w:color w:val="000000"/>
                <w:sz w:val="18"/>
                <w:szCs w:val="18"/>
              </w:rPr>
              <w:t xml:space="preserve">Model not found / not available</w:t>
            </w:r>
          </w:p>
        </w:tc>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val="false"/>
                <w:bCs w:val="false"/>
                <w:color w:val="000000"/>
                <w:sz w:val="18"/>
                <w:szCs w:val="18"/>
              </w:rPr>
              <w:t xml:space="preserve">Check the model id in Cell 2. gemini-3.5-flash is the current GA flash model; older ones (e.g. gemini-3.5-flash) have been retired. Confirm the model is available on your tier via the pricing page.</w:t>
            </w:r>
          </w:p>
        </w:tc>
      </w:tr>
      <w:tr>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bCs/>
                <w:color w:val="000000"/>
                <w:sz w:val="18"/>
                <w:szCs w:val="18"/>
              </w:rPr>
              <w:t xml:space="preserve">Requests rejected after mid-2026</w:t>
            </w:r>
          </w:p>
        </w:tc>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val="false"/>
                <w:bCs w:val="false"/>
                <w:color w:val="000000"/>
                <w:sz w:val="18"/>
                <w:szCs w:val="18"/>
              </w:rPr>
              <w:t xml:space="preserve">An unrestricted standard key. Create a new key in AI Studio (auth key by default) or add restrictions to the old one.</w:t>
            </w:r>
          </w:p>
        </w:tc>
      </w:tr>
      <w:tr>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bCs/>
                <w:color w:val="000000"/>
                <w:sz w:val="18"/>
                <w:szCs w:val="18"/>
              </w:rPr>
              <w:t xml:space="preserve">FileNotFoundError on a CSV</w:t>
            </w:r>
          </w:p>
        </w:tc>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val="false"/>
                <w:bCs w:val="false"/>
                <w:color w:val="000000"/>
                <w:sz w:val="18"/>
                <w:szCs w:val="18"/>
              </w:rPr>
              <w:t xml:space="preserve">The data/ folder is missing. Re-run the unzip cell, or upload the files into a folder named data.</w:t>
            </w:r>
          </w:p>
        </w:tc>
      </w:tr>
      <w:tr>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bCs/>
                <w:color w:val="000000"/>
                <w:sz w:val="18"/>
                <w:szCs w:val="18"/>
              </w:rPr>
              <w:t xml:space="preserve">.gradio.live link won't open</w:t>
            </w:r>
          </w:p>
        </w:tc>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val="false"/>
                <w:bCs w:val="false"/>
                <w:color w:val="000000"/>
                <w:sz w:val="18"/>
                <w:szCs w:val="18"/>
              </w:rPr>
              <w:t xml:space="preserve">Let Cell 7 finish first; re-run it; or use the local URL it also prints. share=True needs the cell to complete.</w:t>
            </w:r>
          </w:p>
        </w:tc>
      </w:tr>
      <w:tr>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bCs/>
                <w:color w:val="000000"/>
                <w:sz w:val="18"/>
                <w:szCs w:val="18"/>
              </w:rPr>
              <w:t xml:space="preserve">Service stops mid-run</w:t>
            </w:r>
          </w:p>
        </w:tc>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val="false"/>
                <w:bCs w:val="false"/>
                <w:color w:val="000000"/>
                <w:sz w:val="18"/>
                <w:szCs w:val="18"/>
              </w:rPr>
              <w:t xml:space="preserve">Prepay balance depleted. Top up credits (Auto-reload prevents this).</w:t>
            </w:r>
          </w:p>
        </w:tc>
      </w:tr>
    </w:tbl>
    <w:p>
      <w:pPr>
        <w:pStyle w:val="Heading2"/>
      </w:pPr>
      <w:r>
        <w:t xml:space="preserve">14 · Appendix A — Pre-flight checklist</w:t>
      </w:r>
    </w:p>
    <w:p>
      <w:pPr>
        <w:pStyle w:val="ListParagraph"/>
        <w:numPr>
          <w:ilvl w:val="0"/>
          <w:numId w:val="2"/>
        </w:numPr>
        <w:spacing w:after="50"/>
      </w:pPr>
      <w:r>
        <w:t xml:space="preserve">Paid-tier Gemini API key created (auth key) and restricted.</w:t>
      </w:r>
    </w:p>
    <w:p>
      <w:pPr>
        <w:pStyle w:val="ListParagraph"/>
        <w:numPr>
          <w:ilvl w:val="0"/>
          <w:numId w:val="2"/>
        </w:numPr>
        <w:spacing w:after="50"/>
      </w:pPr>
      <w:r>
        <w:t xml:space="preserve">Prepay balance funded; auto-reload on; spend cap + budget alert set.</w:t>
      </w:r>
    </w:p>
    <w:p>
      <w:pPr>
        <w:pStyle w:val="ListParagraph"/>
        <w:numPr>
          <w:ilvl w:val="0"/>
          <w:numId w:val="2"/>
        </w:numPr>
        <w:spacing w:after="50"/>
      </w:pPr>
      <w:r>
        <w:t xml:space="preserve">Notebook uploaded to Colab; GEMINI_API_KEY secret added with notebook access.</w:t>
      </w:r>
    </w:p>
    <w:p>
      <w:pPr>
        <w:pStyle w:val="ListParagraph"/>
        <w:numPr>
          <w:ilvl w:val="0"/>
          <w:numId w:val="2"/>
        </w:numPr>
        <w:spacing w:after="50"/>
      </w:pPr>
      <w:r>
        <w:t xml:space="preserve">kv_data.zip uploaded and unzipped to data/ (six files present).</w:t>
      </w:r>
    </w:p>
    <w:p>
      <w:pPr>
        <w:pStyle w:val="ListParagraph"/>
        <w:numPr>
          <w:ilvl w:val="0"/>
          <w:numId w:val="2"/>
        </w:numPr>
        <w:spacing w:after="50"/>
      </w:pPr>
      <w:r>
        <w:t xml:space="preserve">Evidence folder and naming convention ready.</w:t>
      </w:r>
    </w:p>
    <w:p>
      <w:pPr>
        <w:pStyle w:val="ListParagraph"/>
        <w:numPr>
          <w:ilvl w:val="0"/>
          <w:numId w:val="2"/>
        </w:numPr>
        <w:spacing w:after="50"/>
      </w:pPr>
      <w:r>
        <w:t xml:space="preserve">Model id + run date noted for the record.</w:t>
      </w:r>
    </w:p>
    <w:p>
      <w:pPr>
        <w:pStyle w:val="ListParagraph"/>
        <w:numPr>
          <w:ilvl w:val="0"/>
          <w:numId w:val="2"/>
        </w:numPr>
        <w:spacing w:after="50"/>
      </w:pPr>
      <w:r>
        <w:t xml:space="preserve">Screen recorder ready for the baseline demo and the two probe runs.</w:t>
      </w:r>
    </w:p>
    <w:p>
      <w:pPr>
        <w:pStyle w:val="Heading2"/>
      </w:pPr>
      <w:r>
        <w:t xml:space="preserve">15 · Appendix B — About the deliberate weaknesses</w:t>
      </w:r>
    </w:p>
    <w:p>
      <w:pPr>
        <w:spacing w:after="110"/>
      </w:pPr>
      <w:r>
        <w:t xml:space="preserve">This app is intentionally imperfect — no AI disclosure, the whole customer table in context, no identity check, no injection defence, PII logged in clear. Do not fix these before auditing; finding them is the exercise. The full spoiler map (gap → week) is in the last cell of the notebook. Treat it as an answer key to confirm your findings, not a shortcut.</w:t>
      </w:r>
    </w:p>
    <w:p>
      <w:pPr>
        <w:pStyle w:val="Heading2"/>
      </w:pPr>
      <w:r>
        <w:t xml:space="preserve">16 · Appendix C — Environment record (fill in each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Borders>
              <w:top w:val="single" w:color="CCCCCC" w:sz="2"/>
              <w:left w:val="single" w:color="CCCCCC" w:sz="2"/>
              <w:bottom w:val="single" w:color="CCCCCC" w:sz="2"/>
              <w:right w:val="single" w:color="CCCCCC" w:sz="2"/>
            </w:tcBorders>
            <w:shd w:fill="0B6B62" w:val="clear"/>
            <w:tcMar>
              <w:top w:type="dxa" w:w="60"/>
              <w:left w:type="dxa" w:w="110"/>
              <w:bottom w:type="dxa" w:w="60"/>
              <w:right w:type="dxa" w:w="110"/>
            </w:tcMar>
            <w:vAlign w:val="center"/>
          </w:tcPr>
          <w:p>
            <w:r>
              <w:rPr>
                <w:b/>
                <w:bCs/>
                <w:color w:val="FFFFFF"/>
                <w:sz w:val="18"/>
                <w:szCs w:val="18"/>
              </w:rPr>
              <w:t xml:space="preserve">Field</w:t>
            </w:r>
          </w:p>
        </w:tc>
        <w:tc>
          <w:tcPr>
            <w:tcBorders>
              <w:top w:val="single" w:color="CCCCCC" w:sz="2"/>
              <w:left w:val="single" w:color="CCCCCC" w:sz="2"/>
              <w:bottom w:val="single" w:color="CCCCCC" w:sz="2"/>
              <w:right w:val="single" w:color="CCCCCC" w:sz="2"/>
            </w:tcBorders>
            <w:shd w:fill="0B6B62" w:val="clear"/>
            <w:tcMar>
              <w:top w:type="dxa" w:w="60"/>
              <w:left w:type="dxa" w:w="110"/>
              <w:bottom w:type="dxa" w:w="60"/>
              <w:right w:type="dxa" w:w="110"/>
            </w:tcMar>
            <w:vAlign w:val="center"/>
          </w:tcPr>
          <w:p>
            <w:r>
              <w:rPr>
                <w:b/>
                <w:bCs/>
                <w:color w:val="FFFFFF"/>
                <w:sz w:val="18"/>
                <w:szCs w:val="18"/>
              </w:rPr>
              <w:t xml:space="preserve">Value</w:t>
            </w:r>
          </w:p>
        </w:tc>
      </w:tr>
      <w:tr>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bCs/>
                <w:color w:val="000000"/>
                <w:sz w:val="18"/>
                <w:szCs w:val="18"/>
              </w:rPr>
              <w:t xml:space="preserve">Model id</w:t>
            </w:r>
          </w:p>
        </w:tc>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val="false"/>
                <w:bCs w:val="false"/>
                <w:color w:val="000000"/>
                <w:sz w:val="18"/>
                <w:szCs w:val="18"/>
              </w:rPr>
              <w:t xml:space="preserve">gemini-3.5-flash</w:t>
            </w:r>
          </w:p>
        </w:tc>
      </w:tr>
      <w:tr>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bCs/>
                <w:color w:val="000000"/>
                <w:sz w:val="18"/>
                <w:szCs w:val="18"/>
              </w:rPr>
              <w:t xml:space="preserve">Run date / time</w:t>
            </w:r>
          </w:p>
        </w:tc>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val="false"/>
                <w:bCs w:val="false"/>
                <w:color w:val="000000"/>
                <w:sz w:val="18"/>
                <w:szCs w:val="18"/>
              </w:rPr>
              <w:t xml:space="preserve"/>
            </w:r>
          </w:p>
        </w:tc>
      </w:tr>
      <w:tr>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bCs/>
                <w:color w:val="000000"/>
                <w:sz w:val="18"/>
                <w:szCs w:val="18"/>
              </w:rPr>
              <w:t xml:space="preserve">Region</w:t>
            </w:r>
          </w:p>
        </w:tc>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val="false"/>
                <w:bCs w:val="false"/>
                <w:color w:val="000000"/>
                <w:sz w:val="18"/>
                <w:szCs w:val="18"/>
              </w:rPr>
              <w:t xml:space="preserve"/>
            </w:r>
          </w:p>
        </w:tc>
      </w:tr>
      <w:tr>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bCs/>
                <w:color w:val="000000"/>
                <w:sz w:val="18"/>
                <w:szCs w:val="18"/>
              </w:rPr>
              <w:t xml:space="preserve">Key project name</w:t>
            </w:r>
          </w:p>
        </w:tc>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val="false"/>
                <w:bCs w:val="false"/>
                <w:color w:val="000000"/>
                <w:sz w:val="18"/>
                <w:szCs w:val="18"/>
              </w:rPr>
              <w:t xml:space="preserve"/>
            </w:r>
          </w:p>
        </w:tc>
      </w:tr>
      <w:tr>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bCs/>
                <w:color w:val="000000"/>
                <w:sz w:val="18"/>
                <w:szCs w:val="18"/>
              </w:rPr>
              <w:t xml:space="preserve">SDK version (google-genai)</w:t>
            </w:r>
          </w:p>
        </w:tc>
        <w:tc>
          <w:tcPr>
            <w:tcBorders>
              <w:top w:val="single" w:color="CCCCCC" w:sz="2"/>
              <w:left w:val="single" w:color="CCCCCC" w:sz="2"/>
              <w:bottom w:val="single" w:color="CCCCCC" w:sz="2"/>
              <w:right w:val="single" w:color="CCCCCC" w:sz="2"/>
            </w:tcBorders>
            <w:shd w:fill="F2F4F7" w:val="clear"/>
            <w:tcMar>
              <w:top w:type="dxa" w:w="60"/>
              <w:left w:type="dxa" w:w="110"/>
              <w:bottom w:type="dxa" w:w="60"/>
              <w:right w:type="dxa" w:w="110"/>
            </w:tcMar>
            <w:vAlign w:val="center"/>
          </w:tcPr>
          <w:p>
            <w:r>
              <w:rPr>
                <w:b w:val="false"/>
                <w:bCs w:val="false"/>
                <w:color w:val="000000"/>
                <w:sz w:val="18"/>
                <w:szCs w:val="18"/>
              </w:rPr>
              <w:t xml:space="preserve"/>
            </w:r>
          </w:p>
        </w:tc>
      </w:tr>
      <w:tr>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bCs/>
                <w:color w:val="000000"/>
                <w:sz w:val="18"/>
                <w:szCs w:val="18"/>
              </w:rPr>
              <w:t xml:space="preserve">Notebook version / snapshot ref</w:t>
            </w:r>
          </w:p>
        </w:tc>
        <w:tc>
          <w:tcPr>
            <w:tcBorders>
              <w:top w:val="single" w:color="CCCCCC" w:sz="2"/>
              <w:left w:val="single" w:color="CCCCCC" w:sz="2"/>
              <w:bottom w:val="single" w:color="CCCCCC" w:sz="2"/>
              <w:right w:val="single" w:color="CCCCCC" w:sz="2"/>
            </w:tcBorders>
            <w:tcMar>
              <w:top w:type="dxa" w:w="60"/>
              <w:left w:type="dxa" w:w="110"/>
              <w:bottom w:type="dxa" w:w="60"/>
              <w:right w:type="dxa" w:w="110"/>
            </w:tcMar>
            <w:vAlign w:val="center"/>
          </w:tcPr>
          <w:p>
            <w:r>
              <w:rPr>
                <w:b w:val="false"/>
                <w:bCs w:val="false"/>
                <w:color w:val="000000"/>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PRIVATE REFERENCE — Kannan K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B62" w:sz="6" w:space="4"/>
      </w:pBdr>
    </w:pPr>
    <w:r>
      <w:rPr>
        <w:color w:val="555555"/>
        <w:sz w:val="16"/>
        <w:szCs w:val="16"/>
      </w:rPr>
      <w:t xml:space="preserve">AI Audit Series · Environment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A2B49"/>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A2B49"/>
      <w:sz w:val="24"/>
      <w:szCs w:val="24"/>
    </w:rPr>
  </w:style>
  <w:style w:type="paragraph" w:styleId="Heading3">
    <w:name w:val="Heading 3"/>
    <w:basedOn w:val="Normal"/>
    <w:next w:val="Normal"/>
    <w:qFormat/>
    <w:pPr>
      <w:spacing w:after="60" w:before="140"/>
      <w:outlineLvl w:val="2"/>
    </w:pPr>
    <w:rPr>
      <w:rFonts w:ascii="Arial" w:cs="Arial" w:eastAsia="Arial" w:hAnsi="Arial"/>
      <w:b/>
      <w:bCs/>
      <w:color w:val="0B6B6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2026-07-08T13:28:44.495Z</dcterms:created>
  <dcterms:modified xsi:type="dcterms:W3CDTF">2026-07-08T13:28:44.507Z</dcterms:modified>
</cp:coreProperties>
</file>

<file path=docProps/custom.xml><?xml version="1.0" encoding="utf-8"?>
<Properties xmlns="http://schemas.openxmlformats.org/officeDocument/2006/custom-properties" xmlns:vt="http://schemas.openxmlformats.org/officeDocument/2006/docPropsVTypes"/>
</file>