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z w:val="20"/>
          <w:szCs w:val="20"/>
        </w:rPr>
        <w:t xml:space="preserve">PRACTICAL AI AUDITING · WEEK 05 · PUBLIC</w:t>
      </w:r>
    </w:p>
    <w:p>
      <w:pPr>
        <w:pStyle w:val="Heading1"/>
        <w:spacing w:after="60"/>
      </w:pPr>
      <w:r>
        <w:t xml:space="preserve">Scope — Sample Governance Documents</w:t>
      </w:r>
    </w:p>
    <w:p>
      <w:pPr>
        <w:spacing w:after="40"/>
      </w:pPr>
      <w:r>
        <w:rPr>
          <w:i/>
          <w:iCs/>
          <w:color w:val="555555"/>
        </w:rPr>
        <w:t xml:space="preserve">What an AI system's governance paperwork looks like — for Kannan's Virtual Bank (fictional)</w:t>
      </w:r>
    </w:p>
    <w:p>
      <w:pPr>
        <w:spacing w:after="150"/>
      </w:pPr>
      <w:r>
        <w:rPr>
          <w:color w:val="1A2B49"/>
          <w:sz w:val="18"/>
          <w:szCs w:val="18"/>
        </w:rPr>
        <w:t xml:space="preserve">Kannan K · AI Governance &amp; Cybersecurity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FF6E8" w:val="clear"/>
            <w:tcMar>
              <w:top w:type="dxa" w:w="130"/>
              <w:left w:type="dxa" w:w="170"/>
              <w:bottom w:type="dxa" w:w="130"/>
              <w:right w:type="dxa" w:w="170"/>
            </w:tcMar>
          </w:tcPr>
          <w:p>
            <w:r>
              <w:rPr>
                <w:b/>
                <w:bCs/>
                <w:color w:val="9A3412"/>
              </w:rPr>
              <w:t xml:space="preserve">SYNTHETIC &amp; FICTIONAL.  </w:t>
            </w:r>
            <w:r>
              <w:t xml:space="preserve">Kannan's Virtual Bank is a fictional institution; every document here is invented for AI-audit training. They are deliberately realistic — including realistic gaps — so you can see both what these artifacts look like and what an auditor flags. These are the documents you REVIEW for the Scope domain; no code is run to produce them.</w:t>
            </w:r>
          </w:p>
        </w:tc>
      </w:tr>
    </w:tbl>
    <w:p>
      <w:pPr>
        <w:spacing w:after="80"/>
      </w:pPr>
      <w:r>
        <w:t xml:space="preserve"/>
      </w:r>
    </w:p>
    <w:p>
      <w:pPr>
        <w:pStyle w:val="Heading2"/>
      </w:pPr>
      <w:r>
        <w:t xml:space="preserve">What this is</w:t>
      </w:r>
    </w:p>
    <w:p>
      <w:pPr>
        <w:spacing w:after="110"/>
      </w:pPr>
      <w:r>
        <w:t xml:space="preserve">When you audit Scope, most of the work is reviewing documentation, not testing the model. This pack is the set of governance documents an auditor requests for the system under audit — the AI System Fact Sheet, the RACI, the register entry, the data-flow map and the output catalogue — populated for the fictional bank. Read each against the ten Scope checks and record what you find in the workbook.</w:t>
      </w:r>
    </w:p>
    <w:p>
      <w:pPr>
        <w:pStyle w:val="Heading2"/>
      </w:pPr>
      <w:r>
        <w:t xml:space="preserve">1 · AI System Fact Sheet</w:t>
      </w:r>
    </w:p>
    <w:p>
      <w:pPr>
        <w:spacing w:after="100"/>
      </w:pPr>
      <w:r>
        <w:t xml:space="preserve">The one-page system description an auditor asks for first. Read it against checks W05-01, W05-05 and W05-07.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
        <w:gridCol w:w="66"/>
      </w:tblGrid>
      <w:tr>
        <w:trPr>
          <w:tblHeader/>
        </w:trPr>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Field</w:t>
            </w:r>
          </w:p>
        </w:tc>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Value</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System name</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KV SupportBot — Customer Support Assistant</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System ID</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AISYS-2026-014</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Version</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1.0</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Purpose</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Provide automated, 24/7 first-line customer support to retail banking customers via chat.</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Intended users</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Retail (individual) banking customers of the Bank.</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Deployment context</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Public-facing web and mobile in-app chat.</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In-scope tasks</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Balance &amp; transaction queries; card blocking; dispute guidance; branch/IFSC lookup; product eligibility guidance.</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Out-of-scope / prohibited</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iCs/>
                <w:color w:val="9A3412"/>
                <w:sz w:val="17"/>
                <w:szCs w:val="17"/>
              </w:rPr>
              <w:t xml:space="preserve">Not documented.</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Business owner</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iCs/>
                <w:color w:val="9A3412"/>
                <w:sz w:val="17"/>
                <w:szCs w:val="17"/>
              </w:rPr>
              <w:t xml:space="preserve">Retail Digital Banking team (no named individual).</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Technical owner</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AI/ML Engineering</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Model</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Google Gemini (API) — version not recorded</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Go-live date</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15 May 2026</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AI disclosure to users</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iCs/>
                <w:color w:val="9A3412"/>
                <w:sz w:val="17"/>
                <w:szCs w:val="17"/>
              </w:rPr>
              <w:t xml:space="preserve">Not specified.</w:t>
            </w:r>
          </w:p>
        </w:tc>
      </w:tr>
    </w:tbl>
    <w:p>
      <w:pPr>
        <w:spacing w:after="70" w:before="30"/>
      </w:pPr>
      <w:r>
        <w:rPr>
          <w:b/>
          <w:bCs/>
          <w:color w:val="1A2B49"/>
        </w:rPr>
        <w:t xml:space="preserve">Gaps to catch:  </w:t>
      </w:r>
      <w:r>
        <w:rPr>
          <w:i/>
          <w:iCs/>
          <w:color w:val="9A3412"/>
        </w:rPr>
        <w:t xml:space="preserve">no out-of-scope / prohibited-use section (W05-07); owner is a team, not a person (W05-02); model version not pinned; AI disclosure not addressed.</w:t>
      </w:r>
    </w:p>
    <w:p>
      <w:pPr>
        <w:pStyle w:val="Heading2"/>
      </w:pPr>
      <w:r>
        <w:t xml:space="preserve">2 · RACI Matrix</w:t>
      </w:r>
    </w:p>
    <w:p>
      <w:pPr>
        <w:spacing w:after="100"/>
      </w:pPr>
      <w:r>
        <w:t xml:space="preserve">Who is Responsible, Accountable, Consulted, Informed across the system's key activities. Read it against W05-02 and W05-03.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
        <w:gridCol w:w="20"/>
        <w:gridCol w:w="23"/>
        <w:gridCol w:w="14"/>
        <w:gridCol w:w="14"/>
      </w:tblGrid>
      <w:tr>
        <w:trPr>
          <w:tblHeader/>
        </w:trPr>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Activity</w:t>
            </w:r>
          </w:p>
        </w:tc>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Responsible</w:t>
            </w:r>
          </w:p>
        </w:tc>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Accountable</w:t>
            </w:r>
          </w:p>
        </w:tc>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Consulted</w:t>
            </w:r>
          </w:p>
        </w:tc>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Informed</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Model &amp; prompt design</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AI/ML Engineer</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Head of Retail Digital</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Risk &amp; Compliance</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CISO</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Data provisioning</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Data Team</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Chief Data Officer</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Privacy Office</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Business owner</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Go-live approval</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AI/ML Engineer</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iCs/>
                <w:color w:val="9A3412"/>
                <w:sz w:val="17"/>
                <w:szCs w:val="17"/>
              </w:rPr>
              <w:t xml:space="preserve">Head of Retail Digital AND CIO</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Risk &amp; Compliance</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Board</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Ongoing monitoring</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AI/ML Engineer</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Head of Retail Digital</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Risk &amp; Compliance</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Incident response</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IT Ops</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Head of Retail Digital</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CISO</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Business owner</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Independent assurance</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iCs/>
                <w:color w:val="9A3412"/>
                <w:sz w:val="17"/>
                <w:szCs w:val="17"/>
              </w:rPr>
              <w:t xml:space="preserve">Not assigned</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iCs/>
                <w:color w:val="9A3412"/>
                <w:sz w:val="17"/>
                <w:szCs w:val="17"/>
              </w:rPr>
              <w:t xml:space="preserve">Not assigned</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w:t>
            </w:r>
          </w:p>
        </w:tc>
      </w:tr>
    </w:tbl>
    <w:p>
      <w:pPr>
        <w:spacing w:after="70" w:before="30"/>
      </w:pPr>
      <w:r>
        <w:rPr>
          <w:b/>
          <w:bCs/>
          <w:color w:val="1A2B49"/>
        </w:rPr>
        <w:t xml:space="preserve">Gaps to catch:  </w:t>
      </w:r>
      <w:r>
        <w:rPr>
          <w:i/>
          <w:iCs/>
          <w:color w:val="9A3412"/>
        </w:rPr>
        <w:t xml:space="preserve">“Go-live approval” has two Accountables — accountability must be singular (W05-03); and there is no independent 3rd-line assurance owner (W05-03).</w:t>
      </w:r>
    </w:p>
    <w:p>
      <w:pPr>
        <w:pStyle w:val="Heading2"/>
      </w:pPr>
      <w:r>
        <w:t xml:space="preserve">3 · AI System Register entry</w:t>
      </w:r>
    </w:p>
    <w:p>
      <w:pPr>
        <w:spacing w:after="100"/>
      </w:pPr>
      <w:r>
        <w:t xml:space="preserve">The inventory row that makes the system visible at portfolio level. Read it against W05-04, W05-09 and W05-10.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
        <w:gridCol w:w="66"/>
      </w:tblGrid>
      <w:tr>
        <w:trPr>
          <w:tblHeader/>
        </w:trPr>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Register field</w:t>
            </w:r>
          </w:p>
        </w:tc>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Value</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System ID</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AISYS-2026-014</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System name</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KV SupportBot</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Owner</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Retail Digital Banking team</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Purpose</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Automated retail customer support (see Fact Sheet)</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Lifecycle stage</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Live (production)</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Go-live date</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15 May 2026</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Model / provider</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Google Gemini (API)</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Data categories</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Customer PII, transactions, product rules, policy KB</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Risk tier</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iCs/>
                <w:color w:val="9A3412"/>
                <w:sz w:val="17"/>
                <w:szCs w:val="17"/>
              </w:rPr>
              <w:t xml:space="preserve">To be assessed</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Next review date</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iCs/>
                <w:color w:val="9A3412"/>
                <w:sz w:val="17"/>
                <w:szCs w:val="17"/>
              </w:rPr>
              <w:t xml:space="preserve">Blank</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Business criticality</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iCs/>
                <w:color w:val="9A3412"/>
                <w:sz w:val="17"/>
                <w:szCs w:val="17"/>
              </w:rPr>
              <w:t xml:space="preserve">Blank</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DPIA status</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Not started</w:t>
            </w:r>
          </w:p>
        </w:tc>
      </w:tr>
    </w:tbl>
    <w:p>
      <w:pPr>
        <w:spacing w:after="70" w:before="30"/>
      </w:pPr>
      <w:r>
        <w:rPr>
          <w:b/>
          <w:bCs/>
          <w:color w:val="1A2B49"/>
        </w:rPr>
        <w:t xml:space="preserve">Gaps to catch:  </w:t>
      </w:r>
      <w:r>
        <w:rPr>
          <w:i/>
          <w:iCs/>
          <w:color w:val="9A3412"/>
        </w:rPr>
        <w:t xml:space="preserve">the entry exists (good) but the risk tier is unassessed (W05-04), there is no review date (W05-09), and criticality is unset (W05-10).</w:t>
      </w:r>
    </w:p>
    <w:p>
      <w:pPr>
        <w:pStyle w:val="Heading2"/>
      </w:pPr>
      <w:r>
        <w:t xml:space="preserve">4 · Data-Flow &amp; Trust-Boundary Map</w:t>
      </w:r>
    </w:p>
    <w:p>
      <w:pPr>
        <w:spacing w:after="100"/>
      </w:pPr>
      <w:r>
        <w:t xml:space="preserve">How data moves through the system, and where it crosses a trust boundary. Read it against W05-08.</w:t>
      </w:r>
    </w:p>
    <w:p>
      <w:pPr>
        <w:pStyle w:val="Heading3"/>
      </w:pPr>
      <w:r>
        <w:t xml:space="preserve">Flow</w:t>
      </w:r>
    </w:p>
    <w:p>
      <w:pPr>
        <w:spacing w:after="100"/>
      </w:pPr>
      <w:r>
        <w:t xml:space="preserve">Customer  →  Chat UI (web/app)  →  SupportBot application (Colab/Gradio)  →  [ TRUST BOUNDARY ]  →  Google Gemini API (external)  →  response back to customer.  In parallel, the application writes every turn to a local log (audit_log.csv).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
        <w:gridCol w:w="30"/>
        <w:gridCol w:w="26"/>
        <w:gridCol w:w="16"/>
      </w:tblGrid>
      <w:tr>
        <w:trPr>
          <w:tblHeader/>
        </w:trPr>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Component</w:t>
            </w:r>
          </w:p>
        </w:tc>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Data it holds / passes</w:t>
            </w:r>
          </w:p>
        </w:tc>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Location</w:t>
            </w:r>
          </w:p>
        </w:tc>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Trust boundary?</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Customer / Chat UI</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The customer's message &amp; identity</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Client</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SupportBot app</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Loads the full customer table, product rules &amp; policy KB into the prompt</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Runtime (Colab)</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Internal</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Gemini API</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iCs/>
                <w:color w:val="9A3412"/>
                <w:sz w:val="17"/>
                <w:szCs w:val="17"/>
              </w:rPr>
              <w:t xml:space="preserve">Receives the whole prompt — including all customer data — every call</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External (Google)</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iCs/>
                <w:color w:val="9A3412"/>
                <w:sz w:val="17"/>
                <w:szCs w:val="17"/>
              </w:rPr>
              <w:t xml:space="preserve">YES — data leaves the org</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Log file</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iCs/>
                <w:color w:val="9A3412"/>
                <w:sz w:val="17"/>
                <w:szCs w:val="17"/>
              </w:rPr>
              <w:t xml:space="preserve">Stores full prompts &amp; responses with PII, unmasked</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Runtime (Colab)</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Internal</w:t>
            </w:r>
          </w:p>
        </w:tc>
      </w:tr>
    </w:tbl>
    <w:p>
      <w:pPr>
        <w:spacing w:after="70" w:before="30"/>
      </w:pPr>
      <w:r>
        <w:rPr>
          <w:b/>
          <w:bCs/>
          <w:color w:val="1A2B49"/>
        </w:rPr>
        <w:t xml:space="preserve">Gaps to catch:  </w:t>
      </w:r>
      <w:r>
        <w:rPr>
          <w:i/>
          <w:iCs/>
          <w:color w:val="9A3412"/>
        </w:rPr>
        <w:t xml:space="preserve">the entire customer table is placed in the model context and sent across a trust boundary on every call (W05-08, feeding W07 and W14); logs retain unmasked PII (feeding W14).</w:t>
      </w:r>
    </w:p>
    <w:p>
      <w:pPr>
        <w:pStyle w:val="Heading2"/>
      </w:pPr>
      <w:r>
        <w:t xml:space="preserve">5 · Output Catalogue</w:t>
      </w:r>
    </w:p>
    <w:p>
      <w:pPr>
        <w:spacing w:after="100"/>
      </w:pPr>
      <w:r>
        <w:t xml:space="preserve">Every output the bot produces, classified by consequence. Read it against W05-06.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
        <w:gridCol w:w="40"/>
        <w:gridCol w:w="26"/>
      </w:tblGrid>
      <w:tr>
        <w:trPr>
          <w:tblHeader/>
        </w:trPr>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Output</w:t>
            </w:r>
          </w:p>
        </w:tc>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Description</w:t>
            </w:r>
          </w:p>
        </w:tc>
        <w:tc>
          <w:tcPr>
            <w:tcBorders>
              <w:top w:val="single" w:color="CCCCCC" w:sz="2"/>
              <w:left w:val="single" w:color="CCCCCC" w:sz="2"/>
              <w:bottom w:val="single" w:color="CCCCCC" w:sz="2"/>
              <w:right w:val="single" w:color="CCCCCC" w:sz="2"/>
            </w:tcBorders>
            <w:shd w:fill="0B6B62" w:val="clear"/>
            <w:tcMar>
              <w:top w:type="dxa" w:w="50"/>
              <w:left w:type="dxa" w:w="100"/>
              <w:bottom w:type="dxa" w:w="50"/>
              <w:right w:type="dxa" w:w="100"/>
            </w:tcMar>
            <w:vAlign w:val="center"/>
          </w:tcPr>
          <w:p>
            <w:r>
              <w:rPr>
                <w:b/>
                <w:bCs/>
                <w:i w:val="false"/>
                <w:iCs w:val="false"/>
                <w:color w:val="FFFFFF"/>
                <w:sz w:val="17"/>
                <w:szCs w:val="17"/>
              </w:rPr>
              <w:t xml:space="preserve">Classification</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Balance / transaction info</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Reads back account information</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Advisory (informational)</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Card-block guidance</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Tells the customer how to block a card</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Advisory</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Dispute guidance</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Explains the dispute process</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Advisory</w:t>
            </w:r>
          </w:p>
        </w:tc>
      </w:tr>
      <w:tr>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Branch / IFSC info</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Looks up branch details</w:t>
            </w:r>
          </w:p>
        </w:tc>
        <w:tc>
          <w:tcPr>
            <w:tcBorders>
              <w:top w:val="single" w:color="CCCCCC" w:sz="2"/>
              <w:left w:val="single" w:color="CCCCCC" w:sz="2"/>
              <w:bottom w:val="single" w:color="CCCCCC" w:sz="2"/>
              <w:right w:val="single" w:color="CCCCCC" w:sz="2"/>
            </w:tcBorders>
            <w:shd w:fill="F2F4F7" w:val="clear"/>
            <w:tcMar>
              <w:top w:type="dxa" w:w="50"/>
              <w:left w:type="dxa" w:w="100"/>
              <w:bottom w:type="dxa" w:w="50"/>
              <w:right w:type="dxa" w:w="100"/>
            </w:tcMar>
            <w:vAlign w:val="center"/>
          </w:tcPr>
          <w:p>
            <w:r>
              <w:rPr>
                <w:b w:val="false"/>
                <w:bCs w:val="false"/>
                <w:i w:val="false"/>
                <w:iCs w:val="false"/>
                <w:color w:val="000000"/>
                <w:sz w:val="17"/>
                <w:szCs w:val="17"/>
              </w:rPr>
              <w:t xml:space="preserve">Advisory</w:t>
            </w:r>
          </w:p>
        </w:tc>
      </w:tr>
      <w:tr>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Eligibility verdict</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val="false"/>
                <w:iCs w:val="false"/>
                <w:color w:val="000000"/>
                <w:sz w:val="17"/>
                <w:szCs w:val="17"/>
              </w:rPr>
              <w:t xml:space="preserve">States whether a customer qualifies for a card/loan</w:t>
            </w:r>
          </w:p>
        </w:tc>
        <w:tc>
          <w:tcPr>
            <w:tcBorders>
              <w:top w:val="single" w:color="CCCCCC" w:sz="2"/>
              <w:left w:val="single" w:color="CCCCCC" w:sz="2"/>
              <w:bottom w:val="single" w:color="CCCCCC" w:sz="2"/>
              <w:right w:val="single" w:color="CCCCCC" w:sz="2"/>
            </w:tcBorders>
            <w:tcMar>
              <w:top w:type="dxa" w:w="50"/>
              <w:left w:type="dxa" w:w="100"/>
              <w:bottom w:type="dxa" w:w="50"/>
              <w:right w:type="dxa" w:w="100"/>
            </w:tcMar>
            <w:vAlign w:val="center"/>
          </w:tcPr>
          <w:p>
            <w:r>
              <w:rPr>
                <w:b w:val="false"/>
                <w:bCs w:val="false"/>
                <w:i/>
                <w:iCs/>
                <w:color w:val="9A3412"/>
                <w:sz w:val="17"/>
                <w:szCs w:val="17"/>
              </w:rPr>
              <w:t xml:space="preserve">Advisory — informational only</w:t>
            </w:r>
          </w:p>
        </w:tc>
      </w:tr>
    </w:tbl>
    <w:p>
      <w:pPr>
        <w:spacing w:after="70" w:before="30"/>
      </w:pPr>
      <w:r>
        <w:rPr>
          <w:b/>
          <w:bCs/>
          <w:color w:val="1A2B49"/>
        </w:rPr>
        <w:t xml:space="preserve">Gap to catch:  </w:t>
      </w:r>
      <w:r>
        <w:rPr>
          <w:i/>
          <w:iCs/>
          <w:color w:val="9A3412"/>
        </w:rPr>
        <w:t xml:space="preserve">the eligibility verdict is labelled “advisory,” but a customer acts on it — it is consequential, and needs explanation and oversight (W05-06, feeding W13 and W15).</w:t>
      </w:r>
    </w:p>
    <w:p>
      <w:pPr>
        <w:pBdr>
          <w:top w:val="single" w:color="DDDDDD" w:sz="4" w:space="6"/>
        </w:pBdr>
        <w:spacing w:before="160"/>
      </w:pPr>
      <w:r>
        <w:rPr>
          <w:i/>
          <w:iCs/>
          <w:color w:val="555555"/>
          <w:sz w:val="16"/>
          <w:szCs w:val="16"/>
        </w:rPr>
        <w:t xml:space="preserve">Kannan's Virtual Bank is fictional; all data synthetic; for education only. An audit accelerator, not a compliance guarantee.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Kannan K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B62" w:sz="6" w:space="4"/>
      </w:pBdr>
    </w:pPr>
    <w:r>
      <w:rPr>
        <w:color w:val="555555"/>
        <w:sz w:val="16"/>
        <w:szCs w:val="16"/>
      </w:rPr>
      <w:t xml:space="preserve">Week 05 · Sample Governance Documents (PUBLIC) · Kannan's Virtual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A2B49"/>
      <w:sz w:val="30"/>
      <w:szCs w:val="30"/>
    </w:rPr>
  </w:style>
  <w:style w:type="paragraph" w:styleId="Heading2">
    <w:name w:val="Heading 2"/>
    <w:basedOn w:val="Normal"/>
    <w:next w:val="Normal"/>
    <w:qFormat/>
    <w:pPr>
      <w:spacing w:after="80" w:before="220"/>
      <w:outlineLvl w:val="1"/>
    </w:pPr>
    <w:rPr>
      <w:rFonts w:ascii="Arial" w:cs="Arial" w:eastAsia="Arial" w:hAnsi="Arial"/>
      <w:b/>
      <w:bCs/>
      <w:color w:val="1A2B49"/>
      <w:sz w:val="24"/>
      <w:szCs w:val="24"/>
    </w:rPr>
  </w:style>
  <w:style w:type="paragraph" w:styleId="Heading3">
    <w:name w:val="Heading 3"/>
    <w:basedOn w:val="Normal"/>
    <w:next w:val="Normal"/>
    <w:qFormat/>
    <w:pPr>
      <w:spacing w:after="50" w:before="120"/>
      <w:outlineLvl w:val="2"/>
    </w:pPr>
    <w:rPr>
      <w:rFonts w:ascii="Arial" w:cs="Arial" w:eastAsia="Arial" w:hAnsi="Arial"/>
      <w:b/>
      <w:bCs/>
      <w:color w:val="0B6B6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2026-07-14T11:46:13.847Z</dcterms:created>
  <dcterms:modified xsi:type="dcterms:W3CDTF">2026-07-14T11:46:13.860Z</dcterms:modified>
</cp:coreProperties>
</file>

<file path=docProps/custom.xml><?xml version="1.0" encoding="utf-8"?>
<Properties xmlns="http://schemas.openxmlformats.org/officeDocument/2006/custom-properties" xmlns:vt="http://schemas.openxmlformats.org/officeDocument/2006/docPropsVTypes"/>
</file>