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健康医院检验检查与报告领取规定</w:t>
      </w:r>
    </w:p>
    <w:p>
      <w:pPr>
        <w:jc w:val="center"/>
      </w:pPr>
      <w:r>
        <w:rPr>
          <w:rFonts w:ascii="Microsoft YaHei" w:hAnsi="Microsoft YaHei" w:eastAsia="Microsoft YaHei"/>
          <w:color w:val="5A6460"/>
          <w:sz w:val="20"/>
        </w:rPr>
        <w:t>向量检索联调测试资料</w:t>
      </w:r>
    </w:p>
    <w:p>
      <w:r>
        <w:t>本规定说明门诊检验、影像检查和病理检查报告的查询、领取及隐私验证要求，用于测试知识库对“化验单在哪里下载”等不同问法的语义召回能力。</w:t>
      </w:r>
    </w:p>
    <w:p>
      <w:pPr>
        <w:pStyle w:val="Heading1"/>
      </w:pPr>
      <w:r>
        <w:t>报告生成时间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376"/>
            <w:vAlign w:val="center"/>
            <w:shd w:fill="244A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报告类型</w:t>
            </w:r>
          </w:p>
        </w:tc>
        <w:tc>
          <w:tcPr>
            <w:tcW w:type="dxa" w:w="2880"/>
            <w:vAlign w:val="center"/>
            <w:shd w:fill="244A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一般出具时间</w:t>
            </w:r>
          </w:p>
        </w:tc>
        <w:tc>
          <w:tcPr>
            <w:tcW w:type="dxa" w:w="4536"/>
            <w:vAlign w:val="center"/>
            <w:shd w:fill="244A4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</w:rPr>
              <w:t>特别说明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常规检验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采样后 2 至 24 小时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以检验单标注时间为准</w:t>
            </w:r>
          </w:p>
        </w:tc>
      </w:tr>
      <w:tr>
        <w:tc>
          <w:tcPr>
            <w:tcW w:type="dxa" w:w="2376"/>
            <w:vAlign w:val="center"/>
            <w:shd w:fill="F2F7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影像检查</w:t>
            </w:r>
          </w:p>
        </w:tc>
        <w:tc>
          <w:tcPr>
            <w:tcW w:type="dxa" w:w="2880"/>
            <w:vAlign w:val="center"/>
            <w:shd w:fill="F2F7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检查后 24 至 48 小时</w:t>
            </w:r>
          </w:p>
        </w:tc>
        <w:tc>
          <w:tcPr>
            <w:tcW w:type="dxa" w:w="4536"/>
            <w:vAlign w:val="center"/>
            <w:shd w:fill="F2F7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急诊影像按临床需要优先</w:t>
            </w:r>
          </w:p>
        </w:tc>
      </w:tr>
      <w:t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病理检查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9"/>
              </w:rPr>
              <w:t>送检后 5 至 7 个工作日</w:t>
            </w:r>
          </w:p>
        </w:tc>
        <w:tc>
          <w:tcPr>
            <w:tcW w:type="dxa" w:w="45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复杂病例或会诊可能延长</w:t>
            </w:r>
          </w:p>
        </w:tc>
      </w:tr>
    </w:tbl>
    <w:p>
      <w:pPr>
        <w:pStyle w:val="Heading1"/>
      </w:pPr>
      <w:r>
        <w:t>查询和领取方式</w:t>
      </w:r>
    </w:p>
    <w:p>
      <w:pPr>
        <w:pStyle w:val="ListBullet"/>
      </w:pPr>
      <w:r>
        <w:t>手机端查询：报告出具后，患者可在医院手机端的“报告查询”栏目完成实名验证并查看或下载电子报告。</w:t>
      </w:r>
    </w:p>
    <w:p>
      <w:pPr>
        <w:pStyle w:val="ListBullet"/>
      </w:pPr>
      <w:r>
        <w:t>自助机打印：患者可凭就诊卡、电子健康码或身份证，在门诊自助服务区打印检验和影像报告。</w:t>
      </w:r>
    </w:p>
    <w:p>
      <w:pPr>
        <w:pStyle w:val="ListBullet"/>
      </w:pPr>
      <w:r>
        <w:t>窗口领取：病理报告、依法需要签收的报告或系统无法显示的报告，应到指定报告窗口领取。代领人须同时出示患者和代领人的有效身份证件以及患者授权凭证。</w:t>
      </w:r>
    </w:p>
    <w:p>
      <w:pPr>
        <w:pStyle w:val="Heading1"/>
      </w:pPr>
      <w:r>
        <w:t>隐私和异常结果</w:t>
      </w:r>
    </w:p>
    <w:p>
      <w:r>
        <w:t>报告属于患者个人健康信息。工作人员不得通过普通短信、公开聊天群或未经验证的电子邮箱发送完整报告。患者发现姓名、就诊号或检查项目有误时，应暂停使用该报告，并联系报告窗口核验。</w:t>
      </w:r>
    </w:p>
    <w:p>
      <w:r>
        <w:t>出现危急值时，检验或检查科室会优先通知开单科室，由医务人员结合病情联系患者并安排处置。手机端尚未显示报告不代表结果正常；急症患者应当遵从现场医务人员安排，不应等待线上报告后再决定是否就医。</w:t>
      </w:r>
    </w:p>
    <w:p>
      <w:pPr>
        <w:pStyle w:val="Heading1"/>
      </w:pPr>
      <w:r>
        <w:t>建议测试问题</w:t>
      </w:r>
    </w:p>
    <w:p>
      <w:pPr>
        <w:pStyle w:val="ListBullet"/>
      </w:pPr>
      <w:r>
        <w:t>化验结果出来后在哪里下载</w:t>
      </w:r>
    </w:p>
    <w:p>
      <w:pPr>
        <w:pStyle w:val="ListBullet"/>
      </w:pPr>
      <w:r>
        <w:t>家属能不能帮我领取病理报告</w:t>
      </w:r>
    </w:p>
    <w:p>
      <w:pPr>
        <w:pStyle w:val="ListBullet"/>
      </w:pPr>
      <w:r>
        <w:t>核磁共振报告一般多久能拿到</w:t>
      </w:r>
    </w:p>
    <w:p>
      <w:pPr>
        <w:pStyle w:val="ListBullet"/>
      </w:pPr>
      <w:r>
        <w:t>医院会不会把完整报告直接发到微信群</w:t>
      </w:r>
    </w:p>
    <w:sectPr w:rsidR="00FC693F" w:rsidRPr="0006063C" w:rsidSect="00034616">
      <w:pgSz w:w="12240" w:h="15840"/>
      <w:pgMar w:top="749" w:right="1123" w:bottom="74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Microsoft YaHei" w:hAnsi="Microsoft YaHei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