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323FFCD9" w:rsidR="00825AB7" w:rsidRDefault="00FD5CD9">
      <w:pPr>
        <w:spacing w:after="134" w:line="479" w:lineRule="auto"/>
        <w:ind w:left="1646" w:right="1649"/>
        <w:jc w:val="center"/>
        <w:rPr>
          <w:rFonts w:ascii="黑体" w:eastAsia="黑体" w:hAnsi="黑体" w:cs="黑体"/>
          <w:sz w:val="44"/>
          <w:lang w:eastAsia="zh-CN"/>
        </w:rPr>
      </w:pPr>
      <w:r w:rsidRPr="00FD5CD9">
        <w:rPr>
          <w:rFonts w:ascii="黑体" w:eastAsia="黑体" w:hAnsi="黑体" w:cs="黑体" w:hint="eastAsia"/>
          <w:sz w:val="44"/>
          <w:lang w:eastAsia="zh-CN"/>
        </w:rPr>
        <w:t>跨文化环境中组织信息系统采纳与信任机制构建研究</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1CC70AED" w:rsidR="00B953B7" w:rsidRDefault="00FD5CD9">
      <w:pPr>
        <w:spacing w:after="347" w:line="348" w:lineRule="auto"/>
        <w:ind w:left="194" w:hanging="10"/>
        <w:rPr>
          <w:lang w:eastAsia="zh-CN"/>
        </w:rPr>
      </w:pPr>
      <w:r w:rsidRPr="00FD5CD9">
        <w:rPr>
          <w:rFonts w:ascii="华文仿宋" w:eastAsia="华文仿宋" w:hAnsi="华文仿宋" w:cs="华文仿宋" w:hint="eastAsia"/>
          <w:sz w:val="18"/>
          <w:lang w:eastAsia="zh-CN"/>
        </w:rPr>
        <w:t>本研究聚焦跨文化环境下组织信息系统的采纳与信任机制构建，旨在探讨全球化背景中企业间合作的关键因素。通过整合资源依赖理论、</w:t>
      </w:r>
      <w:r w:rsidRPr="00FD5CD9">
        <w:rPr>
          <w:rFonts w:ascii="华文仿宋" w:eastAsia="华文仿宋" w:hAnsi="华文仿宋" w:cs="华文仿宋"/>
          <w:sz w:val="18"/>
          <w:lang w:eastAsia="zh-CN"/>
        </w:rPr>
        <w:t>TOE</w:t>
      </w:r>
      <w:r w:rsidRPr="00FD5CD9">
        <w:rPr>
          <w:rFonts w:ascii="华文仿宋" w:eastAsia="华文仿宋" w:hAnsi="华文仿宋" w:cs="华文仿宋" w:hint="eastAsia"/>
          <w:sz w:val="18"/>
          <w:lang w:eastAsia="zh-CN"/>
        </w:rPr>
        <w:t>框架和</w:t>
      </w:r>
      <w:r w:rsidRPr="00FD5CD9">
        <w:rPr>
          <w:rFonts w:ascii="华文仿宋" w:eastAsia="华文仿宋" w:hAnsi="华文仿宋" w:cs="华文仿宋"/>
          <w:sz w:val="18"/>
          <w:lang w:eastAsia="zh-CN"/>
        </w:rPr>
        <w:t>UTAUT</w:t>
      </w:r>
      <w:r w:rsidRPr="00FD5CD9">
        <w:rPr>
          <w:rFonts w:ascii="华文仿宋" w:eastAsia="华文仿宋" w:hAnsi="华文仿宋" w:cs="华文仿宋" w:hint="eastAsia"/>
          <w:sz w:val="18"/>
          <w:lang w:eastAsia="zh-CN"/>
        </w:rPr>
        <w:t>模型，本文构建了一个综合性理论模型，以揭示文化因素与信任机制在信息系统采纳中的作用。研究采用定量与定性方法，结合多个案例进行实证分析。结果表明，跨文化因素显著影响信息系统的采纳决策，而信任机制则在企业间合作中起到至关重要的作用。研究不仅拓展了现有理论，还为跨文化环境中的企业提供了实践指导，具有重要的理论和现实意义。</w:t>
      </w:r>
    </w:p>
    <w:p w14:paraId="0E6DC8FB" w14:textId="68A968B9" w:rsidR="00B953B7" w:rsidRDefault="00000000">
      <w:pPr>
        <w:spacing w:after="729" w:line="348" w:lineRule="auto"/>
        <w:ind w:left="194" w:hanging="10"/>
        <w:rPr>
          <w:lang w:eastAsia="zh-CN"/>
        </w:rPr>
      </w:pPr>
      <w:r>
        <w:rPr>
          <w:rFonts w:ascii="黑体" w:eastAsia="黑体" w:hAnsi="黑体" w:cs="黑体"/>
          <w:sz w:val="18"/>
          <w:lang w:eastAsia="zh-CN"/>
        </w:rPr>
        <w:t>关键词：</w:t>
      </w:r>
      <w:r w:rsidR="00FD5CD9" w:rsidRPr="00FD5CD9">
        <w:rPr>
          <w:rFonts w:ascii="华文仿宋" w:eastAsia="华文仿宋" w:hAnsi="华文仿宋" w:cs="华文仿宋" w:hint="eastAsia"/>
          <w:sz w:val="18"/>
          <w:lang w:eastAsia="zh-CN"/>
        </w:rPr>
        <w:t>跨文化环境</w:t>
      </w:r>
      <w:r w:rsidR="00825AB7" w:rsidRPr="00615BB0">
        <w:rPr>
          <w:rFonts w:ascii="华文仿宋" w:eastAsia="华文仿宋" w:hAnsi="华文仿宋" w:cs="华文仿宋" w:hint="eastAsia"/>
          <w:sz w:val="18"/>
          <w:lang w:eastAsia="zh-CN"/>
        </w:rPr>
        <w:t>；</w:t>
      </w:r>
      <w:r w:rsidR="00FD5CD9" w:rsidRPr="00FD5CD9">
        <w:rPr>
          <w:rFonts w:ascii="华文仿宋" w:eastAsia="华文仿宋" w:hAnsi="华文仿宋" w:cs="华文仿宋" w:hint="eastAsia"/>
          <w:sz w:val="18"/>
          <w:lang w:eastAsia="zh-CN"/>
        </w:rPr>
        <w:t>组织信息系统采纳</w:t>
      </w:r>
      <w:r>
        <w:rPr>
          <w:rFonts w:ascii="华文仿宋" w:eastAsia="华文仿宋" w:hAnsi="华文仿宋" w:cs="华文仿宋"/>
          <w:sz w:val="18"/>
          <w:lang w:eastAsia="zh-CN"/>
        </w:rPr>
        <w:t>；</w:t>
      </w:r>
      <w:r w:rsidR="00FD5CD9" w:rsidRPr="00FD5CD9">
        <w:rPr>
          <w:rFonts w:ascii="华文仿宋" w:eastAsia="华文仿宋" w:hAnsi="华文仿宋" w:cs="华文仿宋" w:hint="eastAsia"/>
          <w:sz w:val="18"/>
          <w:lang w:eastAsia="zh-CN"/>
        </w:rPr>
        <w:t>信任机制构建</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3EA9779A" w14:textId="3CE08650" w:rsidR="00FD5CD9" w:rsidRPr="00FD5CD9" w:rsidRDefault="00FD5CD9" w:rsidP="00FD5CD9">
      <w:pPr>
        <w:spacing w:after="165" w:line="317" w:lineRule="auto"/>
        <w:ind w:left="-15" w:right="-15" w:firstLine="410"/>
        <w:rPr>
          <w:rFonts w:ascii="宋体" w:eastAsia="宋体" w:hAnsi="宋体" w:cs="宋体"/>
          <w:sz w:val="20"/>
          <w:szCs w:val="20"/>
          <w:lang w:eastAsia="zh-CN"/>
        </w:rPr>
      </w:pPr>
      <w:r w:rsidRPr="00FD5CD9">
        <w:rPr>
          <w:rFonts w:ascii="宋体" w:eastAsia="宋体" w:hAnsi="宋体" w:cs="宋体" w:hint="eastAsia"/>
          <w:sz w:val="20"/>
          <w:szCs w:val="20"/>
          <w:lang w:eastAsia="zh-CN"/>
        </w:rPr>
        <w:t>在全球化的背景下，跨文化环境已成为现代企业经营中的常态。随着信息技术的迅猛发展，组织信息系统在企业间的合作与竞争中扮演着越来越重要的角色。然而，不同文化背景下的信息系统采纳面临诸多挑战，尤其是在企业间信任机制的构建上。信任作为跨文化企业合作的基础，其有效性直接影响信息系统的采纳与应用</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1</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。尽管已有大量研究探讨了信息系统采纳的影响因素，但大多数研究集中于单一文化背景，缺乏对跨文化环境下信任机制的深入分析。</w:t>
      </w:r>
    </w:p>
    <w:p w14:paraId="630DB2AF" w14:textId="73144662" w:rsidR="00FD5CD9" w:rsidRPr="00FD5CD9" w:rsidRDefault="00FD5CD9" w:rsidP="00FD5CD9">
      <w:pPr>
        <w:spacing w:after="165" w:line="317" w:lineRule="auto"/>
        <w:ind w:left="-15" w:right="-15" w:firstLine="410"/>
        <w:rPr>
          <w:rFonts w:ascii="宋体" w:eastAsia="宋体" w:hAnsi="宋体" w:cs="宋体"/>
          <w:sz w:val="20"/>
          <w:szCs w:val="20"/>
          <w:lang w:eastAsia="zh-CN"/>
        </w:rPr>
      </w:pPr>
      <w:r w:rsidRPr="00FD5CD9">
        <w:rPr>
          <w:rFonts w:ascii="宋体" w:eastAsia="宋体" w:hAnsi="宋体" w:cs="宋体" w:hint="eastAsia"/>
          <w:sz w:val="20"/>
          <w:szCs w:val="20"/>
          <w:lang w:eastAsia="zh-CN"/>
        </w:rPr>
        <w:t>本研究旨在填补这一研究空白，通过整合资源依赖理论、</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模型，构建一个综合性理论模型，以探讨跨文化环境中企业间信任机制在信息系统采纳中的作用</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2</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首先，本文回顾了现有的相关文献，分析了跨文化环境下组织信息系统采纳的关键影响因素。然后，通过实证研究，探讨了信任机制在不同文化背景下的应用效果。研究发现，文化差异在信息系统采纳过程中起到重要作用，而信任机制则在跨文化企业合作中具有显著的影响力。</w:t>
      </w:r>
    </w:p>
    <w:p w14:paraId="06EF37C6" w14:textId="1F8CD3AB" w:rsidR="007D2BCA" w:rsidRDefault="00FD5CD9" w:rsidP="00FD5CD9">
      <w:pPr>
        <w:spacing w:after="165" w:line="317" w:lineRule="auto"/>
        <w:ind w:left="-15" w:right="-15" w:firstLine="410"/>
        <w:rPr>
          <w:rFonts w:ascii="宋体" w:eastAsia="宋体" w:hAnsi="宋体" w:cs="宋体"/>
          <w:sz w:val="20"/>
          <w:szCs w:val="20"/>
          <w:lang w:eastAsia="zh-CN"/>
        </w:rPr>
      </w:pPr>
      <w:r w:rsidRPr="00FD5CD9">
        <w:rPr>
          <w:rFonts w:ascii="宋体" w:eastAsia="宋体" w:hAnsi="宋体" w:cs="宋体" w:hint="eastAsia"/>
          <w:sz w:val="20"/>
          <w:szCs w:val="20"/>
          <w:lang w:eastAsia="zh-CN"/>
        </w:rPr>
        <w:t>本研究不仅丰富了组织信息系统采纳的理论框架，还为跨文化企业提供了实用的指导建议，帮助企业更好地应对全球化带来的复杂性与不确定性。通过深入分析跨文化环境中的信任机制构建，本研究为提升信息系统采纳的有效性提供了新的视角和思路。这对于企业在全球市场中的竞争力提升具有重要意义。</w:t>
      </w:r>
    </w:p>
    <w:p w14:paraId="025FA16B" w14:textId="77777777" w:rsidR="00FD5CD9" w:rsidRPr="00C3045F" w:rsidRDefault="00FD5CD9" w:rsidP="00C96101">
      <w:pPr>
        <w:spacing w:after="165" w:line="317" w:lineRule="auto"/>
        <w:ind w:right="-15"/>
        <w:rPr>
          <w:rFonts w:ascii="宋体" w:eastAsia="宋体" w:hAnsi="宋体" w:cs="宋体"/>
          <w:sz w:val="20"/>
          <w:szCs w:val="20"/>
          <w:lang w:eastAsia="zh-CN"/>
        </w:rPr>
      </w:pPr>
    </w:p>
    <w:p w14:paraId="4F4F4677" w14:textId="1CB91085" w:rsidR="00B953B7" w:rsidRDefault="00FD5CD9">
      <w:pPr>
        <w:pStyle w:val="1"/>
        <w:ind w:left="410" w:hanging="425"/>
        <w:rPr>
          <w:lang w:eastAsia="zh-CN"/>
        </w:rPr>
      </w:pPr>
      <w:r w:rsidRPr="00FD5CD9">
        <w:rPr>
          <w:rFonts w:hint="eastAsia"/>
          <w:lang w:eastAsia="zh-CN"/>
        </w:rPr>
        <w:t>文献综述</w:t>
      </w:r>
    </w:p>
    <w:p w14:paraId="448FB47D" w14:textId="3FF184D2" w:rsidR="00B953B7" w:rsidRDefault="00FD5CD9">
      <w:pPr>
        <w:pStyle w:val="2"/>
        <w:ind w:left="477" w:hanging="492"/>
        <w:rPr>
          <w:lang w:eastAsia="zh-CN"/>
        </w:rPr>
      </w:pPr>
      <w:r w:rsidRPr="00FD5CD9">
        <w:rPr>
          <w:rFonts w:ascii="黑体" w:eastAsia="黑体" w:hAnsi="黑体" w:cs="黑体" w:hint="eastAsia"/>
          <w:lang w:eastAsia="zh-CN"/>
        </w:rPr>
        <w:t>跨文化环境下的组织信息系统采纳</w:t>
      </w:r>
    </w:p>
    <w:p w14:paraId="580C04A3" w14:textId="02D456C3" w:rsidR="00B953B7" w:rsidRPr="00C3045F" w:rsidRDefault="00FD5CD9" w:rsidP="00AA7CA6">
      <w:pPr>
        <w:spacing w:after="165" w:line="317" w:lineRule="auto"/>
        <w:ind w:left="-15" w:right="-15" w:firstLine="410"/>
        <w:rPr>
          <w:sz w:val="20"/>
          <w:szCs w:val="20"/>
          <w:lang w:eastAsia="zh-CN"/>
        </w:rPr>
      </w:pPr>
      <w:r w:rsidRPr="00FD5CD9">
        <w:rPr>
          <w:rFonts w:ascii="宋体" w:eastAsia="宋体" w:hAnsi="宋体" w:cs="宋体" w:hint="eastAsia"/>
          <w:sz w:val="20"/>
          <w:szCs w:val="20"/>
          <w:lang w:eastAsia="zh-CN"/>
        </w:rPr>
        <w:t>在全球化的浪潮中，跨文化环境已成为组织信息系统采纳过程中的一个重要考量因素。不同文化背景下，组织在信息系统的接受与应用上表现出明显的差异。文化差异不仅影响企业的管理方式和决策流程，还对信息系统的设计、</w:t>
      </w:r>
      <w:r w:rsidRPr="00FD5CD9">
        <w:rPr>
          <w:rFonts w:ascii="宋体" w:eastAsia="宋体" w:hAnsi="宋体" w:cs="宋体" w:hint="eastAsia"/>
          <w:sz w:val="20"/>
          <w:szCs w:val="20"/>
          <w:lang w:eastAsia="zh-CN"/>
        </w:rPr>
        <w:lastRenderedPageBreak/>
        <w:t>部署和使用产生深远影响</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3</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例如，高度集权的文化倾向于采用自上而下的系统采纳方式，而低集权文化则更强调员工的参与和反馈。此外，文化中的不确定性规避程度也决定了企业在面对新技术时的态度。跨文化环境下的组织信息系统采纳，需要考虑到这些文化因素，以确保系统能够顺利整合到企业运营中，并在不同文化背景下实现其预期的战略目标。这种多样性使得跨文化环境中的信息系统采纳过程更加复杂，也更加具有挑战性。</w:t>
      </w:r>
    </w:p>
    <w:p w14:paraId="601ACA43" w14:textId="5CDB35BA" w:rsidR="00B953B7" w:rsidRDefault="00FD5CD9">
      <w:pPr>
        <w:pStyle w:val="2"/>
        <w:ind w:left="477" w:hanging="492"/>
        <w:rPr>
          <w:lang w:eastAsia="zh-CN"/>
        </w:rPr>
      </w:pPr>
      <w:r w:rsidRPr="00FD5CD9">
        <w:rPr>
          <w:rFonts w:ascii="黑体" w:eastAsia="黑体" w:hAnsi="黑体" w:cs="黑体" w:hint="eastAsia"/>
          <w:lang w:eastAsia="zh-CN"/>
        </w:rPr>
        <w:t>企业间信任机制的构建</w:t>
      </w:r>
    </w:p>
    <w:p w14:paraId="2DF4A2AD" w14:textId="7BFF8C77" w:rsidR="00C32687" w:rsidRPr="0000615C" w:rsidRDefault="00FD5CD9" w:rsidP="0000615C">
      <w:pPr>
        <w:pStyle w:val="Web"/>
        <w:ind w:firstLine="477"/>
        <w:rPr>
          <w:rFonts w:ascii="宋体" w:eastAsia="宋体" w:hAnsi="宋体" w:cs="宋体"/>
          <w:color w:val="000000"/>
          <w:kern w:val="2"/>
          <w:sz w:val="20"/>
          <w:szCs w:val="20"/>
          <w:lang w:eastAsia="zh-CN"/>
          <w14:ligatures w14:val="standardContextual"/>
        </w:rPr>
      </w:pPr>
      <w:r w:rsidRPr="00FD5CD9">
        <w:rPr>
          <w:rFonts w:ascii="宋体" w:eastAsia="宋体" w:hAnsi="宋体" w:cs="宋体" w:hint="eastAsia"/>
          <w:color w:val="000000"/>
          <w:kern w:val="2"/>
          <w:sz w:val="20"/>
          <w:szCs w:val="20"/>
          <w:lang w:eastAsia="zh-CN"/>
          <w14:ligatures w14:val="standardContextual"/>
        </w:rPr>
        <w:t>企业间信任机制的构建在跨文化环境中尤为关键，因为信任是确保合作顺利进行的基础。在全球化背景下，不同文化背景的企业在信任的建立与维持上存在显著差异</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4</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color w:val="000000"/>
          <w:kern w:val="2"/>
          <w:sz w:val="20"/>
          <w:szCs w:val="20"/>
          <w:lang w:eastAsia="zh-CN"/>
          <w14:ligatures w14:val="standardContextual"/>
        </w:rPr>
        <w:t>。例如，在高信任文化中，企业倾向于依赖长期关系和非正式的沟通方式，而在低信任文化中，正式合同和法律约束被视为建立信任的主要手段。跨文化企业合作中，信任机制的有效构建能够减少信息不对称和不确定性，降低交易成本，促进信息系统的顺利采纳。信任的建立需要从多个层面入手，包括制度信任、流程信任和个人信任。制度信任涉及到健全的法律和政策支持，流程信任则关注标准化和透明的合作流程，而个人信任则依赖于企业领导者和关键决策者之间的个人关系。通过这些信任机制的构建，企业能够更好地协调跨文化差异，增强合作的稳定性和持续性，从而推动信息系统的成功采纳与应用</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5</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color w:val="000000"/>
          <w:kern w:val="2"/>
          <w:sz w:val="20"/>
          <w:szCs w:val="20"/>
          <w:lang w:eastAsia="zh-CN"/>
          <w14:ligatures w14:val="standardContextual"/>
        </w:rPr>
        <w:t>。</w:t>
      </w:r>
    </w:p>
    <w:p w14:paraId="7AF2A72B" w14:textId="50B2A2DC" w:rsidR="00C32687" w:rsidRDefault="00FD5CD9" w:rsidP="00C32687">
      <w:pPr>
        <w:pStyle w:val="2"/>
        <w:ind w:left="477" w:hanging="492"/>
        <w:rPr>
          <w:rFonts w:ascii="黑体" w:eastAsia="黑体" w:hAnsi="黑体" w:cs="黑体"/>
          <w:lang w:eastAsia="zh-CN"/>
        </w:rPr>
      </w:pPr>
      <w:r w:rsidRPr="00FD5CD9">
        <w:rPr>
          <w:rFonts w:ascii="黑体" w:eastAsia="黑体" w:hAnsi="黑体" w:cs="黑体" w:hint="eastAsia"/>
          <w:lang w:eastAsia="zh-CN"/>
        </w:rPr>
        <w:t>综合性研究与分析框架</w:t>
      </w:r>
    </w:p>
    <w:p w14:paraId="18B8E693" w14:textId="24012C47" w:rsidR="00E47DDF" w:rsidRPr="0035747B" w:rsidRDefault="00FD5CD9" w:rsidP="0035747B">
      <w:pPr>
        <w:spacing w:after="715" w:line="265" w:lineRule="auto"/>
        <w:ind w:left="-5" w:firstLine="415"/>
        <w:rPr>
          <w:rFonts w:ascii="宋体" w:eastAsia="宋体" w:hAnsi="宋体" w:cs="宋体"/>
          <w:sz w:val="20"/>
          <w:szCs w:val="20"/>
          <w:lang w:eastAsia="zh-CN"/>
        </w:rPr>
      </w:pPr>
      <w:r w:rsidRPr="00FD5CD9">
        <w:rPr>
          <w:rFonts w:ascii="宋体" w:eastAsia="宋体" w:hAnsi="宋体" w:cs="宋体" w:hint="eastAsia"/>
          <w:sz w:val="20"/>
          <w:szCs w:val="20"/>
          <w:lang w:eastAsia="zh-CN"/>
        </w:rPr>
        <w:t>在跨文化环境下，组织信息系统采纳与信任机制的研究需要一个综合性的分析框架来有效整合各种影响因素。单一的理论或模型往往无法全面解释复杂的跨文化现象，因此，整合多种理论视角成为必要。本研究结合了资源依赖理论、</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框架（技术</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组织</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环境）和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模型（统一理论接受与使用技术），构建了一个多层次的分析框架</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6</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。资源依赖理论帮助理解企业如何在资源不确定的环境中依赖外部伙伴，</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框架提供了技术、组织和环境三个维度的综合视角，而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则揭示了技术接受与使用的动因。通过这种多维度的整合，研究能够更深入地分析跨文化环境中信息系统采纳的动态过程。这个综合性框架不仅有助于理解不同文化背景下的信任机制构建，还为未来的实证研究提供了系统化的指导，提升研究的解释力和实用性。</w:t>
      </w:r>
    </w:p>
    <w:p w14:paraId="6BD5B926" w14:textId="107A1C4F" w:rsidR="00B953B7" w:rsidRDefault="00FD5CD9">
      <w:pPr>
        <w:pStyle w:val="1"/>
        <w:spacing w:after="213"/>
        <w:ind w:left="410" w:hanging="425"/>
        <w:rPr>
          <w:lang w:eastAsia="zh-CN"/>
        </w:rPr>
      </w:pPr>
      <w:r w:rsidRPr="00FD5CD9">
        <w:rPr>
          <w:rFonts w:hint="eastAsia"/>
          <w:lang w:eastAsia="zh-CN"/>
        </w:rPr>
        <w:t>主体部分</w:t>
      </w:r>
    </w:p>
    <w:p w14:paraId="2F235207" w14:textId="635E85FB" w:rsidR="00B953B7" w:rsidRDefault="00FD5CD9">
      <w:pPr>
        <w:pStyle w:val="2"/>
        <w:ind w:left="477" w:hanging="492"/>
        <w:rPr>
          <w:lang w:eastAsia="zh-CN"/>
        </w:rPr>
      </w:pPr>
      <w:r w:rsidRPr="00FD5CD9">
        <w:rPr>
          <w:rFonts w:ascii="黑体" w:eastAsia="黑体" w:hAnsi="黑体" w:cs="黑体" w:hint="eastAsia"/>
          <w:lang w:eastAsia="zh-CN"/>
        </w:rPr>
        <w:t>理论模型的构建</w:t>
      </w:r>
    </w:p>
    <w:p w14:paraId="436C1E75" w14:textId="01B415C8" w:rsidR="00B953B7" w:rsidRPr="00C3045F" w:rsidRDefault="00FD5CD9" w:rsidP="0000615C">
      <w:pPr>
        <w:spacing w:after="104" w:line="317" w:lineRule="auto"/>
        <w:ind w:left="-15" w:right="-15" w:firstLine="410"/>
        <w:rPr>
          <w:sz w:val="20"/>
          <w:szCs w:val="20"/>
          <w:lang w:eastAsia="zh-CN"/>
        </w:rPr>
      </w:pPr>
      <w:r w:rsidRPr="00FD5CD9">
        <w:rPr>
          <w:rFonts w:ascii="宋体" w:eastAsia="宋体" w:hAnsi="宋体" w:cs="宋体" w:hint="eastAsia"/>
          <w:sz w:val="20"/>
          <w:szCs w:val="20"/>
          <w:lang w:eastAsia="zh-CN"/>
        </w:rPr>
        <w:t>理论模型的构建是本研究的重要环节，旨在整合多种理论以深入解析跨文化环境下的组织信息系统采纳过程。基于资源依赖理论、</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模型，本研究提出了一个多维度的理论模型</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7</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。资源依赖理论强调企业在资源匮乏和不确定环境下如何依赖外部资源，特别是在跨文化合作中，信任成为获取和共享资源的关键。</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框架从技术、组织、环境三个层面提供了分析工具，帮助识别影响信息系统采纳的内外部因素。而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则通过用户行为动因，解释了技术接受和使用的内在动力。通过整合这些理论，本研究的模型不仅涵盖了影响组织信息系统采纳的关键因素，还特别关注了跨文化环境中信任机制的作用。这个理论模型为后续的实证分析提供了坚实的基础，有助于揭示复杂跨文化背景下信息系统采纳的多维驱动因素。</w:t>
      </w:r>
    </w:p>
    <w:p w14:paraId="1A65F8E7" w14:textId="0B109492" w:rsidR="00B953B7" w:rsidRDefault="00FD5CD9">
      <w:pPr>
        <w:pStyle w:val="2"/>
        <w:ind w:left="477" w:hanging="492"/>
        <w:rPr>
          <w:lang w:eastAsia="zh-CN"/>
        </w:rPr>
      </w:pPr>
      <w:r w:rsidRPr="00FD5CD9">
        <w:rPr>
          <w:rFonts w:ascii="黑体" w:eastAsia="黑体" w:hAnsi="黑体" w:cs="黑体" w:hint="eastAsia"/>
          <w:lang w:eastAsia="zh-CN"/>
        </w:rPr>
        <w:t>研究方法</w:t>
      </w:r>
    </w:p>
    <w:p w14:paraId="5E6AF8BE" w14:textId="5E4E615E" w:rsidR="00D36D09" w:rsidRDefault="00FD5CD9" w:rsidP="0000615C">
      <w:pPr>
        <w:spacing w:after="238" w:line="265" w:lineRule="auto"/>
        <w:ind w:left="-5" w:firstLine="482"/>
        <w:rPr>
          <w:rFonts w:ascii="宋体" w:eastAsia="宋体" w:hAnsi="宋体" w:cs="宋体"/>
          <w:sz w:val="20"/>
          <w:szCs w:val="20"/>
          <w:lang w:eastAsia="zh-CN"/>
        </w:rPr>
      </w:pPr>
      <w:r w:rsidRPr="00FD5CD9">
        <w:rPr>
          <w:rFonts w:ascii="宋体" w:eastAsia="宋体" w:hAnsi="宋体" w:cs="宋体" w:hint="eastAsia"/>
          <w:sz w:val="20"/>
          <w:szCs w:val="20"/>
          <w:lang w:eastAsia="zh-CN"/>
        </w:rPr>
        <w:t>本研究采用了混合研究方法，以确保对跨文化环境下组织信息系统采纳与信任机制构建的全面理解。首先，研究采用定量方法，通过问卷调查收集来自不同行业和地区的企业数据，以量化跨文化因素、信任机制与信息系统采纳之间的关系。问卷设计基于前文构建的理论模型，包含关键变量的测量项。其次，定性方法通过深度访谈进一步挖掘企业在不同文化背景下的实际操作经验和挑战。这种方法有助于理解定量数据背后的复杂情境，揭示数据无法捕捉的细微差异。样本选择包括跨国公司及其本地合作伙伴，确保数据的代表性和多样性。数据分析采用结构方程模型（</w:t>
      </w:r>
      <w:r w:rsidRPr="00FD5CD9">
        <w:rPr>
          <w:rFonts w:ascii="宋体" w:eastAsia="宋体" w:hAnsi="宋体" w:cs="宋体"/>
          <w:sz w:val="20"/>
          <w:szCs w:val="20"/>
          <w:lang w:eastAsia="zh-CN"/>
        </w:rPr>
        <w:t>SEM</w:t>
      </w:r>
      <w:r w:rsidRPr="00FD5CD9">
        <w:rPr>
          <w:rFonts w:ascii="宋体" w:eastAsia="宋体" w:hAnsi="宋体" w:cs="宋体" w:hint="eastAsia"/>
          <w:sz w:val="20"/>
          <w:szCs w:val="20"/>
          <w:lang w:eastAsia="zh-CN"/>
        </w:rPr>
        <w:t>）来验证理论模型中的假设，并结合案例研究对特定情境进行深入分析</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8</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。通过这种综合性的研究方法，本文能够提供更加丰富、细致的实证依据，从而为理论模型的构建和跨文化环境中的实际应用提供支持。</w:t>
      </w:r>
    </w:p>
    <w:p w14:paraId="24B0F8E1" w14:textId="1C63DD85" w:rsidR="00AA7CA6" w:rsidRDefault="00FD5CD9" w:rsidP="00AA7CA6">
      <w:pPr>
        <w:pStyle w:val="2"/>
        <w:ind w:left="477" w:hanging="492"/>
        <w:rPr>
          <w:lang w:eastAsia="zh-CN"/>
        </w:rPr>
      </w:pPr>
      <w:r w:rsidRPr="00FD5CD9">
        <w:rPr>
          <w:rFonts w:ascii="黑体" w:eastAsia="黑体" w:hAnsi="黑体" w:cs="黑体" w:hint="eastAsia"/>
          <w:lang w:eastAsia="zh-CN"/>
        </w:rPr>
        <w:lastRenderedPageBreak/>
        <w:t>例证分析</w:t>
      </w:r>
    </w:p>
    <w:p w14:paraId="1EF3D0F0" w14:textId="630DC250" w:rsidR="00C32687" w:rsidRDefault="00FD5CD9" w:rsidP="0000615C">
      <w:pPr>
        <w:spacing w:after="867" w:line="265" w:lineRule="auto"/>
        <w:ind w:left="-5" w:firstLine="482"/>
        <w:rPr>
          <w:rFonts w:ascii="宋体" w:eastAsia="宋体" w:hAnsi="宋体" w:cs="宋体"/>
          <w:sz w:val="20"/>
          <w:szCs w:val="20"/>
          <w:lang w:eastAsia="zh-CN"/>
        </w:rPr>
      </w:pPr>
      <w:r w:rsidRPr="00FD5CD9">
        <w:rPr>
          <w:rFonts w:ascii="宋体" w:eastAsia="宋体" w:hAnsi="宋体" w:cs="宋体" w:hint="eastAsia"/>
          <w:sz w:val="20"/>
          <w:szCs w:val="20"/>
          <w:lang w:eastAsia="zh-CN"/>
        </w:rPr>
        <w:t>在例证分析部分，本研究通过对多个实际案例的深入探讨，验证了理论模型的适用性与有效性。首先，选择了跨国公司及其在不同文化背景下的合作伙伴作为研究对象，重点分析了他们在信息系统采纳过程中的决策行为与信任机制的构建。具体案例包括浙江省中小物流企业在跨组织信息系统采纳中的实践，以及供应商与零售商之间的跨文化合作</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9</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通过这些案例，研究揭示了文化差异如何影响企业之间的信任建立，进而影响信息系统的采纳速度与效果。例如，在高不确定性规避文化中，企业往往依赖更为正式的合同与规章制度来构建信任，而在低不确定性规避文化中，个人关系和非正式沟通则发挥了更大的作用。案例分析不仅验证了理论模型的假设，还提供了实际操作中的关键见解，有助于企业在不同文化背景下更有效地实施信息系统，从而提升合作效率和系统应用成功率。</w:t>
      </w:r>
    </w:p>
    <w:p w14:paraId="487722BB" w14:textId="7211DE4A" w:rsidR="0000615C" w:rsidRDefault="0000615C" w:rsidP="0000615C">
      <w:pPr>
        <w:pStyle w:val="2"/>
        <w:ind w:left="477" w:hanging="492"/>
        <w:rPr>
          <w:lang w:eastAsia="zh-CN"/>
        </w:rPr>
      </w:pPr>
      <w:r w:rsidRPr="0000615C">
        <w:rPr>
          <w:rFonts w:ascii="黑体" w:eastAsia="黑体" w:hAnsi="黑体" w:cs="黑体" w:hint="eastAsia"/>
          <w:lang w:eastAsia="zh-CN"/>
        </w:rPr>
        <w:t>优化差分隐私算法的策略</w:t>
      </w:r>
    </w:p>
    <w:p w14:paraId="27782D86" w14:textId="774796F6" w:rsidR="0000615C" w:rsidRPr="0000615C" w:rsidRDefault="00FD5CD9" w:rsidP="0000615C">
      <w:pPr>
        <w:spacing w:after="867" w:line="265" w:lineRule="auto"/>
        <w:ind w:left="-5" w:firstLine="482"/>
        <w:rPr>
          <w:rFonts w:ascii="宋体" w:eastAsia="宋体" w:hAnsi="宋体" w:cs="宋体"/>
          <w:sz w:val="20"/>
          <w:szCs w:val="20"/>
          <w:lang w:eastAsia="zh-CN"/>
        </w:rPr>
      </w:pPr>
      <w:r w:rsidRPr="00FD5CD9">
        <w:rPr>
          <w:rFonts w:ascii="宋体" w:eastAsia="宋体" w:hAnsi="宋体" w:cs="宋体" w:hint="eastAsia"/>
          <w:sz w:val="20"/>
          <w:szCs w:val="20"/>
          <w:lang w:eastAsia="zh-CN"/>
        </w:rPr>
        <w:t>在跨文化环境下的信息系统采纳中，数据隐私与安全问题尤为关键。为应对这一挑战，优化差分隐私算法成为保障数据隐私的核心策略。差分隐私算法通过在数据中加入噪声来保护用户隐私，但在实际应用中，如何在隐私保护与数据实用性之间找到最佳平衡点是一个重要问题。优化策略包括调整噪声的强度与分布，以确保在保护隐私的同时，维持数据分析的准确性。此外，结合上下文感知技术，根据数据的敏感性和应用场景动态调整算法参数，也是提升差分隐私效果的重要途径。通过这些优化措施，差分隐私算法不仅能够更好地应对跨文化环境中的数据安全需求，还能提高信息系统采纳过程中的数据可信度与用户信任度，从而促进企业间的合作与信息共享。这种策略的应用有助于在全球化背景下实现信息系统的广泛而安全的应用</w:t>
      </w:r>
      <w:r w:rsidR="003B10A5" w:rsidRPr="00C3045F">
        <w:rPr>
          <w:rFonts w:ascii="Times New Roman" w:eastAsia="Times New Roman" w:hAnsi="Times New Roman" w:cs="Times New Roman"/>
          <w:sz w:val="20"/>
          <w:szCs w:val="20"/>
          <w:vertAlign w:val="superscript"/>
          <w:lang w:eastAsia="zh-CN"/>
        </w:rPr>
        <w:t>[</w:t>
      </w:r>
      <w:r w:rsidR="003B10A5">
        <w:rPr>
          <w:rFonts w:ascii="Times New Roman" w:eastAsia="等线" w:hAnsi="Times New Roman" w:cs="Times New Roman" w:hint="eastAsia"/>
          <w:sz w:val="20"/>
          <w:szCs w:val="20"/>
          <w:vertAlign w:val="superscript"/>
          <w:lang w:eastAsia="zh-CN"/>
        </w:rPr>
        <w:t>1</w:t>
      </w:r>
      <w:r w:rsidR="003B10A5">
        <w:rPr>
          <w:rFonts w:ascii="Times New Roman" w:eastAsia="等线" w:hAnsi="Times New Roman" w:cs="Times New Roman" w:hint="eastAsia"/>
          <w:sz w:val="20"/>
          <w:szCs w:val="20"/>
          <w:vertAlign w:val="superscript"/>
          <w:lang w:eastAsia="zh-CN"/>
        </w:rPr>
        <w:t>0</w:t>
      </w:r>
      <w:r w:rsidR="003B10A5" w:rsidRPr="00C3045F">
        <w:rPr>
          <w:rFonts w:ascii="Times New Roman" w:eastAsia="Times New Roman" w:hAnsi="Times New Roman" w:cs="Times New Roman"/>
          <w:sz w:val="20"/>
          <w:szCs w:val="20"/>
          <w:vertAlign w:val="superscript"/>
          <w:lang w:eastAsia="zh-CN"/>
        </w:rPr>
        <w:t>]</w:t>
      </w:r>
      <w:r w:rsidRPr="00FD5CD9">
        <w:rPr>
          <w:rFonts w:ascii="宋体" w:eastAsia="宋体" w:hAnsi="宋体" w:cs="宋体" w:hint="eastAsia"/>
          <w:sz w:val="20"/>
          <w:szCs w:val="20"/>
          <w:lang w:eastAsia="zh-CN"/>
        </w:rPr>
        <w:t>。</w:t>
      </w:r>
    </w:p>
    <w:p w14:paraId="2DC2979A" w14:textId="77777777" w:rsidR="00B953B7" w:rsidRDefault="00000000">
      <w:pPr>
        <w:pStyle w:val="1"/>
        <w:ind w:left="410" w:hanging="425"/>
      </w:pPr>
      <w:r>
        <w:t>结语</w:t>
      </w:r>
    </w:p>
    <w:p w14:paraId="24D0DABB" w14:textId="3D7102A0" w:rsidR="00D43F6E" w:rsidRPr="00774781" w:rsidRDefault="00FD5CD9" w:rsidP="009564EF">
      <w:pPr>
        <w:spacing w:after="867" w:line="265" w:lineRule="auto"/>
        <w:ind w:firstLine="410"/>
        <w:rPr>
          <w:rFonts w:ascii="宋体" w:eastAsia="宋体" w:hAnsi="宋体" w:cs="宋体"/>
          <w:sz w:val="20"/>
          <w:szCs w:val="20"/>
          <w:lang w:eastAsia="zh-CN"/>
        </w:rPr>
      </w:pPr>
      <w:r w:rsidRPr="00FD5CD9">
        <w:rPr>
          <w:rFonts w:ascii="宋体" w:eastAsia="宋体" w:hAnsi="宋体" w:cs="宋体" w:hint="eastAsia"/>
          <w:lang w:eastAsia="zh-CN"/>
        </w:rPr>
        <w:t>本研究通过构建综合性理论模型，深入探讨了跨文化环境下组织信息系统采纳与信任机制的构建，揭示了文化差异对企业间合作与信息系统应用的深远影响。通过整合资源依赖理论、</w:t>
      </w:r>
      <w:r w:rsidRPr="00FD5CD9">
        <w:rPr>
          <w:rFonts w:ascii="宋体" w:eastAsia="宋体" w:hAnsi="宋体" w:cs="宋体"/>
          <w:lang w:eastAsia="zh-CN"/>
        </w:rPr>
        <w:t>TOE</w:t>
      </w:r>
      <w:r w:rsidRPr="00FD5CD9">
        <w:rPr>
          <w:rFonts w:ascii="宋体" w:eastAsia="宋体" w:hAnsi="宋体" w:cs="宋体" w:hint="eastAsia"/>
          <w:lang w:eastAsia="zh-CN"/>
        </w:rPr>
        <w:t>框架和</w:t>
      </w:r>
      <w:r w:rsidRPr="00FD5CD9">
        <w:rPr>
          <w:rFonts w:ascii="宋体" w:eastAsia="宋体" w:hAnsi="宋体" w:cs="宋体"/>
          <w:lang w:eastAsia="zh-CN"/>
        </w:rPr>
        <w:t>UTAUT</w:t>
      </w:r>
      <w:r w:rsidRPr="00FD5CD9">
        <w:rPr>
          <w:rFonts w:ascii="宋体" w:eastAsia="宋体" w:hAnsi="宋体" w:cs="宋体" w:hint="eastAsia"/>
          <w:lang w:eastAsia="zh-CN"/>
        </w:rPr>
        <w:t>模型，研究不仅丰富了信息系统采纳领域的理论基础，还为跨文化企业合作提供了实用的指导建议。实证分析表明，信任机制在跨文化环境中起到关键作用，优化差分隐私算法则为数据安全提供了重要保障。本文的研究成果为全球化背景下的企业提供了更具针对性和有效性的策略，有助于提升信息系统的应用效果与企业间的合作效率。未来研究可进一步探讨不同文化背景下信任机制与隐私保护策略的动态演变，以更好地适应复杂多变的全球市场环境。</w:t>
      </w:r>
    </w:p>
    <w:p w14:paraId="581396CA" w14:textId="77777777" w:rsidR="00B953B7" w:rsidRDefault="00000000">
      <w:pPr>
        <w:spacing w:after="151"/>
        <w:ind w:right="5"/>
        <w:jc w:val="center"/>
      </w:pPr>
      <w:r>
        <w:rPr>
          <w:rFonts w:ascii="黑体" w:eastAsia="黑体" w:hAnsi="黑体" w:cs="黑体"/>
          <w:sz w:val="21"/>
        </w:rPr>
        <w:t>参考文献</w:t>
      </w:r>
    </w:p>
    <w:p w14:paraId="0224A236"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周昊天</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黄奇</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袁勤俭</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资源依赖理论及其在信息系统研究中的应用与展望</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现代情报</w:t>
      </w:r>
      <w:r w:rsidRPr="00FD5CD9">
        <w:rPr>
          <w:rFonts w:ascii="宋体" w:eastAsia="宋体" w:hAnsi="宋体" w:cs="宋体"/>
          <w:sz w:val="20"/>
          <w:szCs w:val="20"/>
          <w:lang w:eastAsia="zh-CN"/>
        </w:rPr>
        <w:t>,2018,38(10):167-172.</w:t>
      </w:r>
    </w:p>
    <w:p w14:paraId="526FB5F3"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黄曼慧</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彭洁</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信息系统用户行为</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理论研究进展与分析框架</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情报杂志</w:t>
      </w:r>
      <w:r w:rsidRPr="00FD5CD9">
        <w:rPr>
          <w:rFonts w:ascii="宋体" w:eastAsia="宋体" w:hAnsi="宋体" w:cs="宋体"/>
          <w:sz w:val="20"/>
          <w:szCs w:val="20"/>
          <w:lang w:eastAsia="zh-CN"/>
        </w:rPr>
        <w:t>,2018,37(03):178-181.</w:t>
      </w:r>
    </w:p>
    <w:p w14:paraId="22A41E4C"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叶文晖</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信息系统象征价值的研究综述</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图书馆理论与实践</w:t>
      </w:r>
      <w:r w:rsidRPr="00FD5CD9">
        <w:rPr>
          <w:rFonts w:ascii="宋体" w:eastAsia="宋体" w:hAnsi="宋体" w:cs="宋体"/>
          <w:sz w:val="20"/>
          <w:szCs w:val="20"/>
          <w:lang w:eastAsia="zh-CN"/>
        </w:rPr>
        <w:t>,2017(03):33-39.DOI:10.14064/j.cnki.issn1005-8214.2017.03.008.</w:t>
      </w:r>
    </w:p>
    <w:p w14:paraId="0D2B0D20"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柯彤萍</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韦正花</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高胜</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伙伴特性对物流企业跨组织信息系统采纳意向影响研究——基于浙江省中小物流企业的实证</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物流技术</w:t>
      </w:r>
      <w:r w:rsidRPr="00FD5CD9">
        <w:rPr>
          <w:rFonts w:ascii="宋体" w:eastAsia="宋体" w:hAnsi="宋体" w:cs="宋体"/>
          <w:sz w:val="20"/>
          <w:szCs w:val="20"/>
          <w:lang w:eastAsia="zh-CN"/>
        </w:rPr>
        <w:t>,2015,34(02):85-89.</w:t>
      </w:r>
    </w:p>
    <w:p w14:paraId="47A32AFD"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徐峰</w:t>
      </w:r>
      <w:r w:rsidRPr="00FD5CD9">
        <w:rPr>
          <w:rFonts w:ascii="宋体" w:eastAsia="宋体" w:hAnsi="宋体" w:cs="宋体"/>
          <w:sz w:val="20"/>
          <w:szCs w:val="20"/>
          <w:lang w:eastAsia="zh-CN"/>
        </w:rPr>
        <w:t xml:space="preserve">. </w:t>
      </w:r>
      <w:r w:rsidRPr="00FD5CD9">
        <w:rPr>
          <w:rFonts w:ascii="宋体" w:eastAsia="宋体" w:hAnsi="宋体" w:cs="宋体" w:hint="eastAsia"/>
          <w:sz w:val="20"/>
          <w:szCs w:val="20"/>
          <w:lang w:eastAsia="zh-CN"/>
        </w:rPr>
        <w:t>基于整合</w:t>
      </w:r>
      <w:r w:rsidRPr="00FD5CD9">
        <w:rPr>
          <w:rFonts w:ascii="宋体" w:eastAsia="宋体" w:hAnsi="宋体" w:cs="宋体"/>
          <w:sz w:val="20"/>
          <w:szCs w:val="20"/>
          <w:lang w:eastAsia="zh-CN"/>
        </w:rPr>
        <w:t>TOE</w:t>
      </w:r>
      <w:r w:rsidRPr="00FD5CD9">
        <w:rPr>
          <w:rFonts w:ascii="宋体" w:eastAsia="宋体" w:hAnsi="宋体" w:cs="宋体" w:hint="eastAsia"/>
          <w:sz w:val="20"/>
          <w:szCs w:val="20"/>
          <w:lang w:eastAsia="zh-CN"/>
        </w:rPr>
        <w:t>框架和</w:t>
      </w:r>
      <w:r w:rsidRPr="00FD5CD9">
        <w:rPr>
          <w:rFonts w:ascii="宋体" w:eastAsia="宋体" w:hAnsi="宋体" w:cs="宋体"/>
          <w:sz w:val="20"/>
          <w:szCs w:val="20"/>
          <w:lang w:eastAsia="zh-CN"/>
        </w:rPr>
        <w:t>UTAUT</w:t>
      </w:r>
      <w:r w:rsidRPr="00FD5CD9">
        <w:rPr>
          <w:rFonts w:ascii="宋体" w:eastAsia="宋体" w:hAnsi="宋体" w:cs="宋体" w:hint="eastAsia"/>
          <w:sz w:val="20"/>
          <w:szCs w:val="20"/>
          <w:lang w:eastAsia="zh-CN"/>
        </w:rPr>
        <w:t>模型的组织信息系统采纳研究</w:t>
      </w:r>
      <w:r w:rsidRPr="00FD5CD9">
        <w:rPr>
          <w:rFonts w:ascii="宋体" w:eastAsia="宋体" w:hAnsi="宋体" w:cs="宋体"/>
          <w:sz w:val="20"/>
          <w:szCs w:val="20"/>
          <w:lang w:eastAsia="zh-CN"/>
        </w:rPr>
        <w:t>[D].</w:t>
      </w:r>
      <w:r w:rsidRPr="00FD5CD9">
        <w:rPr>
          <w:rFonts w:ascii="宋体" w:eastAsia="宋体" w:hAnsi="宋体" w:cs="宋体" w:hint="eastAsia"/>
          <w:sz w:val="20"/>
          <w:szCs w:val="20"/>
          <w:lang w:eastAsia="zh-CN"/>
        </w:rPr>
        <w:t>山东大学</w:t>
      </w:r>
      <w:r w:rsidRPr="00FD5CD9">
        <w:rPr>
          <w:rFonts w:ascii="宋体" w:eastAsia="宋体" w:hAnsi="宋体" w:cs="宋体"/>
          <w:sz w:val="20"/>
          <w:szCs w:val="20"/>
          <w:lang w:eastAsia="zh-CN"/>
        </w:rPr>
        <w:t>,2012.</w:t>
      </w:r>
    </w:p>
    <w:p w14:paraId="59B505BF"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lastRenderedPageBreak/>
        <w:t>贺明明</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王铁男</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肖璇</w:t>
      </w:r>
      <w:r w:rsidRPr="00FD5CD9">
        <w:rPr>
          <w:rFonts w:ascii="宋体" w:eastAsia="宋体" w:hAnsi="宋体" w:cs="宋体"/>
          <w:sz w:val="20"/>
          <w:szCs w:val="20"/>
          <w:lang w:eastAsia="zh-CN"/>
        </w:rPr>
        <w:t>.IT</w:t>
      </w:r>
      <w:r w:rsidRPr="00FD5CD9">
        <w:rPr>
          <w:rFonts w:ascii="宋体" w:eastAsia="宋体" w:hAnsi="宋体" w:cs="宋体" w:hint="eastAsia"/>
          <w:sz w:val="20"/>
          <w:szCs w:val="20"/>
          <w:lang w:eastAsia="zh-CN"/>
        </w:rPr>
        <w:t>管理气候和知识应用过程对</w:t>
      </w:r>
      <w:r w:rsidRPr="00FD5CD9">
        <w:rPr>
          <w:rFonts w:ascii="宋体" w:eastAsia="宋体" w:hAnsi="宋体" w:cs="宋体"/>
          <w:sz w:val="20"/>
          <w:szCs w:val="20"/>
          <w:lang w:eastAsia="zh-CN"/>
        </w:rPr>
        <w:t>IOS</w:t>
      </w:r>
      <w:r w:rsidRPr="00FD5CD9">
        <w:rPr>
          <w:rFonts w:ascii="宋体" w:eastAsia="宋体" w:hAnsi="宋体" w:cs="宋体" w:hint="eastAsia"/>
          <w:sz w:val="20"/>
          <w:szCs w:val="20"/>
          <w:lang w:eastAsia="zh-CN"/>
        </w:rPr>
        <w:t>吸收的研究</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科学学研究</w:t>
      </w:r>
      <w:r w:rsidRPr="00FD5CD9">
        <w:rPr>
          <w:rFonts w:ascii="宋体" w:eastAsia="宋体" w:hAnsi="宋体" w:cs="宋体"/>
          <w:sz w:val="20"/>
          <w:szCs w:val="20"/>
          <w:lang w:eastAsia="zh-CN"/>
        </w:rPr>
        <w:t>,2011,29(10):1520-1531.DOI:10.16192/j.cnki.1003-2053.2011.10.011.</w:t>
      </w:r>
    </w:p>
    <w:p w14:paraId="10AA686D"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胡安安</w:t>
      </w:r>
      <w:r w:rsidRPr="00FD5CD9">
        <w:rPr>
          <w:rFonts w:ascii="宋体" w:eastAsia="宋体" w:hAnsi="宋体" w:cs="宋体"/>
          <w:sz w:val="20"/>
          <w:szCs w:val="20"/>
          <w:lang w:eastAsia="zh-CN"/>
        </w:rPr>
        <w:t xml:space="preserve">. </w:t>
      </w:r>
      <w:r w:rsidRPr="00FD5CD9">
        <w:rPr>
          <w:rFonts w:ascii="宋体" w:eastAsia="宋体" w:hAnsi="宋体" w:cs="宋体" w:hint="eastAsia"/>
          <w:sz w:val="20"/>
          <w:szCs w:val="20"/>
          <w:lang w:eastAsia="zh-CN"/>
        </w:rPr>
        <w:t>企业信息系统的组织采纳规律及其文化因素影响研究</w:t>
      </w:r>
      <w:r w:rsidRPr="00FD5CD9">
        <w:rPr>
          <w:rFonts w:ascii="宋体" w:eastAsia="宋体" w:hAnsi="宋体" w:cs="宋体"/>
          <w:sz w:val="20"/>
          <w:szCs w:val="20"/>
          <w:lang w:eastAsia="zh-CN"/>
        </w:rPr>
        <w:t>[D].</w:t>
      </w:r>
      <w:r w:rsidRPr="00FD5CD9">
        <w:rPr>
          <w:rFonts w:ascii="宋体" w:eastAsia="宋体" w:hAnsi="宋体" w:cs="宋体" w:hint="eastAsia"/>
          <w:sz w:val="20"/>
          <w:szCs w:val="20"/>
          <w:lang w:eastAsia="zh-CN"/>
        </w:rPr>
        <w:t>复旦大学</w:t>
      </w:r>
      <w:r w:rsidRPr="00FD5CD9">
        <w:rPr>
          <w:rFonts w:ascii="宋体" w:eastAsia="宋体" w:hAnsi="宋体" w:cs="宋体"/>
          <w:sz w:val="20"/>
          <w:szCs w:val="20"/>
          <w:lang w:eastAsia="zh-CN"/>
        </w:rPr>
        <w:t>,2010.</w:t>
      </w:r>
    </w:p>
    <w:p w14:paraId="7474D09F"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周爱华</w:t>
      </w:r>
      <w:r w:rsidRPr="00FD5CD9">
        <w:rPr>
          <w:rFonts w:ascii="宋体" w:eastAsia="宋体" w:hAnsi="宋体" w:cs="宋体"/>
          <w:sz w:val="20"/>
          <w:szCs w:val="20"/>
          <w:lang w:eastAsia="zh-CN"/>
        </w:rPr>
        <w:t xml:space="preserve">. </w:t>
      </w:r>
      <w:r w:rsidRPr="00FD5CD9">
        <w:rPr>
          <w:rFonts w:ascii="宋体" w:eastAsia="宋体" w:hAnsi="宋体" w:cs="宋体" w:hint="eastAsia"/>
          <w:sz w:val="20"/>
          <w:szCs w:val="20"/>
          <w:lang w:eastAsia="zh-CN"/>
        </w:rPr>
        <w:t>供应商—零售商跨组织信息系统采纳的影响因素研究</w:t>
      </w:r>
      <w:r w:rsidRPr="00FD5CD9">
        <w:rPr>
          <w:rFonts w:ascii="宋体" w:eastAsia="宋体" w:hAnsi="宋体" w:cs="宋体"/>
          <w:sz w:val="20"/>
          <w:szCs w:val="20"/>
          <w:lang w:eastAsia="zh-CN"/>
        </w:rPr>
        <w:t>[D].</w:t>
      </w:r>
      <w:r w:rsidRPr="00FD5CD9">
        <w:rPr>
          <w:rFonts w:ascii="宋体" w:eastAsia="宋体" w:hAnsi="宋体" w:cs="宋体" w:hint="eastAsia"/>
          <w:sz w:val="20"/>
          <w:szCs w:val="20"/>
          <w:lang w:eastAsia="zh-CN"/>
        </w:rPr>
        <w:t>哈尔滨工业大学</w:t>
      </w:r>
      <w:r w:rsidRPr="00FD5CD9">
        <w:rPr>
          <w:rFonts w:ascii="宋体" w:eastAsia="宋体" w:hAnsi="宋体" w:cs="宋体"/>
          <w:sz w:val="20"/>
          <w:szCs w:val="20"/>
          <w:lang w:eastAsia="zh-CN"/>
        </w:rPr>
        <w:t>,2011.</w:t>
      </w:r>
    </w:p>
    <w:p w14:paraId="4074585A" w14:textId="77777777" w:rsidR="00FD5CD9" w:rsidRPr="00FD5CD9"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郑大庆</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黄丽华</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中国行政组织信息系统采纳实证研究</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复旦学报</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自然科学版</w:t>
      </w:r>
      <w:r w:rsidRPr="00FD5CD9">
        <w:rPr>
          <w:rFonts w:ascii="宋体" w:eastAsia="宋体" w:hAnsi="宋体" w:cs="宋体"/>
          <w:sz w:val="20"/>
          <w:szCs w:val="20"/>
          <w:lang w:eastAsia="zh-CN"/>
        </w:rPr>
        <w:t>),2009,48(06):775-782.DOI:10.15943/j.cnki.fdxb-jns.2009.06.013.</w:t>
      </w:r>
    </w:p>
    <w:p w14:paraId="7EDB186C" w14:textId="4A6E4073" w:rsidR="00B953B7" w:rsidRPr="00BD366A" w:rsidRDefault="00FD5CD9" w:rsidP="00FD5CD9">
      <w:pPr>
        <w:numPr>
          <w:ilvl w:val="0"/>
          <w:numId w:val="3"/>
        </w:numPr>
        <w:spacing w:after="40" w:line="265" w:lineRule="auto"/>
        <w:rPr>
          <w:rFonts w:ascii="宋体" w:eastAsia="宋体" w:hAnsi="宋体" w:cs="宋体"/>
          <w:sz w:val="20"/>
          <w:szCs w:val="20"/>
          <w:lang w:eastAsia="zh-CN"/>
        </w:rPr>
      </w:pPr>
      <w:r w:rsidRPr="00FD5CD9">
        <w:rPr>
          <w:rFonts w:ascii="宋体" w:eastAsia="宋体" w:hAnsi="宋体" w:cs="宋体" w:hint="eastAsia"/>
          <w:sz w:val="20"/>
          <w:szCs w:val="20"/>
          <w:lang w:eastAsia="zh-CN"/>
        </w:rPr>
        <w:t>李苗</w:t>
      </w:r>
      <w:r w:rsidRPr="00FD5CD9">
        <w:rPr>
          <w:rFonts w:ascii="宋体" w:eastAsia="宋体" w:hAnsi="宋体" w:cs="宋体"/>
          <w:sz w:val="20"/>
          <w:szCs w:val="20"/>
          <w:lang w:eastAsia="zh-CN"/>
        </w:rPr>
        <w:t>.</w:t>
      </w:r>
      <w:r w:rsidRPr="00FD5CD9">
        <w:rPr>
          <w:rFonts w:ascii="宋体" w:eastAsia="宋体" w:hAnsi="宋体" w:cs="宋体" w:hint="eastAsia"/>
          <w:sz w:val="20"/>
          <w:szCs w:val="20"/>
          <w:lang w:eastAsia="zh-CN"/>
        </w:rPr>
        <w:t>影响组织接受信息系统的因素分析</w:t>
      </w:r>
      <w:r w:rsidRPr="00FD5CD9">
        <w:rPr>
          <w:rFonts w:ascii="宋体" w:eastAsia="宋体" w:hAnsi="宋体" w:cs="宋体"/>
          <w:sz w:val="20"/>
          <w:szCs w:val="20"/>
          <w:lang w:eastAsia="zh-CN"/>
        </w:rPr>
        <w:t>[J].</w:t>
      </w:r>
      <w:r w:rsidRPr="00FD5CD9">
        <w:rPr>
          <w:rFonts w:ascii="宋体" w:eastAsia="宋体" w:hAnsi="宋体" w:cs="宋体" w:hint="eastAsia"/>
          <w:sz w:val="20"/>
          <w:szCs w:val="20"/>
          <w:lang w:eastAsia="zh-CN"/>
        </w:rPr>
        <w:t>科技信息</w:t>
      </w:r>
      <w:r w:rsidRPr="00FD5CD9">
        <w:rPr>
          <w:rFonts w:ascii="宋体" w:eastAsia="宋体" w:hAnsi="宋体" w:cs="宋体"/>
          <w:sz w:val="20"/>
          <w:szCs w:val="20"/>
          <w:lang w:eastAsia="zh-CN"/>
        </w:rPr>
        <w:t>,2009(15):527+575.</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438D5" w14:textId="77777777" w:rsidR="0009722A" w:rsidRDefault="0009722A">
      <w:pPr>
        <w:spacing w:after="0" w:line="240" w:lineRule="auto"/>
      </w:pPr>
      <w:r>
        <w:separator/>
      </w:r>
    </w:p>
  </w:endnote>
  <w:endnote w:type="continuationSeparator" w:id="0">
    <w:p w14:paraId="1AE1439E" w14:textId="77777777" w:rsidR="0009722A" w:rsidRDefault="0009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6CF16" w14:textId="77777777" w:rsidR="0009722A" w:rsidRDefault="0009722A">
      <w:pPr>
        <w:spacing w:after="0" w:line="240" w:lineRule="auto"/>
      </w:pPr>
      <w:r>
        <w:separator/>
      </w:r>
    </w:p>
  </w:footnote>
  <w:footnote w:type="continuationSeparator" w:id="0">
    <w:p w14:paraId="74CF76BF" w14:textId="77777777" w:rsidR="0009722A" w:rsidRDefault="00097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153DDEA5"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FD5CD9">
      <w:rPr>
        <w:rFonts w:ascii="Arial" w:eastAsia="等线" w:hAnsi="Arial" w:cs="Arial" w:hint="eastAsia"/>
        <w:b/>
        <w:sz w:val="18"/>
        <w:lang w:eastAsia="zh-CN"/>
      </w:rPr>
      <w:t>2</w:t>
    </w:r>
    <w:r>
      <w:rPr>
        <w:rFonts w:ascii="Arial" w:eastAsia="Arial" w:hAnsi="Arial" w:cs="Arial"/>
        <w:b/>
        <w:sz w:val="18"/>
      </w:rPr>
      <w:t>-</w:t>
    </w:r>
    <w:r w:rsidR="00FD5CD9">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0615C"/>
    <w:rsid w:val="00073736"/>
    <w:rsid w:val="0009722A"/>
    <w:rsid w:val="000A2035"/>
    <w:rsid w:val="000E23D2"/>
    <w:rsid w:val="000E4B29"/>
    <w:rsid w:val="001861A5"/>
    <w:rsid w:val="001A52EC"/>
    <w:rsid w:val="001B0DCC"/>
    <w:rsid w:val="002532C6"/>
    <w:rsid w:val="002739D5"/>
    <w:rsid w:val="00281E6C"/>
    <w:rsid w:val="003070BD"/>
    <w:rsid w:val="0035747B"/>
    <w:rsid w:val="00396FCF"/>
    <w:rsid w:val="003B10A5"/>
    <w:rsid w:val="003B6638"/>
    <w:rsid w:val="003E5977"/>
    <w:rsid w:val="003F377D"/>
    <w:rsid w:val="00436F3B"/>
    <w:rsid w:val="004750FF"/>
    <w:rsid w:val="0050740B"/>
    <w:rsid w:val="005559E9"/>
    <w:rsid w:val="00556C72"/>
    <w:rsid w:val="00562214"/>
    <w:rsid w:val="00615BB0"/>
    <w:rsid w:val="00642E48"/>
    <w:rsid w:val="00653263"/>
    <w:rsid w:val="007362BA"/>
    <w:rsid w:val="007644C5"/>
    <w:rsid w:val="007737DA"/>
    <w:rsid w:val="00774781"/>
    <w:rsid w:val="007A76DA"/>
    <w:rsid w:val="007B7992"/>
    <w:rsid w:val="007D2BCA"/>
    <w:rsid w:val="00825AB7"/>
    <w:rsid w:val="00837713"/>
    <w:rsid w:val="0084272D"/>
    <w:rsid w:val="008B291B"/>
    <w:rsid w:val="008C15FA"/>
    <w:rsid w:val="009337E1"/>
    <w:rsid w:val="009448D4"/>
    <w:rsid w:val="00954D90"/>
    <w:rsid w:val="009564EF"/>
    <w:rsid w:val="00965320"/>
    <w:rsid w:val="009A03DF"/>
    <w:rsid w:val="009E3E9F"/>
    <w:rsid w:val="00A46EC0"/>
    <w:rsid w:val="00A772F6"/>
    <w:rsid w:val="00AA7CA6"/>
    <w:rsid w:val="00B47914"/>
    <w:rsid w:val="00B71B11"/>
    <w:rsid w:val="00B953B7"/>
    <w:rsid w:val="00BA52BA"/>
    <w:rsid w:val="00BA66D9"/>
    <w:rsid w:val="00BB5716"/>
    <w:rsid w:val="00BC3BA0"/>
    <w:rsid w:val="00BD366A"/>
    <w:rsid w:val="00C24387"/>
    <w:rsid w:val="00C3045F"/>
    <w:rsid w:val="00C32687"/>
    <w:rsid w:val="00C54506"/>
    <w:rsid w:val="00C5654F"/>
    <w:rsid w:val="00C6630B"/>
    <w:rsid w:val="00C76DDE"/>
    <w:rsid w:val="00C94B5F"/>
    <w:rsid w:val="00C96101"/>
    <w:rsid w:val="00D07CB1"/>
    <w:rsid w:val="00D12112"/>
    <w:rsid w:val="00D36D09"/>
    <w:rsid w:val="00D43F6E"/>
    <w:rsid w:val="00D6065E"/>
    <w:rsid w:val="00D67912"/>
    <w:rsid w:val="00D74067"/>
    <w:rsid w:val="00D77619"/>
    <w:rsid w:val="00DA33C5"/>
    <w:rsid w:val="00E47DDF"/>
    <w:rsid w:val="00EA73E2"/>
    <w:rsid w:val="00EB18D5"/>
    <w:rsid w:val="00EC1DF0"/>
    <w:rsid w:val="00EC57FD"/>
    <w:rsid w:val="00EE7FE3"/>
    <w:rsid w:val="00F124D6"/>
    <w:rsid w:val="00F209AE"/>
    <w:rsid w:val="00F91A5F"/>
    <w:rsid w:val="00FD5171"/>
    <w:rsid w:val="00FD5CD9"/>
    <w:rsid w:val="00FE46D8"/>
    <w:rsid w:val="00FE4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4EF"/>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 w:type="paragraph" w:styleId="Web">
    <w:name w:val="Normal (Web)"/>
    <w:basedOn w:val="a"/>
    <w:uiPriority w:val="99"/>
    <w:unhideWhenUsed/>
    <w:rsid w:val="0035747B"/>
    <w:pPr>
      <w:spacing w:before="100" w:beforeAutospacing="1" w:after="100" w:afterAutospacing="1" w:line="240" w:lineRule="auto"/>
    </w:pPr>
    <w:rPr>
      <w:rFonts w:ascii="MS PGothic" w:eastAsia="MS PGothic" w:hAnsi="MS PGothic" w:cs="MS PGothic"/>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1127">
      <w:bodyDiv w:val="1"/>
      <w:marLeft w:val="0"/>
      <w:marRight w:val="0"/>
      <w:marTop w:val="0"/>
      <w:marBottom w:val="0"/>
      <w:divBdr>
        <w:top w:val="none" w:sz="0" w:space="0" w:color="auto"/>
        <w:left w:val="none" w:sz="0" w:space="0" w:color="auto"/>
        <w:bottom w:val="none" w:sz="0" w:space="0" w:color="auto"/>
        <w:right w:val="none" w:sz="0" w:space="0" w:color="auto"/>
      </w:divBdr>
    </w:div>
    <w:div w:id="219023020">
      <w:bodyDiv w:val="1"/>
      <w:marLeft w:val="0"/>
      <w:marRight w:val="0"/>
      <w:marTop w:val="0"/>
      <w:marBottom w:val="0"/>
      <w:divBdr>
        <w:top w:val="none" w:sz="0" w:space="0" w:color="auto"/>
        <w:left w:val="none" w:sz="0" w:space="0" w:color="auto"/>
        <w:bottom w:val="none" w:sz="0" w:space="0" w:color="auto"/>
        <w:right w:val="none" w:sz="0" w:space="0" w:color="auto"/>
      </w:divBdr>
      <w:divsChild>
        <w:div w:id="1576627732">
          <w:marLeft w:val="0"/>
          <w:marRight w:val="0"/>
          <w:marTop w:val="0"/>
          <w:marBottom w:val="0"/>
          <w:divBdr>
            <w:top w:val="none" w:sz="0" w:space="0" w:color="auto"/>
            <w:left w:val="none" w:sz="0" w:space="0" w:color="auto"/>
            <w:bottom w:val="none" w:sz="0" w:space="0" w:color="auto"/>
            <w:right w:val="none" w:sz="0" w:space="0" w:color="auto"/>
          </w:divBdr>
          <w:divsChild>
            <w:div w:id="2124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73">
      <w:bodyDiv w:val="1"/>
      <w:marLeft w:val="0"/>
      <w:marRight w:val="0"/>
      <w:marTop w:val="0"/>
      <w:marBottom w:val="0"/>
      <w:divBdr>
        <w:top w:val="none" w:sz="0" w:space="0" w:color="auto"/>
        <w:left w:val="none" w:sz="0" w:space="0" w:color="auto"/>
        <w:bottom w:val="none" w:sz="0" w:space="0" w:color="auto"/>
        <w:right w:val="none" w:sz="0" w:space="0" w:color="auto"/>
      </w:divBdr>
      <w:divsChild>
        <w:div w:id="740098245">
          <w:marLeft w:val="0"/>
          <w:marRight w:val="0"/>
          <w:marTop w:val="0"/>
          <w:marBottom w:val="0"/>
          <w:divBdr>
            <w:top w:val="none" w:sz="0" w:space="0" w:color="auto"/>
            <w:left w:val="none" w:sz="0" w:space="0" w:color="auto"/>
            <w:bottom w:val="none" w:sz="0" w:space="0" w:color="auto"/>
            <w:right w:val="none" w:sz="0" w:space="0" w:color="auto"/>
          </w:divBdr>
          <w:divsChild>
            <w:div w:id="2021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2711">
          <w:marLeft w:val="0"/>
          <w:marRight w:val="0"/>
          <w:marTop w:val="0"/>
          <w:marBottom w:val="0"/>
          <w:divBdr>
            <w:top w:val="none" w:sz="0" w:space="0" w:color="auto"/>
            <w:left w:val="none" w:sz="0" w:space="0" w:color="auto"/>
            <w:bottom w:val="none" w:sz="0" w:space="0" w:color="auto"/>
            <w:right w:val="none" w:sz="0" w:space="0" w:color="auto"/>
          </w:divBdr>
          <w:divsChild>
            <w:div w:id="15737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224">
      <w:bodyDiv w:val="1"/>
      <w:marLeft w:val="0"/>
      <w:marRight w:val="0"/>
      <w:marTop w:val="0"/>
      <w:marBottom w:val="0"/>
      <w:divBdr>
        <w:top w:val="none" w:sz="0" w:space="0" w:color="auto"/>
        <w:left w:val="none" w:sz="0" w:space="0" w:color="auto"/>
        <w:bottom w:val="none" w:sz="0" w:space="0" w:color="auto"/>
        <w:right w:val="none" w:sz="0" w:space="0" w:color="auto"/>
      </w:divBdr>
    </w:div>
    <w:div w:id="367725935">
      <w:bodyDiv w:val="1"/>
      <w:marLeft w:val="0"/>
      <w:marRight w:val="0"/>
      <w:marTop w:val="0"/>
      <w:marBottom w:val="0"/>
      <w:divBdr>
        <w:top w:val="none" w:sz="0" w:space="0" w:color="auto"/>
        <w:left w:val="none" w:sz="0" w:space="0" w:color="auto"/>
        <w:bottom w:val="none" w:sz="0" w:space="0" w:color="auto"/>
        <w:right w:val="none" w:sz="0" w:space="0" w:color="auto"/>
      </w:divBdr>
    </w:div>
    <w:div w:id="403339944">
      <w:bodyDiv w:val="1"/>
      <w:marLeft w:val="0"/>
      <w:marRight w:val="0"/>
      <w:marTop w:val="0"/>
      <w:marBottom w:val="0"/>
      <w:divBdr>
        <w:top w:val="none" w:sz="0" w:space="0" w:color="auto"/>
        <w:left w:val="none" w:sz="0" w:space="0" w:color="auto"/>
        <w:bottom w:val="none" w:sz="0" w:space="0" w:color="auto"/>
        <w:right w:val="none" w:sz="0" w:space="0" w:color="auto"/>
      </w:divBdr>
    </w:div>
    <w:div w:id="432239142">
      <w:bodyDiv w:val="1"/>
      <w:marLeft w:val="0"/>
      <w:marRight w:val="0"/>
      <w:marTop w:val="0"/>
      <w:marBottom w:val="0"/>
      <w:divBdr>
        <w:top w:val="none" w:sz="0" w:space="0" w:color="auto"/>
        <w:left w:val="none" w:sz="0" w:space="0" w:color="auto"/>
        <w:bottom w:val="none" w:sz="0" w:space="0" w:color="auto"/>
        <w:right w:val="none" w:sz="0" w:space="0" w:color="auto"/>
      </w:divBdr>
      <w:divsChild>
        <w:div w:id="1304853003">
          <w:marLeft w:val="0"/>
          <w:marRight w:val="0"/>
          <w:marTop w:val="0"/>
          <w:marBottom w:val="0"/>
          <w:divBdr>
            <w:top w:val="none" w:sz="0" w:space="0" w:color="auto"/>
            <w:left w:val="none" w:sz="0" w:space="0" w:color="auto"/>
            <w:bottom w:val="none" w:sz="0" w:space="0" w:color="auto"/>
            <w:right w:val="none" w:sz="0" w:space="0" w:color="auto"/>
          </w:divBdr>
          <w:divsChild>
            <w:div w:id="20187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6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97">
          <w:marLeft w:val="0"/>
          <w:marRight w:val="0"/>
          <w:marTop w:val="0"/>
          <w:marBottom w:val="0"/>
          <w:divBdr>
            <w:top w:val="none" w:sz="0" w:space="0" w:color="auto"/>
            <w:left w:val="none" w:sz="0" w:space="0" w:color="auto"/>
            <w:bottom w:val="none" w:sz="0" w:space="0" w:color="auto"/>
            <w:right w:val="none" w:sz="0" w:space="0" w:color="auto"/>
          </w:divBdr>
          <w:divsChild>
            <w:div w:id="258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024">
      <w:bodyDiv w:val="1"/>
      <w:marLeft w:val="0"/>
      <w:marRight w:val="0"/>
      <w:marTop w:val="0"/>
      <w:marBottom w:val="0"/>
      <w:divBdr>
        <w:top w:val="none" w:sz="0" w:space="0" w:color="auto"/>
        <w:left w:val="none" w:sz="0" w:space="0" w:color="auto"/>
        <w:bottom w:val="none" w:sz="0" w:space="0" w:color="auto"/>
        <w:right w:val="none" w:sz="0" w:space="0" w:color="auto"/>
      </w:divBdr>
    </w:div>
    <w:div w:id="713774051">
      <w:bodyDiv w:val="1"/>
      <w:marLeft w:val="0"/>
      <w:marRight w:val="0"/>
      <w:marTop w:val="0"/>
      <w:marBottom w:val="0"/>
      <w:divBdr>
        <w:top w:val="none" w:sz="0" w:space="0" w:color="auto"/>
        <w:left w:val="none" w:sz="0" w:space="0" w:color="auto"/>
        <w:bottom w:val="none" w:sz="0" w:space="0" w:color="auto"/>
        <w:right w:val="none" w:sz="0" w:space="0" w:color="auto"/>
      </w:divBdr>
      <w:divsChild>
        <w:div w:id="761418649">
          <w:marLeft w:val="0"/>
          <w:marRight w:val="0"/>
          <w:marTop w:val="0"/>
          <w:marBottom w:val="0"/>
          <w:divBdr>
            <w:top w:val="none" w:sz="0" w:space="0" w:color="auto"/>
            <w:left w:val="none" w:sz="0" w:space="0" w:color="auto"/>
            <w:bottom w:val="none" w:sz="0" w:space="0" w:color="auto"/>
            <w:right w:val="none" w:sz="0" w:space="0" w:color="auto"/>
          </w:divBdr>
          <w:divsChild>
            <w:div w:id="1167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40">
      <w:bodyDiv w:val="1"/>
      <w:marLeft w:val="0"/>
      <w:marRight w:val="0"/>
      <w:marTop w:val="0"/>
      <w:marBottom w:val="0"/>
      <w:divBdr>
        <w:top w:val="none" w:sz="0" w:space="0" w:color="auto"/>
        <w:left w:val="none" w:sz="0" w:space="0" w:color="auto"/>
        <w:bottom w:val="none" w:sz="0" w:space="0" w:color="auto"/>
        <w:right w:val="none" w:sz="0" w:space="0" w:color="auto"/>
      </w:divBdr>
      <w:divsChild>
        <w:div w:id="788282487">
          <w:marLeft w:val="0"/>
          <w:marRight w:val="0"/>
          <w:marTop w:val="0"/>
          <w:marBottom w:val="0"/>
          <w:divBdr>
            <w:top w:val="none" w:sz="0" w:space="0" w:color="auto"/>
            <w:left w:val="none" w:sz="0" w:space="0" w:color="auto"/>
            <w:bottom w:val="none" w:sz="0" w:space="0" w:color="auto"/>
            <w:right w:val="none" w:sz="0" w:space="0" w:color="auto"/>
          </w:divBdr>
          <w:divsChild>
            <w:div w:id="8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02">
      <w:bodyDiv w:val="1"/>
      <w:marLeft w:val="0"/>
      <w:marRight w:val="0"/>
      <w:marTop w:val="0"/>
      <w:marBottom w:val="0"/>
      <w:divBdr>
        <w:top w:val="none" w:sz="0" w:space="0" w:color="auto"/>
        <w:left w:val="none" w:sz="0" w:space="0" w:color="auto"/>
        <w:bottom w:val="none" w:sz="0" w:space="0" w:color="auto"/>
        <w:right w:val="none" w:sz="0" w:space="0" w:color="auto"/>
      </w:divBdr>
    </w:div>
    <w:div w:id="967201723">
      <w:bodyDiv w:val="1"/>
      <w:marLeft w:val="0"/>
      <w:marRight w:val="0"/>
      <w:marTop w:val="0"/>
      <w:marBottom w:val="0"/>
      <w:divBdr>
        <w:top w:val="none" w:sz="0" w:space="0" w:color="auto"/>
        <w:left w:val="none" w:sz="0" w:space="0" w:color="auto"/>
        <w:bottom w:val="none" w:sz="0" w:space="0" w:color="auto"/>
        <w:right w:val="none" w:sz="0" w:space="0" w:color="auto"/>
      </w:divBdr>
    </w:div>
    <w:div w:id="1193109215">
      <w:bodyDiv w:val="1"/>
      <w:marLeft w:val="0"/>
      <w:marRight w:val="0"/>
      <w:marTop w:val="0"/>
      <w:marBottom w:val="0"/>
      <w:divBdr>
        <w:top w:val="none" w:sz="0" w:space="0" w:color="auto"/>
        <w:left w:val="none" w:sz="0" w:space="0" w:color="auto"/>
        <w:bottom w:val="none" w:sz="0" w:space="0" w:color="auto"/>
        <w:right w:val="none" w:sz="0" w:space="0" w:color="auto"/>
      </w:divBdr>
    </w:div>
    <w:div w:id="1256786889">
      <w:bodyDiv w:val="1"/>
      <w:marLeft w:val="0"/>
      <w:marRight w:val="0"/>
      <w:marTop w:val="0"/>
      <w:marBottom w:val="0"/>
      <w:divBdr>
        <w:top w:val="none" w:sz="0" w:space="0" w:color="auto"/>
        <w:left w:val="none" w:sz="0" w:space="0" w:color="auto"/>
        <w:bottom w:val="none" w:sz="0" w:space="0" w:color="auto"/>
        <w:right w:val="none" w:sz="0" w:space="0" w:color="auto"/>
      </w:divBdr>
    </w:div>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82296">
      <w:bodyDiv w:val="1"/>
      <w:marLeft w:val="0"/>
      <w:marRight w:val="0"/>
      <w:marTop w:val="0"/>
      <w:marBottom w:val="0"/>
      <w:divBdr>
        <w:top w:val="none" w:sz="0" w:space="0" w:color="auto"/>
        <w:left w:val="none" w:sz="0" w:space="0" w:color="auto"/>
        <w:bottom w:val="none" w:sz="0" w:space="0" w:color="auto"/>
        <w:right w:val="none" w:sz="0" w:space="0" w:color="auto"/>
      </w:divBdr>
    </w:div>
    <w:div w:id="1461222190">
      <w:bodyDiv w:val="1"/>
      <w:marLeft w:val="0"/>
      <w:marRight w:val="0"/>
      <w:marTop w:val="0"/>
      <w:marBottom w:val="0"/>
      <w:divBdr>
        <w:top w:val="none" w:sz="0" w:space="0" w:color="auto"/>
        <w:left w:val="none" w:sz="0" w:space="0" w:color="auto"/>
        <w:bottom w:val="none" w:sz="0" w:space="0" w:color="auto"/>
        <w:right w:val="none" w:sz="0" w:space="0" w:color="auto"/>
      </w:divBdr>
    </w:div>
    <w:div w:id="1473206626">
      <w:bodyDiv w:val="1"/>
      <w:marLeft w:val="0"/>
      <w:marRight w:val="0"/>
      <w:marTop w:val="0"/>
      <w:marBottom w:val="0"/>
      <w:divBdr>
        <w:top w:val="none" w:sz="0" w:space="0" w:color="auto"/>
        <w:left w:val="none" w:sz="0" w:space="0" w:color="auto"/>
        <w:bottom w:val="none" w:sz="0" w:space="0" w:color="auto"/>
        <w:right w:val="none" w:sz="0" w:space="0" w:color="auto"/>
      </w:divBdr>
    </w:div>
    <w:div w:id="1598246824">
      <w:bodyDiv w:val="1"/>
      <w:marLeft w:val="0"/>
      <w:marRight w:val="0"/>
      <w:marTop w:val="0"/>
      <w:marBottom w:val="0"/>
      <w:divBdr>
        <w:top w:val="none" w:sz="0" w:space="0" w:color="auto"/>
        <w:left w:val="none" w:sz="0" w:space="0" w:color="auto"/>
        <w:bottom w:val="none" w:sz="0" w:space="0" w:color="auto"/>
        <w:right w:val="none" w:sz="0" w:space="0" w:color="auto"/>
      </w:divBdr>
      <w:divsChild>
        <w:div w:id="1767845850">
          <w:marLeft w:val="0"/>
          <w:marRight w:val="0"/>
          <w:marTop w:val="0"/>
          <w:marBottom w:val="0"/>
          <w:divBdr>
            <w:top w:val="none" w:sz="0" w:space="0" w:color="auto"/>
            <w:left w:val="none" w:sz="0" w:space="0" w:color="auto"/>
            <w:bottom w:val="none" w:sz="0" w:space="0" w:color="auto"/>
            <w:right w:val="none" w:sz="0" w:space="0" w:color="auto"/>
          </w:divBdr>
          <w:divsChild>
            <w:div w:id="1730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411">
      <w:bodyDiv w:val="1"/>
      <w:marLeft w:val="0"/>
      <w:marRight w:val="0"/>
      <w:marTop w:val="0"/>
      <w:marBottom w:val="0"/>
      <w:divBdr>
        <w:top w:val="none" w:sz="0" w:space="0" w:color="auto"/>
        <w:left w:val="none" w:sz="0" w:space="0" w:color="auto"/>
        <w:bottom w:val="none" w:sz="0" w:space="0" w:color="auto"/>
        <w:right w:val="none" w:sz="0" w:space="0" w:color="auto"/>
      </w:divBdr>
    </w:div>
    <w:div w:id="1619945161">
      <w:bodyDiv w:val="1"/>
      <w:marLeft w:val="0"/>
      <w:marRight w:val="0"/>
      <w:marTop w:val="0"/>
      <w:marBottom w:val="0"/>
      <w:divBdr>
        <w:top w:val="none" w:sz="0" w:space="0" w:color="auto"/>
        <w:left w:val="none" w:sz="0" w:space="0" w:color="auto"/>
        <w:bottom w:val="none" w:sz="0" w:space="0" w:color="auto"/>
        <w:right w:val="none" w:sz="0" w:space="0" w:color="auto"/>
      </w:divBdr>
    </w:div>
    <w:div w:id="1694451974">
      <w:bodyDiv w:val="1"/>
      <w:marLeft w:val="0"/>
      <w:marRight w:val="0"/>
      <w:marTop w:val="0"/>
      <w:marBottom w:val="0"/>
      <w:divBdr>
        <w:top w:val="none" w:sz="0" w:space="0" w:color="auto"/>
        <w:left w:val="none" w:sz="0" w:space="0" w:color="auto"/>
        <w:bottom w:val="none" w:sz="0" w:space="0" w:color="auto"/>
        <w:right w:val="none" w:sz="0" w:space="0" w:color="auto"/>
      </w:divBdr>
      <w:divsChild>
        <w:div w:id="2010711940">
          <w:marLeft w:val="0"/>
          <w:marRight w:val="0"/>
          <w:marTop w:val="0"/>
          <w:marBottom w:val="0"/>
          <w:divBdr>
            <w:top w:val="none" w:sz="0" w:space="0" w:color="auto"/>
            <w:left w:val="none" w:sz="0" w:space="0" w:color="auto"/>
            <w:bottom w:val="none" w:sz="0" w:space="0" w:color="auto"/>
            <w:right w:val="none" w:sz="0" w:space="0" w:color="auto"/>
          </w:divBdr>
          <w:divsChild>
            <w:div w:id="384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831">
      <w:bodyDiv w:val="1"/>
      <w:marLeft w:val="0"/>
      <w:marRight w:val="0"/>
      <w:marTop w:val="0"/>
      <w:marBottom w:val="0"/>
      <w:divBdr>
        <w:top w:val="none" w:sz="0" w:space="0" w:color="auto"/>
        <w:left w:val="none" w:sz="0" w:space="0" w:color="auto"/>
        <w:bottom w:val="none" w:sz="0" w:space="0" w:color="auto"/>
        <w:right w:val="none" w:sz="0" w:space="0" w:color="auto"/>
      </w:divBdr>
      <w:divsChild>
        <w:div w:id="1743676823">
          <w:marLeft w:val="0"/>
          <w:marRight w:val="0"/>
          <w:marTop w:val="0"/>
          <w:marBottom w:val="0"/>
          <w:divBdr>
            <w:top w:val="none" w:sz="0" w:space="0" w:color="auto"/>
            <w:left w:val="none" w:sz="0" w:space="0" w:color="auto"/>
            <w:bottom w:val="none" w:sz="0" w:space="0" w:color="auto"/>
            <w:right w:val="none" w:sz="0" w:space="0" w:color="auto"/>
          </w:divBdr>
          <w:divsChild>
            <w:div w:id="179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101">
      <w:bodyDiv w:val="1"/>
      <w:marLeft w:val="0"/>
      <w:marRight w:val="0"/>
      <w:marTop w:val="0"/>
      <w:marBottom w:val="0"/>
      <w:divBdr>
        <w:top w:val="none" w:sz="0" w:space="0" w:color="auto"/>
        <w:left w:val="none" w:sz="0" w:space="0" w:color="auto"/>
        <w:bottom w:val="none" w:sz="0" w:space="0" w:color="auto"/>
        <w:right w:val="none" w:sz="0" w:space="0" w:color="auto"/>
      </w:divBdr>
    </w:div>
    <w:div w:id="2050491795">
      <w:bodyDiv w:val="1"/>
      <w:marLeft w:val="0"/>
      <w:marRight w:val="0"/>
      <w:marTop w:val="0"/>
      <w:marBottom w:val="0"/>
      <w:divBdr>
        <w:top w:val="none" w:sz="0" w:space="0" w:color="auto"/>
        <w:left w:val="none" w:sz="0" w:space="0" w:color="auto"/>
        <w:bottom w:val="none" w:sz="0" w:space="0" w:color="auto"/>
        <w:right w:val="none" w:sz="0" w:space="0" w:color="auto"/>
      </w:divBdr>
    </w:div>
    <w:div w:id="2089879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633</Words>
  <Characters>3612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33</cp:revision>
  <cp:lastPrinted>2024-08-24T12:58:00Z</cp:lastPrinted>
  <dcterms:created xsi:type="dcterms:W3CDTF">2024-06-18T15:31:00Z</dcterms:created>
  <dcterms:modified xsi:type="dcterms:W3CDTF">2024-08-24T15:24:00Z</dcterms:modified>
</cp:coreProperties>
</file>