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38D3B474" w:rsidR="00285A19" w:rsidRDefault="005C2D2C" w:rsidP="00A341FB">
      <w:pPr>
        <w:spacing w:after="3" w:line="240" w:lineRule="auto"/>
        <w:ind w:left="0" w:right="210" w:firstLine="0"/>
        <w:jc w:val="center"/>
        <w:rPr>
          <w:lang w:eastAsia="zh-CN"/>
        </w:rPr>
      </w:pPr>
      <w:r w:rsidRPr="005C2D2C">
        <w:rPr>
          <w:rFonts w:ascii="黑体" w:eastAsia="黑体" w:hAnsi="黑体" w:cs="黑体"/>
          <w:sz w:val="44"/>
          <w:lang w:eastAsia="zh-CN"/>
        </w:rPr>
        <w:t>全球经济背景下企业运营的挑战与应对策略研究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026D13D3"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E2F6A" w:rsidRPr="00EE2F6A">
        <w:rPr>
          <w:rFonts w:ascii="华文仿宋" w:eastAsia="华文仿宋" w:hAnsi="华文仿宋" w:cs="华文仿宋"/>
          <w:sz w:val="18"/>
          <w:lang w:eastAsia="zh-CN"/>
        </w:rPr>
        <w:t>本文探讨了全球经济背景下企业运营所面临的主要挑战与应对策略。随着全球化进程的加速，企业在跨国经营中遇到了市场不确定性、文化差异、法律法规多样性以及供应链复杂性等诸多挑战。这些因素增加了企业的运营风险和管理难度，迫使企业在全球市场中寻求更加灵活和高效的运营模式。本文通过分析全球经济环境对企业的影响，提出了多种应对策略，包括提高供应链弹性、优化跨文化管理、加强合规性管理和利用信息技术增强运营效率。本文旨在为企业在全球化背景下的可持续发展提供理论支持和实践指导。</w:t>
      </w:r>
      <w:r w:rsidR="00112E27" w:rsidRPr="00112E27">
        <w:rPr>
          <w:rFonts w:ascii="华文仿宋" w:eastAsia="华文仿宋" w:hAnsi="华文仿宋" w:cs="华文仿宋"/>
          <w:sz w:val="18"/>
          <w:lang w:eastAsia="zh-CN"/>
        </w:rPr>
        <w:t xml:space="preserve"> </w:t>
      </w:r>
    </w:p>
    <w:p w14:paraId="2C78EC37" w14:textId="0B65208B"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1871B4" w:rsidRPr="001871B4">
        <w:rPr>
          <w:rFonts w:ascii="华文仿宋" w:eastAsia="华文仿宋" w:hAnsi="华文仿宋" w:cs="华文仿宋"/>
          <w:sz w:val="18"/>
          <w:lang w:eastAsia="zh-CN"/>
        </w:rPr>
        <w:t>全球经济</w:t>
      </w:r>
      <w:r>
        <w:rPr>
          <w:rFonts w:ascii="华文仿宋" w:eastAsia="华文仿宋" w:hAnsi="华文仿宋" w:cs="华文仿宋"/>
          <w:sz w:val="18"/>
          <w:lang w:eastAsia="zh-CN"/>
        </w:rPr>
        <w:t>；</w:t>
      </w:r>
      <w:r w:rsidR="002335F9" w:rsidRPr="002335F9">
        <w:rPr>
          <w:rFonts w:ascii="华文仿宋" w:eastAsia="华文仿宋" w:hAnsi="华文仿宋" w:cs="华文仿宋"/>
          <w:sz w:val="18"/>
          <w:lang w:eastAsia="zh-CN"/>
        </w:rPr>
        <w:t>企业运营</w:t>
      </w:r>
      <w:r>
        <w:rPr>
          <w:rFonts w:ascii="华文仿宋" w:eastAsia="华文仿宋" w:hAnsi="华文仿宋" w:cs="华文仿宋"/>
          <w:sz w:val="18"/>
          <w:lang w:eastAsia="zh-CN"/>
        </w:rPr>
        <w:t>；</w:t>
      </w:r>
      <w:r w:rsidR="002335F9" w:rsidRPr="002335F9">
        <w:rPr>
          <w:rFonts w:ascii="华文仿宋" w:eastAsia="华文仿宋" w:hAnsi="华文仿宋" w:cs="华文仿宋"/>
          <w:sz w:val="18"/>
          <w:lang w:eastAsia="zh-CN"/>
        </w:rPr>
        <w:t>应对策略</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4A2AB51F" w:rsidR="00E20BA7" w:rsidRDefault="00EE2F6A" w:rsidP="00E621E2">
      <w:pPr>
        <w:spacing w:after="298" w:line="240" w:lineRule="auto"/>
        <w:ind w:left="-15" w:firstLine="420"/>
        <w:rPr>
          <w:sz w:val="20"/>
          <w:szCs w:val="20"/>
          <w:lang w:eastAsia="zh-CN"/>
        </w:rPr>
      </w:pPr>
      <w:r w:rsidRPr="00EE2F6A">
        <w:rPr>
          <w:sz w:val="20"/>
          <w:szCs w:val="20"/>
          <w:lang w:eastAsia="zh-CN"/>
        </w:rPr>
        <w:t xml:space="preserve"> 在全球化进程日益加速的背景下，企业的运营环境变得愈加复杂和动态。全球经济一体化不仅带来了更多的市场机遇，也伴随着更大的不确定性和挑战。企业在全球市场中不仅需要应对来自不同国家的竞争对手，还要面对多样化的文化、法律法规、政治环境和经济波动</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1</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。这些因素使得企业的运营难度显著增加，迫使管理者不断调整和优化运营策略，以保持竞争力并实现可持续发展。 在全球经济背景下，企业运营的挑战主要表现在以下几个方面。首先，市场不确定性加剧，全球经济波动可能导致需求变化剧烈，进而影响企业的生产和销售计划。其次，跨文化管理变得更加复杂，不同国家和地区的文化差异可能导致管理沟通和团队协作的障碍。第三，法律法规的多样性使得企业在不同市场中的合规要求大幅增加，特别是在数据保护、税务和环保等方面的法律风险显著上升。最后，全球供应链的复杂性进一步增加，企业需要面对供应链中断、物流延误以及成本上涨等问题。 本文将深入探讨全球经济背景下企业运营面临的主要挑战，并分析企业如何通过有效的应对策略，提升其在全球市场中的竞争力和可持续发展能力。这些研究不仅为企业提供了应对复杂国际环境的理论指导，也为实践中的策略制定提供了有价值的参考。</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1ED9F212" w:rsidR="00285A19" w:rsidRDefault="00EE2F6A" w:rsidP="00A341FB">
      <w:pPr>
        <w:pStyle w:val="1"/>
        <w:spacing w:line="240" w:lineRule="auto"/>
        <w:ind w:left="410" w:hanging="425"/>
        <w:rPr>
          <w:lang w:eastAsia="zh-CN"/>
        </w:rPr>
      </w:pPr>
      <w:r w:rsidRPr="00EE2F6A">
        <w:rPr>
          <w:lang w:eastAsia="zh-CN"/>
        </w:rPr>
        <w:t>全球经济背景下企业运营面临的主要挑战</w:t>
      </w:r>
      <w:r w:rsidR="0033375C">
        <w:rPr>
          <w:rFonts w:ascii="Times New Roman" w:eastAsia="Times New Roman" w:hAnsi="Times New Roman" w:cs="Times New Roman"/>
          <w:lang w:eastAsia="zh-CN"/>
        </w:rPr>
        <w:t xml:space="preserve"> </w:t>
      </w:r>
    </w:p>
    <w:p w14:paraId="568F1AE3" w14:textId="7A32BE54"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EE2F6A" w:rsidRPr="00EE2F6A">
        <w:rPr>
          <w:rFonts w:ascii="黑体" w:eastAsia="黑体" w:hAnsi="黑体" w:cs="黑体"/>
          <w:sz w:val="24"/>
          <w:lang w:eastAsia="zh-CN"/>
        </w:rPr>
        <w:t>市场不确定性与经济波动</w:t>
      </w:r>
    </w:p>
    <w:p w14:paraId="4B074DFB" w14:textId="5E7719C1" w:rsidR="00285A19" w:rsidRDefault="00EE2F6A" w:rsidP="00A341FB">
      <w:pPr>
        <w:spacing w:after="234" w:line="240" w:lineRule="auto"/>
        <w:ind w:left="0" w:firstLine="492"/>
        <w:rPr>
          <w:lang w:eastAsia="zh-CN"/>
        </w:rPr>
      </w:pPr>
      <w:r w:rsidRPr="00EE2F6A">
        <w:rPr>
          <w:sz w:val="20"/>
          <w:lang w:eastAsia="zh-CN"/>
        </w:rPr>
        <w:t xml:space="preserve"> 在全球经济背景下，市场不确定性与经济波动已成为企业运营中不可忽视的挑战</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2</w:t>
      </w:r>
      <w:r w:rsidR="00814D4C">
        <w:rPr>
          <w:rFonts w:ascii="Times New Roman" w:eastAsia="Times New Roman" w:hAnsi="Times New Roman" w:cs="Times New Roman"/>
          <w:sz w:val="20"/>
          <w:szCs w:val="20"/>
          <w:vertAlign w:val="superscript"/>
          <w:lang w:eastAsia="zh-CN"/>
        </w:rPr>
        <w:t>]</w:t>
      </w:r>
      <w:r w:rsidRPr="00EE2F6A">
        <w:rPr>
          <w:sz w:val="20"/>
          <w:lang w:eastAsia="zh-CN"/>
        </w:rPr>
        <w:t>。全球市场的动态性使得企业难以预测需求变化、汇率波动和原材料价格的起伏，这些因素可能导致生产成本的剧增或利润的急剧下降。此外，地缘政治风险、贸易争端和疫情等突发事件，也会对全球供应链产生巨大冲击，使企业面临供应链中断或物流延误的风险。经济波动不仅影响企业的短期经营，还可能改变行业格局，导致企业长期战略需要频繁调整。在这种环境下，企业必须增强其应对市场不确定性的能力，通过灵活的运营策略、风险管理和多元化的市场布局，来降低经济波动带来的负面影响，从而在动荡的全球市场中保持竞争优势。</w:t>
      </w:r>
      <w:r w:rsidR="00112E27" w:rsidRPr="00112E27">
        <w:rPr>
          <w:sz w:val="20"/>
          <w:lang w:eastAsia="zh-CN"/>
        </w:rPr>
        <w:t xml:space="preserve"> </w:t>
      </w:r>
      <w:r w:rsidR="0033375C">
        <w:rPr>
          <w:rFonts w:ascii="Times New Roman" w:eastAsia="Times New Roman" w:hAnsi="Times New Roman" w:cs="Times New Roman"/>
          <w:sz w:val="20"/>
          <w:lang w:eastAsia="zh-CN"/>
        </w:rPr>
        <w:t xml:space="preserve"> </w:t>
      </w:r>
    </w:p>
    <w:p w14:paraId="72477604" w14:textId="4DD888B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EE2F6A" w:rsidRPr="00EE2F6A">
        <w:rPr>
          <w:rFonts w:ascii="黑体" w:eastAsia="黑体" w:hAnsi="黑体" w:cs="黑体"/>
          <w:sz w:val="24"/>
          <w:lang w:eastAsia="zh-CN"/>
        </w:rPr>
        <w:t>跨文化管理的复杂性</w:t>
      </w:r>
    </w:p>
    <w:p w14:paraId="3A875D82" w14:textId="11166356"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跨文化管理的复杂性在全球化企业运营中尤为突出。企业在不同国家和地区开展业务时，必须应对多元文化背景下的管理挑战。首先，不同文化对沟通方式、决策流程和工作习惯的差异可能导致误解和冲突。例如，在一些文化中，直接沟通被视为有效，而在另一些文化中，间接或迂回的表达更为常见</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3</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其次，文化差异还体现在权力距离、集体主义与个人主义、风险规避等方面，这些因素会影响团队协作、领导风格和员工激励的有效性。此外，跨文化管理还要求企业在全球范围内平衡本地化和标准化之间的矛盾，即在尊重当地文化的同时，维持企业核心价值观和管理标准。这种复杂性需要企业通过文化敏感性培训、跨文化沟通技能提升以及灵活的管理策略来加以应对，从而提高跨文化团队的协作效率，确保全球运营的成功</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4</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w:t>
      </w:r>
    </w:p>
    <w:p w14:paraId="761B06FC" w14:textId="32FD180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lastRenderedPageBreak/>
        <w:t>1.3</w:t>
      </w:r>
      <w:r>
        <w:rPr>
          <w:rFonts w:ascii="Arial" w:eastAsia="Arial" w:hAnsi="Arial" w:cs="Arial"/>
          <w:sz w:val="24"/>
          <w:lang w:eastAsia="zh-CN"/>
        </w:rPr>
        <w:t xml:space="preserve"> </w:t>
      </w:r>
      <w:r w:rsidR="00EE2F6A" w:rsidRPr="00EE2F6A">
        <w:rPr>
          <w:rFonts w:ascii="黑体" w:eastAsia="黑体" w:hAnsi="黑体" w:cs="黑体"/>
          <w:sz w:val="24"/>
          <w:lang w:eastAsia="zh-CN"/>
        </w:rPr>
        <w:t>法律法规的多样性与合规性风险</w:t>
      </w:r>
      <w:r>
        <w:rPr>
          <w:rFonts w:ascii="Times New Roman" w:eastAsia="Times New Roman" w:hAnsi="Times New Roman" w:cs="Times New Roman"/>
          <w:sz w:val="24"/>
          <w:lang w:eastAsia="zh-CN"/>
        </w:rPr>
        <w:t xml:space="preserve"> </w:t>
      </w:r>
    </w:p>
    <w:p w14:paraId="20CD12C6" w14:textId="27CB9CA1" w:rsidR="00A341FB" w:rsidRDefault="00EE2F6A" w:rsidP="00A341FB">
      <w:pPr>
        <w:spacing w:after="298" w:line="240" w:lineRule="auto"/>
        <w:ind w:left="-15" w:firstLine="420"/>
        <w:rPr>
          <w:sz w:val="20"/>
          <w:szCs w:val="20"/>
          <w:lang w:eastAsia="zh-CN"/>
        </w:rPr>
      </w:pPr>
      <w:r w:rsidRPr="00EE2F6A">
        <w:rPr>
          <w:sz w:val="20"/>
          <w:szCs w:val="20"/>
          <w:lang w:eastAsia="zh-CN"/>
        </w:rPr>
        <w:t xml:space="preserve"> 在全球化运营中，企业面临的法律法规多样性和合规性风险成为重大挑战</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5</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不同国家和地区的法律体系、法规要求和合规标准存在显著差异，涵盖了数据保护、劳动法、环保法规、税收政策等多个领域。这种多样性要求企业在全球范围内严格遵守各地的法律规定，任何疏忽或不当处理都可能导致法律诉讼、罚款甚至损害企业声誉。此外，随着各国对跨境数据传输、隐私保护和反垄断等问题的监管力度加大，合规性管理的复杂性进一步增加。企业必须建立健全的全球合规管理体系，包括实时跟踪法规变化、定期进行合规审计和员工培训，确保各业务单元符合当地法规要求。通过加强合规性管理，企业不仅能够降低法律风险，还能提升其在全球市场中的诚信度和竞争力。</w:t>
      </w:r>
    </w:p>
    <w:p w14:paraId="765600B5" w14:textId="77777777" w:rsidR="00A341FB" w:rsidRPr="00C75A61" w:rsidRDefault="00A341FB" w:rsidP="00A341FB">
      <w:pPr>
        <w:spacing w:after="298" w:line="240" w:lineRule="auto"/>
        <w:rPr>
          <w:sz w:val="20"/>
          <w:szCs w:val="20"/>
          <w:lang w:eastAsia="zh-CN"/>
        </w:rPr>
      </w:pPr>
    </w:p>
    <w:p w14:paraId="706A5B38" w14:textId="46874501" w:rsidR="00285A19" w:rsidRDefault="00EE2F6A" w:rsidP="00A341FB">
      <w:pPr>
        <w:pStyle w:val="1"/>
        <w:spacing w:line="240" w:lineRule="auto"/>
        <w:ind w:left="410" w:hanging="425"/>
        <w:rPr>
          <w:lang w:eastAsia="zh-CN"/>
        </w:rPr>
      </w:pPr>
      <w:r w:rsidRPr="00EE2F6A">
        <w:rPr>
          <w:lang w:eastAsia="zh-CN"/>
        </w:rPr>
        <w:t>应对全球经济挑战的企业策略</w:t>
      </w:r>
      <w:r w:rsidR="0033375C">
        <w:rPr>
          <w:rFonts w:ascii="Times New Roman" w:eastAsia="Times New Roman" w:hAnsi="Times New Roman" w:cs="Times New Roman"/>
          <w:lang w:eastAsia="zh-CN"/>
        </w:rPr>
        <w:t xml:space="preserve"> </w:t>
      </w:r>
    </w:p>
    <w:p w14:paraId="3B3A67B5" w14:textId="65ECA3D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EE2F6A" w:rsidRPr="00EE2F6A">
        <w:rPr>
          <w:rFonts w:ascii="黑体" w:eastAsia="黑体" w:hAnsi="黑体" w:cs="黑体"/>
          <w:sz w:val="24"/>
          <w:lang w:eastAsia="zh-CN"/>
        </w:rPr>
        <w:t>提高供应链弹性与灵活性</w:t>
      </w:r>
    </w:p>
    <w:p w14:paraId="4AA9680A" w14:textId="0EF96FE5" w:rsidR="00285A19" w:rsidRPr="00723E9B" w:rsidRDefault="00EE2F6A" w:rsidP="00A341FB">
      <w:pPr>
        <w:spacing w:after="265" w:line="240" w:lineRule="auto"/>
        <w:ind w:left="-15" w:firstLine="492"/>
        <w:rPr>
          <w:sz w:val="20"/>
          <w:szCs w:val="20"/>
          <w:lang w:eastAsia="zh-CN"/>
        </w:rPr>
      </w:pPr>
      <w:r w:rsidRPr="00EE2F6A">
        <w:rPr>
          <w:sz w:val="20"/>
          <w:szCs w:val="20"/>
          <w:lang w:eastAsia="zh-CN"/>
        </w:rPr>
        <w:t xml:space="preserve"> 提高供应链的弹性与灵活性是应对全球市场不确定性和经济波动的关键策略。供应链弹性指的是供应链在面临突发事件时能够迅速恢复和调整的能力，而灵活性则意味着供应链能够快速适应市场需求的变化</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6</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企业可以通过多样化供应商网络、建立区域性或本地化的生产和配送中心来增强供应链的弹性，从而减少对单一供应来源的依赖，降低中断风险。同时，利用信息技术如物联网（IoT）和大数据分析，企业可以实时监控供应链各环节的运作，提前识别潜在风险并采取相应措施。此外，灵活的供应链还应具备快速响应市场变化的能力，例如调整生产计划、优化库存管理和加快物流配送。通过提升供应链的弹性与灵活性，企业能够更有效地应对全球市场中的各种不确定性，保持业务的连续性和竞争优势。</w:t>
      </w:r>
    </w:p>
    <w:p w14:paraId="600926F1" w14:textId="1F1D5A19"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EE2F6A" w:rsidRPr="00EE2F6A">
        <w:rPr>
          <w:rFonts w:ascii="黑体" w:eastAsia="黑体" w:hAnsi="黑体" w:cs="黑体"/>
          <w:sz w:val="24"/>
          <w:lang w:eastAsia="zh-CN"/>
        </w:rPr>
        <w:t>优化跨文化管理</w:t>
      </w:r>
    </w:p>
    <w:p w14:paraId="5A27C730" w14:textId="3CF801C4"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优化跨文化管理是全球化企业成功运营的关键。不同文化背景下的员工在沟通、决策和工作习惯上存在显著差异，这可能导致误解和团队协作效率的降低</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7</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为应对这一挑战，企业需要首先加强文化敏感性培训，使管理者和员工了解并尊重不同文化的习惯和价值观，从而减少文化冲突。其次，企业应建立多样化的团队，融合不同文化视角，促进创新和问题解决。此外，跨文化沟通技能的提升也是优化管理的重要环节，管理者应掌握有效的沟通策略，确保信息在不同文化背景下的准确传递。灵活的管理风格也是必要的，企业应在标准化管理与本地化适应之间找到平衡点，以满足各地业务的需求。通过这些措施，企业能够有效提升跨文化团队的协作能力，增强全球运营的整体效率和竞争力。</w:t>
      </w:r>
    </w:p>
    <w:p w14:paraId="43115BE5" w14:textId="5DD001F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EE2F6A" w:rsidRPr="00EE2F6A">
        <w:rPr>
          <w:rFonts w:ascii="黑体" w:eastAsia="黑体" w:hAnsi="黑体" w:cs="黑体"/>
          <w:sz w:val="24"/>
          <w:lang w:eastAsia="zh-CN"/>
        </w:rPr>
        <w:t>加强全球合规性管理</w:t>
      </w:r>
    </w:p>
    <w:p w14:paraId="0BFF49C5" w14:textId="20138200" w:rsidR="00285A19" w:rsidRDefault="00EE2F6A" w:rsidP="00A341FB">
      <w:pPr>
        <w:spacing w:after="298" w:line="240" w:lineRule="auto"/>
        <w:ind w:left="-15" w:firstLine="420"/>
        <w:rPr>
          <w:sz w:val="20"/>
          <w:szCs w:val="20"/>
          <w:lang w:eastAsia="zh-CN"/>
        </w:rPr>
      </w:pPr>
      <w:r w:rsidRPr="00EE2F6A">
        <w:rPr>
          <w:sz w:val="20"/>
          <w:szCs w:val="20"/>
          <w:lang w:eastAsia="zh-CN"/>
        </w:rPr>
        <w:t xml:space="preserve"> 加强全球合规性管理对于跨国企业在多变的法律环境中保持运营合法性和声誉至关重要。随着各国对数据保护、税务合规、环境法规等方面的监管日益严格，企业必须建立健全的全球合规管理体系</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8</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首先，企业应实施实时监控和评估机制，持续跟踪各地区法律法规的动态变化，确保及时调整运营策略。其次，合规性审计和风险评估成为常规流程，以识别和防范潜在的法律风险。此外，企业需要定期培训员工，尤其是涉及合规管理的人员，以提高他们对法律要求的理解和执行能力。建立跨部门的合规团队，确保各业务单元之间的协调和信息共享，也是提升全球合规性的关键。通过这些措施，企业不仅可以有效降低法律风险，还能增强市场信任度，确保在全球市场中稳健发展</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9</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6BCB137A" w:rsidR="00205ADA" w:rsidRPr="00F37D73" w:rsidRDefault="00EE2F6A" w:rsidP="00A341FB">
      <w:pPr>
        <w:spacing w:after="275" w:line="240" w:lineRule="auto"/>
        <w:ind w:left="-15" w:firstLine="425"/>
        <w:rPr>
          <w:sz w:val="20"/>
          <w:szCs w:val="20"/>
          <w:lang w:eastAsia="zh-CN"/>
        </w:rPr>
      </w:pPr>
      <w:r w:rsidRPr="00EE2F6A">
        <w:rPr>
          <w:sz w:val="20"/>
          <w:szCs w:val="20"/>
          <w:lang w:eastAsia="zh-CN"/>
        </w:rPr>
        <w:t xml:space="preserve"> 本文全面探讨了全球经济背景下企业运营面临的多重挑战及其应对策略。在全球化进程中，企业不仅要应对市场不确定性、经济波动和跨文化管理的复杂性，还需面对各国法律法规的多样性和合规性风险。为保持竞争力，企业必须采取积极的应对策略，如提高供应链的弹性与灵活性、优化跨文化管理、以及加强全球合规性管理。这些策略不仅能够帮助企业在全球市场中快速适应变化，还能增强其在复杂环境中的抗风险能力。未来，随着全球化进一步深入，企业需要持续创新与优化其运营策略，利用信息技术和数据分析工具，提升全球运营的效率与精准性。通过系统化的管理和灵活的应对措施，企业可以在全球市场中实现长期可持续发展，并在日益激烈的竞争中保持领先地位</w:t>
      </w:r>
      <w:r w:rsidR="00814D4C">
        <w:rPr>
          <w:rFonts w:ascii="Times New Roman" w:eastAsia="Times New Roman" w:hAnsi="Times New Roman" w:cs="Times New Roman"/>
          <w:sz w:val="20"/>
          <w:szCs w:val="20"/>
          <w:vertAlign w:val="superscript"/>
          <w:lang w:eastAsia="zh-CN"/>
        </w:rPr>
        <w:t>[</w:t>
      </w:r>
      <w:r w:rsidR="00814D4C">
        <w:rPr>
          <w:rFonts w:ascii="Times New Roman" w:eastAsia="等线" w:hAnsi="Times New Roman" w:cs="Times New Roman" w:hint="eastAsia"/>
          <w:sz w:val="20"/>
          <w:szCs w:val="20"/>
          <w:vertAlign w:val="superscript"/>
          <w:lang w:eastAsia="zh-CN"/>
        </w:rPr>
        <w:t>1</w:t>
      </w:r>
      <w:r w:rsidR="00814D4C">
        <w:rPr>
          <w:rFonts w:ascii="Times New Roman" w:eastAsia="等线" w:hAnsi="Times New Roman" w:cs="Times New Roman" w:hint="eastAsia"/>
          <w:sz w:val="20"/>
          <w:szCs w:val="20"/>
          <w:vertAlign w:val="superscript"/>
          <w:lang w:eastAsia="zh-CN"/>
        </w:rPr>
        <w:t>0</w:t>
      </w:r>
      <w:r w:rsidR="00814D4C">
        <w:rPr>
          <w:rFonts w:ascii="Times New Roman" w:eastAsia="Times New Roman" w:hAnsi="Times New Roman" w:cs="Times New Roman"/>
          <w:sz w:val="20"/>
          <w:szCs w:val="20"/>
          <w:vertAlign w:val="superscript"/>
          <w:lang w:eastAsia="zh-CN"/>
        </w:rPr>
        <w:t>]</w:t>
      </w:r>
      <w:r w:rsidRPr="00EE2F6A">
        <w:rPr>
          <w:sz w:val="20"/>
          <w:szCs w:val="20"/>
          <w:lang w:eastAsia="zh-CN"/>
        </w:rPr>
        <w:t>。本文的研究为企业制定全球化运营策略提供了理论支持和实践指导，具有重要的参考价值。</w:t>
      </w: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lastRenderedPageBreak/>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6932CA5C"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范蕴琪,王靖一.跨境电商物流企业运营绩效评价及改进策略探讨[J].商场现代化,2024(18):39-41.DOI:10.14013/j.cnki.scxdh.2024.18.008.</w:t>
      </w:r>
    </w:p>
    <w:p w14:paraId="5C8A0DA7"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张毅.数字化视域下企业运营管理模式优化策略探究[J].中国总会计师,2024(07):176-178.</w:t>
      </w:r>
    </w:p>
    <w:p w14:paraId="373A9E87"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李慧.新形势下国有地产企业运营管理难点及对策[J].投资与合作,2024(07):137-139.</w:t>
      </w:r>
    </w:p>
    <w:p w14:paraId="5EE0793B"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罗党论,程小燕,陈晓淇.数字化转型与企业运营效率——来自中国资本市场的经验证据[J].管理会计研究,2024(04):5-17.</w:t>
      </w:r>
    </w:p>
    <w:p w14:paraId="6497C49E"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贾冠男.大数据时代公考教育企业运营管理思考[J].合作经济与科技,2024(18):103-105.DOI:10.13665/j.cnki.hzjjykj.2024.18.009.</w:t>
      </w:r>
    </w:p>
    <w:p w14:paraId="2D5EC8BA"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蔡蓉一.论生产型企业运营资金管理与运用的优化[J].中国乡镇企业会计,2024(06):39-41.</w:t>
      </w:r>
    </w:p>
    <w:p w14:paraId="28474D8E"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徐洁.多渠道销售下企业运营与融资策略研究[J].全国流通经济,2024(11):90-93.DOI:10.16834/j.cnki.issn1009-5292.2024.11.033.</w:t>
      </w:r>
    </w:p>
    <w:p w14:paraId="52770D16"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陈鹏.互联网企业运营管理中的风险识别与防范研究[J].现代企业文化,2024(16):16-18.</w:t>
      </w:r>
    </w:p>
    <w:p w14:paraId="3C3DF04A" w14:textId="77777777" w:rsidR="001871B4" w:rsidRPr="001871B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王军.预算管理在企业运营中的重要性及实施方法[J].营销界,2024(10):155-157.</w:t>
      </w:r>
    </w:p>
    <w:p w14:paraId="3B8930D8" w14:textId="2F3824EB" w:rsidR="00285A19" w:rsidRPr="003F1564" w:rsidRDefault="001871B4" w:rsidP="001871B4">
      <w:pPr>
        <w:pStyle w:val="a3"/>
        <w:numPr>
          <w:ilvl w:val="0"/>
          <w:numId w:val="2"/>
        </w:numPr>
        <w:spacing w:line="240" w:lineRule="auto"/>
        <w:ind w:leftChars="0"/>
        <w:rPr>
          <w:sz w:val="20"/>
          <w:szCs w:val="20"/>
          <w:lang w:eastAsia="zh-CN"/>
        </w:rPr>
      </w:pPr>
      <w:r w:rsidRPr="001871B4">
        <w:rPr>
          <w:sz w:val="20"/>
          <w:szCs w:val="20"/>
          <w:lang w:eastAsia="zh-CN"/>
        </w:rPr>
        <w:t>邓雪.精益管理会计下的业财融合企业运营成本评价[J].市场瞭望,2024(10):119-121.</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43A8F" w14:textId="77777777" w:rsidR="00311958" w:rsidRDefault="00311958">
      <w:pPr>
        <w:spacing w:after="0" w:line="240" w:lineRule="auto"/>
      </w:pPr>
      <w:r>
        <w:separator/>
      </w:r>
    </w:p>
  </w:endnote>
  <w:endnote w:type="continuationSeparator" w:id="0">
    <w:p w14:paraId="712E4EEA" w14:textId="77777777" w:rsidR="00311958" w:rsidRDefault="0031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D27A93C" w:rsidR="00285A19" w:rsidRDefault="00000000">
    <w:pPr>
      <w:spacing w:after="0"/>
      <w:ind w:left="0" w:firstLine="0"/>
    </w:pPr>
    <w:r>
      <w:rPr>
        <w:rFonts w:ascii="Microsoft YaHei UI" w:eastAsia="Microsoft YaHei UI" w:hAnsi="Microsoft YaHei UI" w:cs="Microsoft YaHei UI"/>
        <w:sz w:val="18"/>
      </w:rPr>
      <w:t>CIT 50</w:t>
    </w:r>
    <w:r w:rsidR="00541E84">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5C2D2C">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7993" w14:textId="77777777" w:rsidR="00311958" w:rsidRDefault="00311958">
      <w:pPr>
        <w:spacing w:after="0" w:line="240" w:lineRule="auto"/>
      </w:pPr>
      <w:r>
        <w:separator/>
      </w:r>
    </w:p>
  </w:footnote>
  <w:footnote w:type="continuationSeparator" w:id="0">
    <w:p w14:paraId="742C7196" w14:textId="77777777" w:rsidR="00311958" w:rsidRDefault="00311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4EF2042"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5C2D2C" w:rsidRPr="005C2D2C">
      <w:rPr>
        <w:sz w:val="18"/>
        <w:lang w:eastAsia="zh-CN"/>
      </w:rPr>
      <w:t>在全球经济背景下运营的挑战</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085FC7"/>
    <w:rsid w:val="000917CE"/>
    <w:rsid w:val="000A5525"/>
    <w:rsid w:val="00112E27"/>
    <w:rsid w:val="00115027"/>
    <w:rsid w:val="00142055"/>
    <w:rsid w:val="00144F14"/>
    <w:rsid w:val="001571DE"/>
    <w:rsid w:val="0017717A"/>
    <w:rsid w:val="001871B4"/>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4530D3"/>
    <w:rsid w:val="00462B01"/>
    <w:rsid w:val="004717C6"/>
    <w:rsid w:val="004B4EFB"/>
    <w:rsid w:val="004D3792"/>
    <w:rsid w:val="00516805"/>
    <w:rsid w:val="00541E84"/>
    <w:rsid w:val="00585E13"/>
    <w:rsid w:val="005C2D2C"/>
    <w:rsid w:val="005C40FF"/>
    <w:rsid w:val="006338E8"/>
    <w:rsid w:val="006632C4"/>
    <w:rsid w:val="006907A7"/>
    <w:rsid w:val="006D3F35"/>
    <w:rsid w:val="00723E9B"/>
    <w:rsid w:val="00734B8A"/>
    <w:rsid w:val="007532FE"/>
    <w:rsid w:val="00786F28"/>
    <w:rsid w:val="00787962"/>
    <w:rsid w:val="007B76CB"/>
    <w:rsid w:val="007C7CF2"/>
    <w:rsid w:val="0081498A"/>
    <w:rsid w:val="00814D4C"/>
    <w:rsid w:val="009B35FC"/>
    <w:rsid w:val="00A26627"/>
    <w:rsid w:val="00A341FB"/>
    <w:rsid w:val="00AA1042"/>
    <w:rsid w:val="00AA3AF8"/>
    <w:rsid w:val="00AB151B"/>
    <w:rsid w:val="00AD7B9A"/>
    <w:rsid w:val="00B43253"/>
    <w:rsid w:val="00B45522"/>
    <w:rsid w:val="00BB1650"/>
    <w:rsid w:val="00BC1721"/>
    <w:rsid w:val="00C75A61"/>
    <w:rsid w:val="00CD60FC"/>
    <w:rsid w:val="00CE2598"/>
    <w:rsid w:val="00D10346"/>
    <w:rsid w:val="00D953F2"/>
    <w:rsid w:val="00DA1F6D"/>
    <w:rsid w:val="00E20BA7"/>
    <w:rsid w:val="00E2794C"/>
    <w:rsid w:val="00E421C9"/>
    <w:rsid w:val="00E621E2"/>
    <w:rsid w:val="00E84024"/>
    <w:rsid w:val="00E856A7"/>
    <w:rsid w:val="00EE2F6A"/>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564</Words>
  <Characters>3218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30</cp:revision>
  <cp:lastPrinted>2024-08-31T09:36:00Z</cp:lastPrinted>
  <dcterms:created xsi:type="dcterms:W3CDTF">2024-06-23T06:20:00Z</dcterms:created>
  <dcterms:modified xsi:type="dcterms:W3CDTF">2024-08-31T09:42:00Z</dcterms:modified>
</cp:coreProperties>
</file>