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5F56FFEF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62</w:t>
      </w:r>
      <w:r w:rsidR="00E3366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0CBFBE22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E3366E" w:rsidRPr="00E3366E">
        <w:rPr>
          <w:rFonts w:ascii="Microsoft YaHei UI" w:eastAsia="Microsoft YaHei UI" w:hAnsi="Microsoft YaHei UI" w:cs="Microsoft YaHei UI" w:hint="eastAsia"/>
          <w:sz w:val="32"/>
          <w:lang w:eastAsia="zh-CN"/>
        </w:rPr>
        <w:t>信息系统保密性与完整性的保障途径探讨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CFC51F" w14:textId="11CDD314" w:rsidR="00345987" w:rsidRDefault="00E3366E" w:rsidP="004C44FA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E3366E">
        <w:rPr>
          <w:rFonts w:ascii="等线" w:eastAsia="等线" w:hAnsi="等线" w:cs="等线" w:hint="eastAsia"/>
          <w:sz w:val="20"/>
          <w:lang w:eastAsia="zh-CN"/>
        </w:rPr>
        <w:t>信息系统保密性和完整性的定义与意义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  <w:r w:rsidR="00021CC1" w:rsidRPr="004C44FA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60CA2F45" w14:textId="319E05E0" w:rsidR="008C023F" w:rsidRPr="00D8131A" w:rsidRDefault="00E3366E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  <w:lang w:eastAsia="zh-CN"/>
        </w:rPr>
      </w:pPr>
      <w:r>
        <w:rPr>
          <w:rFonts w:ascii="等线" w:eastAsia="等线" w:hAnsi="等线" w:cs="等线" w:hint="eastAsia"/>
          <w:sz w:val="20"/>
          <w:lang w:eastAsia="zh-CN"/>
        </w:rPr>
        <w:t>保密性</w:t>
      </w:r>
    </w:p>
    <w:p w14:paraId="40241335" w14:textId="6A106050" w:rsidR="00D8131A" w:rsidRDefault="00E3366E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>
        <w:rPr>
          <w:rFonts w:ascii="等线" w:eastAsia="等线" w:hAnsi="等线" w:cs="等线" w:hint="eastAsia"/>
          <w:sz w:val="20"/>
          <w:lang w:eastAsia="zh-CN"/>
        </w:rPr>
        <w:t>完整性</w:t>
      </w:r>
    </w:p>
    <w:p w14:paraId="49384AD4" w14:textId="01EC73AC" w:rsidR="004C44FA" w:rsidRPr="00D8131A" w:rsidRDefault="00E3366E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E3366E">
        <w:rPr>
          <w:rFonts w:ascii="等线" w:eastAsia="等线" w:hAnsi="等线" w:cs="等线" w:hint="eastAsia"/>
          <w:sz w:val="20"/>
          <w:lang w:eastAsia="zh-CN"/>
        </w:rPr>
        <w:t>两者在保障业务连续性和数据可靠性中的重要性</w:t>
      </w:r>
    </w:p>
    <w:p w14:paraId="6C1D7FB2" w14:textId="1046D543" w:rsidR="00684E30" w:rsidRDefault="00E3366E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E3366E">
        <w:rPr>
          <w:rFonts w:ascii="Microsoft YaHei UI" w:eastAsia="Microsoft YaHei UI" w:hAnsi="Microsoft YaHei UI" w:cs="Microsoft YaHei UI" w:hint="eastAsia"/>
          <w:sz w:val="20"/>
          <w:lang w:eastAsia="zh-CN"/>
        </w:rPr>
        <w:t>信息系统面临的主要威胁</w:t>
      </w:r>
    </w:p>
    <w:p w14:paraId="42B8C288" w14:textId="16BB6768" w:rsidR="00684E30" w:rsidRDefault="00E3366E" w:rsidP="00684E30">
      <w:pPr>
        <w:numPr>
          <w:ilvl w:val="1"/>
          <w:numId w:val="1"/>
        </w:numPr>
        <w:spacing w:after="143"/>
        <w:ind w:left="1293" w:hanging="442"/>
      </w:pPr>
      <w:r>
        <w:rPr>
          <w:rFonts w:ascii="等线" w:eastAsia="等线" w:hAnsi="等线" w:cs="等线" w:hint="eastAsia"/>
          <w:sz w:val="20"/>
          <w:lang w:eastAsia="zh-CN"/>
        </w:rPr>
        <w:t>外部威胁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3C9A88F5" w:rsidR="00684E30" w:rsidRDefault="004C44FA" w:rsidP="00684E30">
      <w:pPr>
        <w:numPr>
          <w:ilvl w:val="1"/>
          <w:numId w:val="1"/>
        </w:numPr>
        <w:spacing w:after="143"/>
        <w:ind w:left="1293" w:hanging="442"/>
      </w:pPr>
      <w:r w:rsidRPr="004C44FA">
        <w:rPr>
          <w:rFonts w:ascii="等线" w:eastAsia="等线" w:hAnsi="等线" w:cs="等线" w:hint="eastAsia"/>
          <w:sz w:val="20"/>
        </w:rPr>
        <w:t>内部威胁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0F7E2D5E" w:rsidR="00684E30" w:rsidRDefault="00E3366E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E3366E">
        <w:rPr>
          <w:rFonts w:ascii="等线" w:eastAsia="等线" w:hAnsi="等线" w:cs="等线" w:hint="eastAsia"/>
          <w:sz w:val="20"/>
          <w:lang w:eastAsia="zh-CN"/>
        </w:rPr>
        <w:t>自然灾害和系统故障</w:t>
      </w:r>
    </w:p>
    <w:p w14:paraId="3AB033A1" w14:textId="221F0B9F" w:rsidR="00345987" w:rsidRDefault="00E3366E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E3366E">
        <w:rPr>
          <w:rFonts w:ascii="Microsoft YaHei UI" w:eastAsia="Microsoft YaHei UI" w:hAnsi="Microsoft YaHei UI" w:cs="Microsoft YaHei UI" w:hint="eastAsia"/>
          <w:sz w:val="20"/>
          <w:lang w:eastAsia="zh-CN"/>
        </w:rPr>
        <w:t>管理措施在保障保密性与完整性中的作用</w:t>
      </w:r>
    </w:p>
    <w:p w14:paraId="14B98587" w14:textId="29269E23" w:rsidR="00345987" w:rsidRPr="002F5A03" w:rsidRDefault="00E3366E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E3366E">
        <w:rPr>
          <w:rFonts w:ascii="等线" w:eastAsia="等线" w:hAnsi="等线" w:cs="等线" w:hint="eastAsia"/>
          <w:sz w:val="20"/>
        </w:rPr>
        <w:t>安全政策和标准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78D622BD" w14:textId="77777777" w:rsidR="00E3366E" w:rsidRDefault="00E3366E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E3366E">
        <w:rPr>
          <w:rFonts w:ascii="等线" w:eastAsia="等线" w:hAnsi="等线" w:cs="等线" w:hint="eastAsia"/>
          <w:sz w:val="20"/>
          <w:lang w:eastAsia="zh-CN"/>
        </w:rPr>
        <w:t>员工安全意识培训</w:t>
      </w:r>
    </w:p>
    <w:p w14:paraId="2C443DF2" w14:textId="7A2BF086" w:rsidR="00345987" w:rsidRPr="002F5A03" w:rsidRDefault="00E3366E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E3366E">
        <w:rPr>
          <w:rFonts w:ascii="等线" w:eastAsia="等线" w:hAnsi="等线" w:cs="等线" w:hint="eastAsia"/>
          <w:sz w:val="20"/>
          <w:lang w:eastAsia="zh-CN"/>
        </w:rPr>
        <w:t>定期审计和监控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76457DE7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李选超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基于计算机信息系统的保密技术及安全管理研究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电子元器件与信息技术</w:t>
      </w:r>
      <w:r w:rsidRPr="00E3366E">
        <w:rPr>
          <w:rFonts w:ascii="宋体" w:eastAsia="宋体" w:hAnsi="宋体" w:cs="宋体"/>
          <w:sz w:val="20"/>
          <w:lang w:eastAsia="zh-CN"/>
        </w:rPr>
        <w:t>,2021,5(12):237-238.DOI:10.19772/j.cnki.2096-4455.2021.12.106.</w:t>
      </w:r>
    </w:p>
    <w:p w14:paraId="62FBFBE1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徐金春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坚决消除政务信息系统保密管理“盲区”——浙江省开展“浙政钉”保密管理的实践与探索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保密工作</w:t>
      </w:r>
      <w:r w:rsidRPr="00E3366E">
        <w:rPr>
          <w:rFonts w:ascii="宋体" w:eastAsia="宋体" w:hAnsi="宋体" w:cs="宋体"/>
          <w:sz w:val="20"/>
          <w:lang w:eastAsia="zh-CN"/>
        </w:rPr>
        <w:t>,2024(07):39-41.DOI:10.19407/j.cnki.cn11-2785/d.2024.07.002.</w:t>
      </w:r>
    </w:p>
    <w:p w14:paraId="77FAD567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瞿勇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计算机信息系统的保密技术及安全管理研究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数字通信世界</w:t>
      </w:r>
      <w:r w:rsidRPr="00E3366E">
        <w:rPr>
          <w:rFonts w:ascii="宋体" w:eastAsia="宋体" w:hAnsi="宋体" w:cs="宋体"/>
          <w:sz w:val="20"/>
          <w:lang w:eastAsia="zh-CN"/>
        </w:rPr>
        <w:t>,2021(06):161-162.</w:t>
      </w:r>
    </w:p>
    <w:p w14:paraId="6CD9DB7C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周晓辉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计算机信息系统的保密技术及安全管理阐述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电子技术与软件工程</w:t>
      </w:r>
      <w:r w:rsidRPr="00E3366E">
        <w:rPr>
          <w:rFonts w:ascii="宋体" w:eastAsia="宋体" w:hAnsi="宋体" w:cs="宋体"/>
          <w:sz w:val="20"/>
          <w:lang w:eastAsia="zh-CN"/>
        </w:rPr>
        <w:t>,2021(05):259-260.</w:t>
      </w:r>
    </w:p>
    <w:p w14:paraId="7CC602AE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熊宇宸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基于</w:t>
      </w:r>
      <w:r w:rsidRPr="00E3366E">
        <w:rPr>
          <w:rFonts w:ascii="宋体" w:eastAsia="宋体" w:hAnsi="宋体" w:cs="宋体"/>
          <w:sz w:val="20"/>
          <w:lang w:eastAsia="zh-CN"/>
        </w:rPr>
        <w:t>DES</w:t>
      </w:r>
      <w:r w:rsidRPr="00E3366E">
        <w:rPr>
          <w:rFonts w:ascii="宋体" w:eastAsia="宋体" w:hAnsi="宋体" w:cs="宋体" w:hint="eastAsia"/>
          <w:sz w:val="20"/>
          <w:lang w:eastAsia="zh-CN"/>
        </w:rPr>
        <w:t>数据加密算法的计算机信息系统保密技术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信息与电脑</w:t>
      </w:r>
      <w:r w:rsidRPr="00E3366E">
        <w:rPr>
          <w:rFonts w:ascii="宋体" w:eastAsia="宋体" w:hAnsi="宋体" w:cs="宋体"/>
          <w:sz w:val="20"/>
          <w:lang w:eastAsia="zh-CN"/>
        </w:rPr>
        <w:t>(</w:t>
      </w:r>
      <w:r w:rsidRPr="00E3366E">
        <w:rPr>
          <w:rFonts w:ascii="宋体" w:eastAsia="宋体" w:hAnsi="宋体" w:cs="宋体" w:hint="eastAsia"/>
          <w:sz w:val="20"/>
          <w:lang w:eastAsia="zh-CN"/>
        </w:rPr>
        <w:t>理论版</w:t>
      </w:r>
      <w:r w:rsidRPr="00E3366E">
        <w:rPr>
          <w:rFonts w:ascii="宋体" w:eastAsia="宋体" w:hAnsi="宋体" w:cs="宋体"/>
          <w:sz w:val="20"/>
          <w:lang w:eastAsia="zh-CN"/>
        </w:rPr>
        <w:t>),2021,33(17):60-62.</w:t>
      </w:r>
    </w:p>
    <w:p w14:paraId="5361B6EF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本刊记者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切实加强涉密信息系统运行维护委托服务管理——国家保密局有关部门负责同志答记者问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保密工作</w:t>
      </w:r>
      <w:r w:rsidRPr="00E3366E">
        <w:rPr>
          <w:rFonts w:ascii="宋体" w:eastAsia="宋体" w:hAnsi="宋体" w:cs="宋体"/>
          <w:sz w:val="20"/>
          <w:lang w:eastAsia="zh-CN"/>
        </w:rPr>
        <w:t>,2021(02):9-11.DOI:10.19407/j.cnki.cn11-2785/d.2021.02.005.</w:t>
      </w:r>
    </w:p>
    <w:p w14:paraId="66B3D40D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钟纪业</w:t>
      </w:r>
      <w:r w:rsidRPr="00E3366E">
        <w:rPr>
          <w:rFonts w:ascii="宋体" w:eastAsia="宋体" w:hAnsi="宋体" w:cs="宋体"/>
          <w:sz w:val="20"/>
          <w:lang w:eastAsia="zh-CN"/>
        </w:rPr>
        <w:t>,</w:t>
      </w:r>
      <w:r w:rsidRPr="00E3366E">
        <w:rPr>
          <w:rFonts w:ascii="宋体" w:eastAsia="宋体" w:hAnsi="宋体" w:cs="宋体" w:hint="eastAsia"/>
          <w:sz w:val="20"/>
          <w:lang w:eastAsia="zh-CN"/>
        </w:rPr>
        <w:t>杨鹏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军事信息系统安全保密“四要”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保密科学技术</w:t>
      </w:r>
      <w:r w:rsidRPr="00E3366E">
        <w:rPr>
          <w:rFonts w:ascii="宋体" w:eastAsia="宋体" w:hAnsi="宋体" w:cs="宋体"/>
          <w:sz w:val="20"/>
          <w:lang w:eastAsia="zh-CN"/>
        </w:rPr>
        <w:t>,2020(06):68-69.</w:t>
      </w:r>
    </w:p>
    <w:p w14:paraId="1BDADFC6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林海军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计算机信息系统保密技术及防范管理分析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数字通信世界</w:t>
      </w:r>
      <w:r w:rsidRPr="00E3366E">
        <w:rPr>
          <w:rFonts w:ascii="宋体" w:eastAsia="宋体" w:hAnsi="宋体" w:cs="宋体"/>
          <w:sz w:val="20"/>
          <w:lang w:eastAsia="zh-CN"/>
        </w:rPr>
        <w:t>,2020(04):140-141.</w:t>
      </w:r>
    </w:p>
    <w:p w14:paraId="36C77BBB" w14:textId="77777777" w:rsidR="00E3366E" w:rsidRPr="00E3366E" w:rsidRDefault="00E3366E" w:rsidP="00E3366E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t>王玲玲</w:t>
      </w:r>
      <w:r w:rsidRPr="00E3366E">
        <w:rPr>
          <w:rFonts w:ascii="宋体" w:eastAsia="宋体" w:hAnsi="宋体" w:cs="宋体"/>
          <w:sz w:val="20"/>
          <w:lang w:eastAsia="zh-CN"/>
        </w:rPr>
        <w:t>,</w:t>
      </w:r>
      <w:r w:rsidRPr="00E3366E">
        <w:rPr>
          <w:rFonts w:ascii="宋体" w:eastAsia="宋体" w:hAnsi="宋体" w:cs="宋体" w:hint="eastAsia"/>
          <w:sz w:val="20"/>
          <w:lang w:eastAsia="zh-CN"/>
        </w:rPr>
        <w:t>张倩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计算机信息系统的保密技术及安全管理研究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科技风</w:t>
      </w:r>
      <w:r w:rsidRPr="00E3366E">
        <w:rPr>
          <w:rFonts w:ascii="宋体" w:eastAsia="宋体" w:hAnsi="宋体" w:cs="宋体"/>
          <w:sz w:val="20"/>
          <w:lang w:eastAsia="zh-CN"/>
        </w:rPr>
        <w:t>,2020(06):122.DOI:10.19392/j.cnki.1671-7341.202006110.</w:t>
      </w:r>
    </w:p>
    <w:p w14:paraId="449B2334" w14:textId="1DE295BE" w:rsidR="00345987" w:rsidRPr="002F5A03" w:rsidRDefault="00E3366E" w:rsidP="00E3366E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  <w:r w:rsidRPr="00E3366E">
        <w:rPr>
          <w:rFonts w:ascii="宋体" w:eastAsia="宋体" w:hAnsi="宋体" w:cs="宋体" w:hint="eastAsia"/>
          <w:sz w:val="20"/>
          <w:lang w:eastAsia="zh-CN"/>
        </w:rPr>
        <w:lastRenderedPageBreak/>
        <w:t>俞虓</w:t>
      </w:r>
      <w:r w:rsidRPr="00E3366E">
        <w:rPr>
          <w:rFonts w:ascii="宋体" w:eastAsia="宋体" w:hAnsi="宋体" w:cs="宋体"/>
          <w:sz w:val="20"/>
          <w:lang w:eastAsia="zh-CN"/>
        </w:rPr>
        <w:t>.</w:t>
      </w:r>
      <w:r w:rsidRPr="00E3366E">
        <w:rPr>
          <w:rFonts w:ascii="宋体" w:eastAsia="宋体" w:hAnsi="宋体" w:cs="宋体" w:hint="eastAsia"/>
          <w:sz w:val="20"/>
          <w:lang w:eastAsia="zh-CN"/>
        </w:rPr>
        <w:t>政府机关网络信息系统安全保密管理</w:t>
      </w:r>
      <w:r w:rsidRPr="00E3366E">
        <w:rPr>
          <w:rFonts w:ascii="宋体" w:eastAsia="宋体" w:hAnsi="宋体" w:cs="宋体"/>
          <w:sz w:val="20"/>
          <w:lang w:eastAsia="zh-CN"/>
        </w:rPr>
        <w:t>[J].</w:t>
      </w:r>
      <w:r w:rsidRPr="00E3366E">
        <w:rPr>
          <w:rFonts w:ascii="宋体" w:eastAsia="宋体" w:hAnsi="宋体" w:cs="宋体" w:hint="eastAsia"/>
          <w:sz w:val="20"/>
          <w:lang w:eastAsia="zh-CN"/>
        </w:rPr>
        <w:t>电脑知识与技术</w:t>
      </w:r>
      <w:r w:rsidRPr="00E3366E">
        <w:rPr>
          <w:rFonts w:ascii="宋体" w:eastAsia="宋体" w:hAnsi="宋体" w:cs="宋体"/>
          <w:sz w:val="20"/>
          <w:lang w:eastAsia="zh-CN"/>
        </w:rPr>
        <w:t>,2019,15(11):67-68.DOI:10.14004/j.cnki.ckt.2019.1101.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6877B" w14:textId="77777777" w:rsidR="005E394C" w:rsidRDefault="005E394C" w:rsidP="00CD0BCB">
      <w:pPr>
        <w:spacing w:after="0" w:line="240" w:lineRule="auto"/>
      </w:pPr>
      <w:r>
        <w:separator/>
      </w:r>
    </w:p>
  </w:endnote>
  <w:endnote w:type="continuationSeparator" w:id="0">
    <w:p w14:paraId="3C2C6FC1" w14:textId="77777777" w:rsidR="005E394C" w:rsidRDefault="005E394C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F9279" w14:textId="77777777" w:rsidR="005E394C" w:rsidRDefault="005E394C" w:rsidP="00CD0BCB">
      <w:pPr>
        <w:spacing w:after="0" w:line="240" w:lineRule="auto"/>
      </w:pPr>
      <w:r>
        <w:separator/>
      </w:r>
    </w:p>
  </w:footnote>
  <w:footnote w:type="continuationSeparator" w:id="0">
    <w:p w14:paraId="206A00FF" w14:textId="77777777" w:rsidR="005E394C" w:rsidRDefault="005E394C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0862CA"/>
    <w:rsid w:val="000F7C7B"/>
    <w:rsid w:val="00116C72"/>
    <w:rsid w:val="001A0931"/>
    <w:rsid w:val="001A15B8"/>
    <w:rsid w:val="001A59A6"/>
    <w:rsid w:val="00214B9C"/>
    <w:rsid w:val="00217864"/>
    <w:rsid w:val="00271420"/>
    <w:rsid w:val="002845E0"/>
    <w:rsid w:val="002F5A03"/>
    <w:rsid w:val="00320FCD"/>
    <w:rsid w:val="00345987"/>
    <w:rsid w:val="003A3C5D"/>
    <w:rsid w:val="004C44FA"/>
    <w:rsid w:val="00565364"/>
    <w:rsid w:val="005760A9"/>
    <w:rsid w:val="005E394C"/>
    <w:rsid w:val="00684E30"/>
    <w:rsid w:val="007465E9"/>
    <w:rsid w:val="007A4952"/>
    <w:rsid w:val="007B765F"/>
    <w:rsid w:val="00890622"/>
    <w:rsid w:val="00895458"/>
    <w:rsid w:val="008C023F"/>
    <w:rsid w:val="008D45AF"/>
    <w:rsid w:val="009D7A67"/>
    <w:rsid w:val="00A522B8"/>
    <w:rsid w:val="00A54310"/>
    <w:rsid w:val="00B0174C"/>
    <w:rsid w:val="00BD20A4"/>
    <w:rsid w:val="00BD21AE"/>
    <w:rsid w:val="00C377B6"/>
    <w:rsid w:val="00C96EAA"/>
    <w:rsid w:val="00CD0BCB"/>
    <w:rsid w:val="00D46AA0"/>
    <w:rsid w:val="00D50A40"/>
    <w:rsid w:val="00D8131A"/>
    <w:rsid w:val="00E3366E"/>
    <w:rsid w:val="00E759F9"/>
    <w:rsid w:val="00ED51CE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13</cp:revision>
  <dcterms:created xsi:type="dcterms:W3CDTF">2024-07-14T10:43:00Z</dcterms:created>
  <dcterms:modified xsi:type="dcterms:W3CDTF">2024-09-29T12:07:00Z</dcterms:modified>
</cp:coreProperties>
</file>