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995D4" w14:textId="3766E244" w:rsidR="004829EA" w:rsidRDefault="004E3009">
      <w:pPr>
        <w:spacing w:after="134" w:line="240" w:lineRule="auto"/>
        <w:ind w:left="1646" w:right="1649"/>
        <w:jc w:val="center"/>
        <w:rPr>
          <w:rFonts w:ascii="黑体" w:eastAsia="黑体" w:hAnsi="黑体" w:cs="黑体"/>
          <w:sz w:val="44"/>
          <w:lang w:eastAsia="zh-CN"/>
        </w:rPr>
      </w:pPr>
      <w:r w:rsidRPr="004E3009">
        <w:rPr>
          <w:rFonts w:ascii="黑体" w:eastAsia="黑体" w:hAnsi="黑体" w:cs="黑体" w:hint="eastAsia"/>
          <w:sz w:val="44"/>
          <w:lang w:eastAsia="zh-CN"/>
        </w:rPr>
        <w:t>联邦法律保护消费者隐私的必要变革与个人数据收集监管研究</w:t>
      </w:r>
    </w:p>
    <w:p w14:paraId="1955C3FA" w14:textId="77777777" w:rsidR="004829EA" w:rsidRDefault="00000000">
      <w:pPr>
        <w:spacing w:after="134" w:line="240" w:lineRule="auto"/>
        <w:ind w:left="1646" w:right="1649"/>
        <w:jc w:val="center"/>
        <w:rPr>
          <w:lang w:eastAsia="zh-CN"/>
        </w:rPr>
      </w:pPr>
      <w:r>
        <w:rPr>
          <w:rFonts w:ascii="华文仿宋" w:eastAsia="华文仿宋" w:hAnsi="华文仿宋" w:cs="华文仿宋" w:hint="eastAsia"/>
          <w:sz w:val="21"/>
          <w:lang w:eastAsia="zh-CN"/>
        </w:rPr>
        <w:t>叶焕发</w:t>
      </w:r>
    </w:p>
    <w:p w14:paraId="0A4C1F1F" w14:textId="77777777" w:rsidR="004829EA" w:rsidRDefault="00000000">
      <w:pPr>
        <w:spacing w:after="106" w:line="240" w:lineRule="auto"/>
        <w:ind w:left="199"/>
        <w:rPr>
          <w:lang w:eastAsia="zh-CN"/>
        </w:rPr>
      </w:pPr>
      <w:r>
        <w:rPr>
          <w:rFonts w:ascii="黑体" w:eastAsia="黑体" w:hAnsi="黑体" w:cs="黑体"/>
          <w:sz w:val="18"/>
          <w:lang w:eastAsia="zh-CN"/>
        </w:rPr>
        <w:t>摘 要：</w:t>
      </w:r>
    </w:p>
    <w:p w14:paraId="25529ED0" w14:textId="725CA4B7" w:rsidR="004829EA" w:rsidRDefault="004E3009">
      <w:pPr>
        <w:spacing w:after="347" w:line="240" w:lineRule="auto"/>
        <w:ind w:left="194" w:hanging="10"/>
        <w:rPr>
          <w:lang w:eastAsia="zh-CN"/>
        </w:rPr>
      </w:pPr>
      <w:r w:rsidRPr="004E3009">
        <w:rPr>
          <w:rFonts w:ascii="华文仿宋" w:eastAsia="华文仿宋" w:hAnsi="华文仿宋" w:cs="华文仿宋" w:hint="eastAsia"/>
          <w:sz w:val="18"/>
          <w:lang w:eastAsia="zh-CN"/>
        </w:rPr>
        <w:t>本论文探讨了联邦法律和法规在保护与个人数据收集相关的消费者隐私方面所需的变革。随着数字化技术的发展，企业和机构对个人数据的收集、存储和使用日益广泛，现有的联邦隐私保护法律未能充分应对这一复杂且迅速变化的环境。本文首先分析了当前联邦法律体系在隐私保护方面的现状与不足，包括数据透明度、用户同意机制及跨行业数据共享等问题。接着，本文指出了个人数据收集过程中消费者面临的隐私威胁，如数据泄露、非法交易以及第三方监控。基于这些问题，本文提出了针对联邦法律的必要变革，包括加强数据安全性、改进用户同意机制、增强法律监管和处罚力度等。此外，本文借鉴了欧盟《通用数据保护条例》和其他国际隐私保护法律的经验，提出了适合美国的隐私保护框架与政策建议。最终，本文旨在为未来联邦隐私保护法律的完善提供理论依据与现实参考，以更好地保护消费者隐私权。</w:t>
      </w:r>
    </w:p>
    <w:p w14:paraId="6DA34E07" w14:textId="10947A7B" w:rsidR="004829EA" w:rsidRDefault="00000000">
      <w:pPr>
        <w:spacing w:after="729" w:line="240" w:lineRule="auto"/>
        <w:ind w:left="194" w:hanging="10"/>
        <w:rPr>
          <w:lang w:eastAsia="zh-CN"/>
        </w:rPr>
      </w:pPr>
      <w:r>
        <w:rPr>
          <w:rFonts w:ascii="黑体" w:eastAsia="黑体" w:hAnsi="黑体" w:cs="黑体"/>
          <w:sz w:val="18"/>
          <w:lang w:eastAsia="zh-CN"/>
        </w:rPr>
        <w:t>关键词：</w:t>
      </w:r>
      <w:r w:rsidR="004E3009" w:rsidRPr="004E3009">
        <w:rPr>
          <w:rFonts w:ascii="华文仿宋" w:eastAsia="华文仿宋" w:hAnsi="华文仿宋" w:cs="华文仿宋" w:hint="eastAsia"/>
          <w:sz w:val="18"/>
          <w:lang w:eastAsia="zh-CN"/>
        </w:rPr>
        <w:t>消费者隐私</w:t>
      </w:r>
      <w:r>
        <w:rPr>
          <w:rFonts w:ascii="华文仿宋" w:eastAsia="华文仿宋" w:hAnsi="华文仿宋" w:cs="华文仿宋" w:hint="eastAsia"/>
          <w:sz w:val="18"/>
          <w:lang w:eastAsia="zh-CN"/>
        </w:rPr>
        <w:t>；</w:t>
      </w:r>
      <w:r w:rsidR="004E3009" w:rsidRPr="004E3009">
        <w:rPr>
          <w:rFonts w:ascii="华文仿宋" w:eastAsia="华文仿宋" w:hAnsi="华文仿宋" w:cs="华文仿宋" w:hint="eastAsia"/>
          <w:sz w:val="18"/>
          <w:lang w:eastAsia="zh-CN"/>
        </w:rPr>
        <w:t>数据收集</w:t>
      </w:r>
      <w:r>
        <w:rPr>
          <w:rFonts w:ascii="华文仿宋" w:eastAsia="华文仿宋" w:hAnsi="华文仿宋" w:cs="华文仿宋"/>
          <w:sz w:val="18"/>
          <w:lang w:eastAsia="zh-CN"/>
        </w:rPr>
        <w:t>；</w:t>
      </w:r>
      <w:r w:rsidR="004E3009" w:rsidRPr="004E3009">
        <w:rPr>
          <w:rFonts w:ascii="华文仿宋" w:eastAsia="华文仿宋" w:hAnsi="华文仿宋" w:cs="华文仿宋" w:hint="eastAsia"/>
          <w:sz w:val="18"/>
          <w:lang w:eastAsia="zh-CN"/>
        </w:rPr>
        <w:t>联邦法律变革</w:t>
      </w:r>
      <w:r>
        <w:rPr>
          <w:rFonts w:ascii="华文仿宋" w:eastAsia="华文仿宋" w:hAnsi="华文仿宋" w:cs="华文仿宋" w:hint="eastAsia"/>
          <w:sz w:val="18"/>
          <w:lang w:eastAsia="zh-CN"/>
        </w:rPr>
        <w:t>；</w:t>
      </w:r>
    </w:p>
    <w:p w14:paraId="2CF552C9" w14:textId="77777777" w:rsidR="004829EA" w:rsidRDefault="00000000">
      <w:pPr>
        <w:pStyle w:val="1"/>
        <w:numPr>
          <w:ilvl w:val="0"/>
          <w:numId w:val="0"/>
        </w:numPr>
        <w:spacing w:after="64" w:line="240" w:lineRule="auto"/>
        <w:ind w:left="-5"/>
        <w:rPr>
          <w:lang w:eastAsia="zh-CN"/>
        </w:rPr>
      </w:pPr>
      <w:r>
        <w:rPr>
          <w:lang w:eastAsia="zh-CN"/>
        </w:rPr>
        <w:t>引言</w:t>
      </w:r>
    </w:p>
    <w:p w14:paraId="76D2D6A7" w14:textId="5DCA0620" w:rsidR="009262BA" w:rsidRDefault="009262BA" w:rsidP="009262BA">
      <w:pPr>
        <w:spacing w:after="165" w:line="240" w:lineRule="auto"/>
        <w:ind w:left="-15" w:right="-15" w:firstLine="410"/>
        <w:rPr>
          <w:sz w:val="20"/>
          <w:szCs w:val="20"/>
          <w:lang w:eastAsia="zh-CN"/>
        </w:rPr>
      </w:pPr>
      <w:r w:rsidRPr="009262BA">
        <w:rPr>
          <w:rFonts w:ascii="宋体" w:eastAsia="宋体" w:hAnsi="宋体" w:cs="宋体" w:hint="eastAsia"/>
          <w:sz w:val="20"/>
          <w:szCs w:val="20"/>
          <w:lang w:eastAsia="zh-CN"/>
        </w:rPr>
        <w:t>随着信息技术的快速发展，个人数据的收集和使用在各个行业中变得越来越普遍。从社交媒体平台到金融服务公司，从医疗机构到政府部门，几乎所有的组织都依赖于大量的数据采集来推动运营、提供个性化服务或进行决策。然而，随着数据收集和使用的扩展，消费者隐私面临着前所未有的挑战。个人数据被采集、存储、分析和共享的过程往往是隐秘且复杂的，消费者通常对其数据的使用方式缺乏透明度和控制权。这种局面引发了公众对隐私权保障的强烈关注，也对现行的联邦法律和法规提出了新的要求。如何在促进技术创新和经济发展的同时，确保个人隐私得到有效保护，成为当今法律政策制定中的一个核心议题</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Times New Roman" w:hAnsi="Times New Roman" w:cs="Times New Roman"/>
          <w:sz w:val="20"/>
          <w:szCs w:val="20"/>
          <w:vertAlign w:val="superscript"/>
          <w:lang w:eastAsia="zh-CN"/>
        </w:rPr>
        <w:t>]</w:t>
      </w:r>
      <w:r w:rsidRPr="009262BA">
        <w:rPr>
          <w:rFonts w:ascii="宋体" w:eastAsia="宋体" w:hAnsi="宋体" w:cs="宋体" w:hint="eastAsia"/>
          <w:sz w:val="20"/>
          <w:szCs w:val="20"/>
          <w:lang w:eastAsia="zh-CN"/>
        </w:rPr>
        <w:t>。</w:t>
      </w:r>
    </w:p>
    <w:p w14:paraId="3F0AAC20" w14:textId="2014C076" w:rsidR="009262BA" w:rsidRDefault="009262BA" w:rsidP="009262BA">
      <w:pPr>
        <w:spacing w:after="165" w:line="240" w:lineRule="auto"/>
        <w:ind w:left="-15" w:right="-15" w:firstLine="410"/>
        <w:rPr>
          <w:sz w:val="20"/>
          <w:szCs w:val="20"/>
          <w:lang w:eastAsia="zh-CN"/>
        </w:rPr>
      </w:pPr>
      <w:r w:rsidRPr="009262BA">
        <w:rPr>
          <w:rFonts w:ascii="宋体" w:eastAsia="宋体" w:hAnsi="宋体" w:cs="宋体" w:hint="eastAsia"/>
          <w:sz w:val="20"/>
          <w:szCs w:val="20"/>
          <w:lang w:eastAsia="zh-CN"/>
        </w:rPr>
        <w:t>在此背景下，数据泄露、数据滥用和未经授权的数据共享等问题日益频发。近年来，多起大规模数据泄露事件引发了广泛的社会关注，消费者个人信息被盗用、交易，甚至成为网络犯罪的目标。隐私权的侵害不仅影响消费者的个人生活，还可能造成经济损失、身份盗窃以及其他严重后果。除此之外，政府部门的监控活动也让消费者对隐私问题感到担忧，特别是在国家安全和公共安全的名义下，隐私权与安全之间的平衡变得异常复杂。因此，建立更加完善的联邦隐私保护法律体系迫在眉睫，以应对新技术背景下不断涌现的隐私问题</w:t>
      </w:r>
      <w:r w:rsidR="00465197">
        <w:rPr>
          <w:rFonts w:ascii="Times New Roman" w:eastAsia="Times New Roman" w:hAnsi="Times New Roman" w:cs="Times New Roman"/>
          <w:sz w:val="20"/>
          <w:szCs w:val="20"/>
          <w:vertAlign w:val="superscript"/>
          <w:lang w:eastAsia="zh-CN"/>
        </w:rPr>
        <w:t>[</w:t>
      </w:r>
      <w:r w:rsidR="00465197">
        <w:rPr>
          <w:rFonts w:ascii="Times New Roman" w:eastAsia="等线" w:hAnsi="Times New Roman" w:cs="Times New Roman" w:hint="eastAsia"/>
          <w:sz w:val="20"/>
          <w:szCs w:val="20"/>
          <w:vertAlign w:val="superscript"/>
          <w:lang w:eastAsia="zh-CN"/>
        </w:rPr>
        <w:t>2</w:t>
      </w:r>
      <w:r w:rsidR="00465197">
        <w:rPr>
          <w:rFonts w:ascii="Times New Roman" w:eastAsia="Times New Roman" w:hAnsi="Times New Roman" w:cs="Times New Roman"/>
          <w:sz w:val="20"/>
          <w:szCs w:val="20"/>
          <w:vertAlign w:val="superscript"/>
          <w:lang w:eastAsia="zh-CN"/>
        </w:rPr>
        <w:t>]</w:t>
      </w:r>
      <w:r w:rsidRPr="009262BA">
        <w:rPr>
          <w:rFonts w:ascii="宋体" w:eastAsia="宋体" w:hAnsi="宋体" w:cs="宋体" w:hint="eastAsia"/>
          <w:sz w:val="20"/>
          <w:szCs w:val="20"/>
          <w:lang w:eastAsia="zh-CN"/>
        </w:rPr>
        <w:t>。</w:t>
      </w:r>
    </w:p>
    <w:p w14:paraId="7049576B" w14:textId="31F3B341" w:rsidR="00731A83" w:rsidRDefault="009262BA" w:rsidP="009262BA">
      <w:pPr>
        <w:spacing w:after="715" w:line="240" w:lineRule="auto"/>
        <w:ind w:left="-5" w:firstLine="415"/>
        <w:rPr>
          <w:rFonts w:ascii="宋体" w:eastAsia="宋体" w:hAnsi="宋体" w:cs="宋体"/>
          <w:sz w:val="20"/>
          <w:szCs w:val="20"/>
          <w:lang w:eastAsia="zh-CN"/>
        </w:rPr>
      </w:pPr>
      <w:r w:rsidRPr="009262BA">
        <w:rPr>
          <w:rFonts w:ascii="宋体" w:eastAsia="宋体" w:hAnsi="宋体" w:cs="宋体" w:hint="eastAsia"/>
          <w:sz w:val="20"/>
          <w:szCs w:val="20"/>
          <w:lang w:eastAsia="zh-CN"/>
        </w:rPr>
        <w:t>因此，本文旨在研究联邦法律和法规中所需的变革，以更好地保护消费者在个人数据收集过程中的隐私权。首先，本文将回顾现行联邦隐私保护法律，分析其局限性和漏洞，尤其是其在应对技术创新和数据跨行业共享时的不足。其次，本文将探讨数据收集过程中存在的隐私威胁，包括数据泄露、数据滥用以及政府监控的隐患。基于此，本文将提出针对联邦法律的必要变革，具体包括加强隐私保护的核心原则、改进用户同意机制、提高数据透明度、增强法律监管和执行力度等。此外，本文还将借鉴国际上先进的隐私保护经验，尤其是</w:t>
      </w:r>
      <w:r w:rsidRPr="009262BA">
        <w:rPr>
          <w:rFonts w:ascii="宋体" w:eastAsia="宋体" w:hAnsi="宋体" w:cs="宋体"/>
          <w:sz w:val="20"/>
          <w:szCs w:val="20"/>
          <w:lang w:eastAsia="zh-CN"/>
        </w:rPr>
        <w:t>GDPR</w:t>
      </w:r>
      <w:r w:rsidRPr="009262BA">
        <w:rPr>
          <w:rFonts w:ascii="宋体" w:eastAsia="宋体" w:hAnsi="宋体" w:cs="宋体" w:hint="eastAsia"/>
          <w:sz w:val="20"/>
          <w:szCs w:val="20"/>
          <w:lang w:eastAsia="zh-CN"/>
        </w:rPr>
        <w:t>的成功经验，提出构建美国隐私保护框架的建议。最终，本文旨在为立法者和政策制定者提供参考，以帮助他们在未来的隐私保护立法中找到技术发展与个人隐私保护之间的平衡点，确保在促进创新的同时，充分保障消费者的隐私权。</w:t>
      </w:r>
    </w:p>
    <w:p w14:paraId="619879EC" w14:textId="4FE55EF1" w:rsidR="004829EA" w:rsidRDefault="004E3009">
      <w:pPr>
        <w:pStyle w:val="1"/>
        <w:spacing w:line="240" w:lineRule="auto"/>
        <w:ind w:left="410" w:hanging="425"/>
        <w:rPr>
          <w:lang w:eastAsia="zh-CN"/>
        </w:rPr>
      </w:pPr>
      <w:r w:rsidRPr="004E3009">
        <w:rPr>
          <w:rFonts w:hint="eastAsia"/>
          <w:lang w:eastAsia="zh-CN"/>
        </w:rPr>
        <w:t>现行联邦法律与消费者隐私保护</w:t>
      </w:r>
    </w:p>
    <w:p w14:paraId="318A3484" w14:textId="053F3DBC" w:rsidR="004829EA" w:rsidRDefault="004E3009">
      <w:pPr>
        <w:pStyle w:val="2"/>
        <w:spacing w:line="240" w:lineRule="auto"/>
        <w:ind w:left="477" w:hanging="492"/>
        <w:rPr>
          <w:lang w:eastAsia="zh-CN"/>
        </w:rPr>
      </w:pPr>
      <w:r w:rsidRPr="004E3009">
        <w:rPr>
          <w:rFonts w:ascii="黑体" w:eastAsia="黑体" w:hAnsi="黑体" w:cs="黑体" w:hint="eastAsia"/>
          <w:lang w:eastAsia="zh-CN"/>
        </w:rPr>
        <w:t>现行隐私保护法律综述</w:t>
      </w:r>
    </w:p>
    <w:p w14:paraId="080EEBB5" w14:textId="618841F9" w:rsidR="004829EA" w:rsidRDefault="009262BA" w:rsidP="00B03763">
      <w:pPr>
        <w:spacing w:after="165" w:line="240" w:lineRule="auto"/>
        <w:ind w:left="-15" w:right="-15" w:firstLine="410"/>
        <w:rPr>
          <w:sz w:val="20"/>
          <w:szCs w:val="20"/>
          <w:lang w:eastAsia="zh-CN"/>
        </w:rPr>
      </w:pPr>
      <w:r w:rsidRPr="009262BA">
        <w:rPr>
          <w:rFonts w:ascii="宋体" w:eastAsia="宋体" w:hAnsi="宋体" w:cs="宋体" w:hint="eastAsia"/>
          <w:sz w:val="20"/>
          <w:szCs w:val="20"/>
          <w:lang w:eastAsia="zh-CN"/>
        </w:rPr>
        <w:t>现行的隐私保护法律主要覆盖特定领域，但缺乏全面的统一框架。在联邦层面，较为重要的法律包括《健康保险携带与责任法案》、《儿童在线隐私保护法》和《公平信用报告法》</w:t>
      </w:r>
      <w:r w:rsidR="00465197">
        <w:rPr>
          <w:rFonts w:ascii="Times New Roman" w:eastAsia="Times New Roman" w:hAnsi="Times New Roman" w:cs="Times New Roman"/>
          <w:sz w:val="20"/>
          <w:szCs w:val="20"/>
          <w:vertAlign w:val="superscript"/>
          <w:lang w:eastAsia="zh-CN"/>
        </w:rPr>
        <w:t>[</w:t>
      </w:r>
      <w:r w:rsidR="00465197">
        <w:rPr>
          <w:rFonts w:ascii="Times New Roman" w:eastAsia="等线" w:hAnsi="Times New Roman" w:cs="Times New Roman" w:hint="eastAsia"/>
          <w:sz w:val="20"/>
          <w:szCs w:val="20"/>
          <w:vertAlign w:val="superscript"/>
          <w:lang w:eastAsia="zh-CN"/>
        </w:rPr>
        <w:t>3</w:t>
      </w:r>
      <w:r w:rsidR="00465197">
        <w:rPr>
          <w:rFonts w:ascii="Times New Roman" w:eastAsia="Times New Roman" w:hAnsi="Times New Roman" w:cs="Times New Roman"/>
          <w:sz w:val="20"/>
          <w:szCs w:val="20"/>
          <w:vertAlign w:val="superscript"/>
          <w:lang w:eastAsia="zh-CN"/>
        </w:rPr>
        <w:t>]</w:t>
      </w:r>
      <w:r w:rsidRPr="009262BA">
        <w:rPr>
          <w:rFonts w:ascii="宋体" w:eastAsia="宋体" w:hAnsi="宋体" w:cs="宋体" w:hint="eastAsia"/>
          <w:sz w:val="20"/>
          <w:szCs w:val="20"/>
          <w:lang w:eastAsia="zh-CN"/>
        </w:rPr>
        <w:t>。这些法律分别保护医疗数据、儿童的在线隐私和消费者的信用信息，但其适用范围通常局限于某一行业，无法涵盖所有数据隐私问题。随着互联网技术和数据采集手段的飞速发展，现有法律在应对跨行业的数据共享和复杂的数据处理技术方面显得力不从心。法律的碎片化和技术</w:t>
      </w:r>
      <w:r w:rsidRPr="009262BA">
        <w:rPr>
          <w:rFonts w:ascii="宋体" w:eastAsia="宋体" w:hAnsi="宋体" w:cs="宋体" w:hint="eastAsia"/>
          <w:sz w:val="20"/>
          <w:szCs w:val="20"/>
          <w:lang w:eastAsia="zh-CN"/>
        </w:rPr>
        <w:lastRenderedPageBreak/>
        <w:t>发展的脱节，使得隐私保护在实践中存在漏洞和不确定性，因此，推动现行隐私保护法律的更新和整合已成为必要趋势。</w:t>
      </w:r>
    </w:p>
    <w:p w14:paraId="3F7527F7" w14:textId="6D1B25DC" w:rsidR="004829EA" w:rsidRDefault="004E3009">
      <w:pPr>
        <w:pStyle w:val="2"/>
        <w:spacing w:line="240" w:lineRule="auto"/>
        <w:ind w:left="477" w:hanging="492"/>
        <w:rPr>
          <w:lang w:eastAsia="zh-CN"/>
        </w:rPr>
      </w:pPr>
      <w:r w:rsidRPr="004E3009">
        <w:rPr>
          <w:rFonts w:ascii="黑体" w:eastAsia="黑体" w:hAnsi="黑体" w:cs="黑体" w:hint="eastAsia"/>
          <w:lang w:eastAsia="zh-CN"/>
        </w:rPr>
        <w:t>现行法律的局限性与漏洞</w:t>
      </w:r>
    </w:p>
    <w:p w14:paraId="0C8B04D4" w14:textId="230EB315" w:rsidR="004829EA" w:rsidRDefault="009262BA">
      <w:pPr>
        <w:spacing w:after="238" w:line="240" w:lineRule="auto"/>
        <w:ind w:left="-5" w:firstLine="482"/>
        <w:rPr>
          <w:rFonts w:ascii="宋体" w:eastAsia="宋体" w:hAnsi="宋体" w:cs="宋体"/>
          <w:sz w:val="20"/>
          <w:szCs w:val="20"/>
          <w:lang w:eastAsia="zh-CN"/>
        </w:rPr>
      </w:pPr>
      <w:r w:rsidRPr="009262BA">
        <w:rPr>
          <w:rFonts w:ascii="宋体" w:eastAsia="宋体" w:hAnsi="宋体" w:cs="宋体" w:hint="eastAsia"/>
          <w:sz w:val="20"/>
          <w:szCs w:val="20"/>
          <w:lang w:eastAsia="zh-CN"/>
        </w:rPr>
        <w:t>现行隐私保护法律的局限性主要体现在适用范围狭窄、无法有效应对新技术带来的隐私问题。当前的法律通常专注于特定领域，缺少对跨行业数据共享的统一监管</w:t>
      </w:r>
      <w:r w:rsidR="00465197">
        <w:rPr>
          <w:rFonts w:ascii="Times New Roman" w:eastAsia="Times New Roman" w:hAnsi="Times New Roman" w:cs="Times New Roman"/>
          <w:sz w:val="20"/>
          <w:szCs w:val="20"/>
          <w:vertAlign w:val="superscript"/>
          <w:lang w:eastAsia="zh-CN"/>
        </w:rPr>
        <w:t>[</w:t>
      </w:r>
      <w:r w:rsidR="00465197">
        <w:rPr>
          <w:rFonts w:ascii="Times New Roman" w:eastAsia="等线" w:hAnsi="Times New Roman" w:cs="Times New Roman" w:hint="eastAsia"/>
          <w:sz w:val="20"/>
          <w:szCs w:val="20"/>
          <w:vertAlign w:val="superscript"/>
          <w:lang w:eastAsia="zh-CN"/>
        </w:rPr>
        <w:t>4</w:t>
      </w:r>
      <w:r w:rsidR="00465197">
        <w:rPr>
          <w:rFonts w:ascii="Times New Roman" w:eastAsia="Times New Roman" w:hAnsi="Times New Roman" w:cs="Times New Roman"/>
          <w:sz w:val="20"/>
          <w:szCs w:val="20"/>
          <w:vertAlign w:val="superscript"/>
          <w:lang w:eastAsia="zh-CN"/>
        </w:rPr>
        <w:t>]</w:t>
      </w:r>
      <w:r w:rsidRPr="009262BA">
        <w:rPr>
          <w:rFonts w:ascii="宋体" w:eastAsia="宋体" w:hAnsi="宋体" w:cs="宋体" w:hint="eastAsia"/>
          <w:sz w:val="20"/>
          <w:szCs w:val="20"/>
          <w:lang w:eastAsia="zh-CN"/>
        </w:rPr>
        <w:t>。此外，随着技术的快速发展，现行法律未能及时更新以应对大数据、物联网、人工智能等新兴技术带来的复杂隐私挑战。隐私条款往往繁琐冗长，导致用户在缺乏充分知情的情况下被迫同意数据收集和使用。同时，法律的碎片化结构使得隐私保护标准不一致，消费者面临数据泄露、滥用和非法交易等风险。这些局限和漏洞反映出现有法律对新形势的适应性不足，亟需进行系统性改革，以实现对消费者隐私的更全面保护。</w:t>
      </w:r>
    </w:p>
    <w:p w14:paraId="4C44E12D" w14:textId="5BD08C0E" w:rsidR="004829EA" w:rsidRDefault="004E3009">
      <w:pPr>
        <w:pStyle w:val="2"/>
        <w:spacing w:line="240" w:lineRule="auto"/>
        <w:ind w:left="477" w:hanging="492"/>
        <w:rPr>
          <w:rFonts w:ascii="黑体" w:eastAsia="黑体" w:hAnsi="黑体" w:cs="黑体"/>
          <w:lang w:eastAsia="zh-CN"/>
        </w:rPr>
      </w:pPr>
      <w:r w:rsidRPr="004E3009">
        <w:rPr>
          <w:rFonts w:ascii="黑体" w:eastAsia="黑体" w:hAnsi="黑体" w:cs="黑体" w:hint="eastAsia"/>
          <w:lang w:eastAsia="zh-CN"/>
        </w:rPr>
        <w:t>跨行业数据共享与隐私泄露的风险</w:t>
      </w:r>
    </w:p>
    <w:p w14:paraId="1E424006" w14:textId="081C6D26" w:rsidR="00B708D5" w:rsidRDefault="009262BA" w:rsidP="00B708D5">
      <w:pPr>
        <w:spacing w:after="715" w:line="240" w:lineRule="auto"/>
        <w:ind w:left="-5" w:firstLine="415"/>
        <w:rPr>
          <w:rFonts w:ascii="宋体" w:eastAsia="宋体" w:hAnsi="宋体" w:cs="宋体"/>
          <w:sz w:val="20"/>
          <w:szCs w:val="20"/>
          <w:lang w:eastAsia="zh-CN"/>
        </w:rPr>
      </w:pPr>
      <w:r w:rsidRPr="009262BA">
        <w:rPr>
          <w:rFonts w:ascii="宋体" w:eastAsia="宋体" w:hAnsi="宋体" w:cs="宋体" w:hint="eastAsia"/>
          <w:sz w:val="20"/>
          <w:szCs w:val="20"/>
          <w:lang w:eastAsia="zh-CN"/>
        </w:rPr>
        <w:t>跨行业数据共享带来了隐私泄露的巨大风险。随着企业和组织之间的数据交换和合作日益频繁，个人数据常常被多个行业共同使用。这种共享虽然在提升业务效率、优化用户体验等方面具有积极作用，但也伴随着严重的隐私隐患。首先，不同行业对数据保护的标准和法律要求各不相同，导致数据在共享过程中易于暴露于薄弱环节。其次，跨行业数据共享增加了数据流通的复杂性，使得消费者难以追踪自己的数据被如何使用，增加了数据滥用的可能性。此外，数据共享往往涉及第三方公司和供应商，进一步加剧了数据泄露的风险。一旦这些第三方的安全措施不完善或法律遵从性不足，个人数据极易被黑客攻击或非法获取，造成严重后果</w:t>
      </w:r>
      <w:r w:rsidR="00465197">
        <w:rPr>
          <w:rFonts w:ascii="Times New Roman" w:eastAsia="Times New Roman" w:hAnsi="Times New Roman" w:cs="Times New Roman"/>
          <w:sz w:val="20"/>
          <w:szCs w:val="20"/>
          <w:vertAlign w:val="superscript"/>
          <w:lang w:eastAsia="zh-CN"/>
        </w:rPr>
        <w:t>[</w:t>
      </w:r>
      <w:r w:rsidR="00465197">
        <w:rPr>
          <w:rFonts w:ascii="Times New Roman" w:eastAsia="等线" w:hAnsi="Times New Roman" w:cs="Times New Roman" w:hint="eastAsia"/>
          <w:sz w:val="20"/>
          <w:szCs w:val="20"/>
          <w:vertAlign w:val="superscript"/>
          <w:lang w:eastAsia="zh-CN"/>
        </w:rPr>
        <w:t>5</w:t>
      </w:r>
      <w:r w:rsidR="00465197">
        <w:rPr>
          <w:rFonts w:ascii="Times New Roman" w:eastAsia="Times New Roman" w:hAnsi="Times New Roman" w:cs="Times New Roman"/>
          <w:sz w:val="20"/>
          <w:szCs w:val="20"/>
          <w:vertAlign w:val="superscript"/>
          <w:lang w:eastAsia="zh-CN"/>
        </w:rPr>
        <w:t>]</w:t>
      </w:r>
      <w:r w:rsidRPr="009262BA">
        <w:rPr>
          <w:rFonts w:ascii="宋体" w:eastAsia="宋体" w:hAnsi="宋体" w:cs="宋体" w:hint="eastAsia"/>
          <w:sz w:val="20"/>
          <w:szCs w:val="20"/>
          <w:lang w:eastAsia="zh-CN"/>
        </w:rPr>
        <w:t>。因此，跨行业数据共享的隐私风险需要通过更严格的监管和统一的法律框架来加以控制。</w:t>
      </w:r>
    </w:p>
    <w:p w14:paraId="7704CC4F" w14:textId="4D8FFB7A" w:rsidR="004829EA" w:rsidRDefault="004E3009">
      <w:pPr>
        <w:pStyle w:val="1"/>
        <w:spacing w:after="213" w:line="240" w:lineRule="auto"/>
        <w:ind w:left="410" w:hanging="425"/>
        <w:rPr>
          <w:lang w:eastAsia="zh-CN"/>
        </w:rPr>
      </w:pPr>
      <w:r w:rsidRPr="004E3009">
        <w:rPr>
          <w:rFonts w:hint="eastAsia"/>
          <w:lang w:eastAsia="zh-CN"/>
        </w:rPr>
        <w:t>个人数据收集过程中的隐私威胁</w:t>
      </w:r>
    </w:p>
    <w:p w14:paraId="0E1EFB72" w14:textId="34978E14" w:rsidR="004829EA" w:rsidRDefault="004E3009">
      <w:pPr>
        <w:pStyle w:val="2"/>
        <w:spacing w:line="240" w:lineRule="auto"/>
        <w:ind w:left="477" w:hanging="492"/>
        <w:rPr>
          <w:lang w:eastAsia="zh-CN"/>
        </w:rPr>
      </w:pPr>
      <w:r w:rsidRPr="004E3009">
        <w:rPr>
          <w:rFonts w:ascii="黑体" w:eastAsia="黑体" w:hAnsi="黑体" w:cs="黑体" w:hint="eastAsia"/>
          <w:lang w:eastAsia="zh-CN"/>
        </w:rPr>
        <w:t>数据收集的主要来源与形式</w:t>
      </w:r>
    </w:p>
    <w:p w14:paraId="55A10AEC" w14:textId="70BD2A16" w:rsidR="004829EA" w:rsidRDefault="009262BA">
      <w:pPr>
        <w:spacing w:after="104" w:line="240" w:lineRule="auto"/>
        <w:ind w:left="-15" w:right="-15" w:firstLine="410"/>
        <w:rPr>
          <w:sz w:val="20"/>
          <w:szCs w:val="20"/>
          <w:lang w:eastAsia="zh-CN"/>
        </w:rPr>
      </w:pPr>
      <w:r w:rsidRPr="009262BA">
        <w:rPr>
          <w:rFonts w:ascii="宋体" w:eastAsia="宋体" w:hAnsi="宋体" w:cs="宋体" w:hint="eastAsia"/>
          <w:sz w:val="20"/>
          <w:szCs w:val="20"/>
          <w:lang w:eastAsia="zh-CN"/>
        </w:rPr>
        <w:t>数据收集的主要来源和形式随着技术的进步变得更加多样化和复杂</w:t>
      </w:r>
      <w:r w:rsidR="00465197">
        <w:rPr>
          <w:rFonts w:ascii="Times New Roman" w:eastAsia="Times New Roman" w:hAnsi="Times New Roman" w:cs="Times New Roman"/>
          <w:sz w:val="20"/>
          <w:szCs w:val="20"/>
          <w:vertAlign w:val="superscript"/>
          <w:lang w:eastAsia="zh-CN"/>
        </w:rPr>
        <w:t>[</w:t>
      </w:r>
      <w:r w:rsidR="00465197">
        <w:rPr>
          <w:rFonts w:ascii="Times New Roman" w:eastAsia="等线" w:hAnsi="Times New Roman" w:cs="Times New Roman" w:hint="eastAsia"/>
          <w:sz w:val="20"/>
          <w:szCs w:val="20"/>
          <w:vertAlign w:val="superscript"/>
          <w:lang w:eastAsia="zh-CN"/>
        </w:rPr>
        <w:t>6</w:t>
      </w:r>
      <w:r w:rsidR="00465197">
        <w:rPr>
          <w:rFonts w:ascii="Times New Roman" w:eastAsia="Times New Roman" w:hAnsi="Times New Roman" w:cs="Times New Roman"/>
          <w:sz w:val="20"/>
          <w:szCs w:val="20"/>
          <w:vertAlign w:val="superscript"/>
          <w:lang w:eastAsia="zh-CN"/>
        </w:rPr>
        <w:t>]</w:t>
      </w:r>
      <w:r w:rsidRPr="009262BA">
        <w:rPr>
          <w:rFonts w:ascii="宋体" w:eastAsia="宋体" w:hAnsi="宋体" w:cs="宋体" w:hint="eastAsia"/>
          <w:sz w:val="20"/>
          <w:szCs w:val="20"/>
          <w:lang w:eastAsia="zh-CN"/>
        </w:rPr>
        <w:t>。首先，互联网平台是数据收集的最大来源之一。用户在社交媒体、搜索引擎、电子商务网站和移动应用程序上的行为都会被系统自动记录。这些平台通过用户的浏览记录、点击行为、购物习惯、社交互动等数据，构建详细的个人资料。其次，物联网设备也是数据收集的重要途径。智能手机、智能家居设备、可穿戴设备等物联网设备能够持续收集用户的位置信息、健康数据和使用习惯。第三，线下的数据收集形式同样不容忽视。信用卡公司、零售商和银行通过交易记录、消费行为等方式收集消费者的财务数据。此外，公共部门和政府机构也在通过监控摄像头、交通数据和公共服务记录获取大量的个人信息。以上数据收集形式往往不透明且难以追踪，给消费者隐私保护带来了重大挑战。</w:t>
      </w:r>
    </w:p>
    <w:p w14:paraId="1E2CD6A7" w14:textId="1904563E" w:rsidR="004829EA" w:rsidRDefault="004E3009">
      <w:pPr>
        <w:pStyle w:val="2"/>
        <w:spacing w:line="240" w:lineRule="auto"/>
        <w:ind w:left="477" w:hanging="492"/>
        <w:rPr>
          <w:lang w:eastAsia="zh-CN"/>
        </w:rPr>
      </w:pPr>
      <w:r w:rsidRPr="004E3009">
        <w:rPr>
          <w:rFonts w:ascii="黑体" w:eastAsia="黑体" w:hAnsi="黑体" w:cs="黑体" w:hint="eastAsia"/>
          <w:lang w:eastAsia="zh-CN"/>
        </w:rPr>
        <w:t>隐私威胁的具体表现</w:t>
      </w:r>
    </w:p>
    <w:p w14:paraId="3A33A46A" w14:textId="3175C0F0" w:rsidR="00D71B29" w:rsidRPr="00BB45A7" w:rsidRDefault="009262BA" w:rsidP="00D71B29">
      <w:pPr>
        <w:spacing w:after="104" w:line="240" w:lineRule="auto"/>
        <w:ind w:left="-15" w:right="-15" w:firstLine="410"/>
        <w:rPr>
          <w:lang w:eastAsia="zh-CN"/>
        </w:rPr>
      </w:pPr>
      <w:r w:rsidRPr="009262BA">
        <w:rPr>
          <w:rFonts w:ascii="宋体" w:eastAsia="宋体" w:hAnsi="宋体" w:cs="宋体" w:hint="eastAsia"/>
          <w:sz w:val="20"/>
          <w:szCs w:val="20"/>
          <w:lang w:eastAsia="zh-CN"/>
        </w:rPr>
        <w:t>隐私威胁的具体表现主要体现在数据泄露、数据滥用、以及未经授权的第三方访问等方面。首先，数据泄露是最常见的隐私威胁，黑客通过网络攻击或系统漏洞非法获取用户的个人信息，导致敏感数据如姓名、地址、银行账户等被公开或出售，给个人造成经济损失或身份盗窃的风险</w:t>
      </w:r>
      <w:r w:rsidR="00465197">
        <w:rPr>
          <w:rFonts w:ascii="Times New Roman" w:eastAsia="Times New Roman" w:hAnsi="Times New Roman" w:cs="Times New Roman"/>
          <w:sz w:val="20"/>
          <w:szCs w:val="20"/>
          <w:vertAlign w:val="superscript"/>
          <w:lang w:eastAsia="zh-CN"/>
        </w:rPr>
        <w:t>[</w:t>
      </w:r>
      <w:r w:rsidR="00465197">
        <w:rPr>
          <w:rFonts w:ascii="Times New Roman" w:eastAsia="等线" w:hAnsi="Times New Roman" w:cs="Times New Roman" w:hint="eastAsia"/>
          <w:sz w:val="20"/>
          <w:szCs w:val="20"/>
          <w:vertAlign w:val="superscript"/>
          <w:lang w:eastAsia="zh-CN"/>
        </w:rPr>
        <w:t>7</w:t>
      </w:r>
      <w:r w:rsidR="00465197">
        <w:rPr>
          <w:rFonts w:ascii="Times New Roman" w:eastAsia="Times New Roman" w:hAnsi="Times New Roman" w:cs="Times New Roman"/>
          <w:sz w:val="20"/>
          <w:szCs w:val="20"/>
          <w:vertAlign w:val="superscript"/>
          <w:lang w:eastAsia="zh-CN"/>
        </w:rPr>
        <w:t>]</w:t>
      </w:r>
      <w:r w:rsidRPr="009262BA">
        <w:rPr>
          <w:rFonts w:ascii="宋体" w:eastAsia="宋体" w:hAnsi="宋体" w:cs="宋体" w:hint="eastAsia"/>
          <w:sz w:val="20"/>
          <w:szCs w:val="20"/>
          <w:lang w:eastAsia="zh-CN"/>
        </w:rPr>
        <w:t>。其次，数据滥用也是隐私威胁的一大表现形式。企业常常在未经用户明确同意的情况下，将收集到的数据用于营销、个性化广告等商业目的，甚至在某些情况下将用户数据出售给其他公司，这种行为侵犯了用户对个人信息的控制权。最后，未经授权的第三方访问同样构成重大隐私威胁。某些公司或组织出于合作或业务需要将数据分享给第三方，但第三方的安全措施不完善，可能导致数据被不当使用或进一步泄露。这些隐私威胁反映了现行隐私保护机制的漏洞，亟需通过更严格的监管和法律保护来应对。</w:t>
      </w:r>
    </w:p>
    <w:p w14:paraId="09C4482E" w14:textId="10054294" w:rsidR="003C7B1C" w:rsidRDefault="004E3009" w:rsidP="003C7B1C">
      <w:pPr>
        <w:pStyle w:val="2"/>
        <w:spacing w:line="240" w:lineRule="auto"/>
        <w:ind w:left="477" w:hanging="492"/>
        <w:rPr>
          <w:lang w:eastAsia="zh-CN"/>
        </w:rPr>
      </w:pPr>
      <w:r w:rsidRPr="004E3009">
        <w:rPr>
          <w:rFonts w:ascii="黑体" w:eastAsia="黑体" w:hAnsi="黑体" w:cs="黑体" w:hint="eastAsia"/>
          <w:lang w:eastAsia="zh-CN"/>
        </w:rPr>
        <w:t>消费者对隐私保护的关注与担忧</w:t>
      </w:r>
    </w:p>
    <w:p w14:paraId="5C8B9906" w14:textId="194CABBA" w:rsidR="00D71B29" w:rsidRDefault="009262BA" w:rsidP="00D71B29">
      <w:pPr>
        <w:spacing w:after="715" w:line="240" w:lineRule="auto"/>
        <w:ind w:left="-5" w:firstLine="415"/>
        <w:rPr>
          <w:rFonts w:ascii="宋体" w:eastAsia="宋体" w:hAnsi="宋体" w:cs="宋体"/>
          <w:sz w:val="20"/>
          <w:szCs w:val="20"/>
          <w:lang w:eastAsia="zh-CN"/>
        </w:rPr>
      </w:pPr>
      <w:r w:rsidRPr="009262BA">
        <w:rPr>
          <w:rFonts w:ascii="宋体" w:eastAsia="宋体" w:hAnsi="宋体" w:cs="宋体" w:hint="eastAsia"/>
          <w:sz w:val="20"/>
          <w:szCs w:val="20"/>
          <w:lang w:eastAsia="zh-CN"/>
        </w:rPr>
        <w:t>随着数据收集规模的扩大和隐私泄露事件的频繁发生，消费者对隐私保护的关注与担忧日益加剧。首先，许多消费者对自身数据如何被收集、存储和使用缺乏透明度感到担忧。企业通常使用复杂且冗长的隐私政策，导致用户难以理解他们的个人信息会如何处理</w:t>
      </w:r>
      <w:r w:rsidR="00465197">
        <w:rPr>
          <w:rFonts w:ascii="Times New Roman" w:eastAsia="Times New Roman" w:hAnsi="Times New Roman" w:cs="Times New Roman"/>
          <w:sz w:val="20"/>
          <w:szCs w:val="20"/>
          <w:vertAlign w:val="superscript"/>
          <w:lang w:eastAsia="zh-CN"/>
        </w:rPr>
        <w:t>[</w:t>
      </w:r>
      <w:r w:rsidR="00465197">
        <w:rPr>
          <w:rFonts w:ascii="Times New Roman" w:eastAsia="等线" w:hAnsi="Times New Roman" w:cs="Times New Roman" w:hint="eastAsia"/>
          <w:sz w:val="20"/>
          <w:szCs w:val="20"/>
          <w:vertAlign w:val="superscript"/>
          <w:lang w:eastAsia="zh-CN"/>
        </w:rPr>
        <w:t>8</w:t>
      </w:r>
      <w:r w:rsidR="00465197">
        <w:rPr>
          <w:rFonts w:ascii="Times New Roman" w:eastAsia="Times New Roman" w:hAnsi="Times New Roman" w:cs="Times New Roman"/>
          <w:sz w:val="20"/>
          <w:szCs w:val="20"/>
          <w:vertAlign w:val="superscript"/>
          <w:lang w:eastAsia="zh-CN"/>
        </w:rPr>
        <w:t>]</w:t>
      </w:r>
      <w:r w:rsidRPr="009262BA">
        <w:rPr>
          <w:rFonts w:ascii="宋体" w:eastAsia="宋体" w:hAnsi="宋体" w:cs="宋体" w:hint="eastAsia"/>
          <w:sz w:val="20"/>
          <w:szCs w:val="20"/>
          <w:lang w:eastAsia="zh-CN"/>
        </w:rPr>
        <w:t>。此外，许多人担心在不知情的情况下，他们的个人数据可能被共享或出售给第三方，甚至用于不法目的，如身份盗窃或金融欺诈。其次，数据泄露事件的频发加剧了消费者对隐私安全的忧虑。大规模数据泄露事件经常导致大量个人敏感信息被黑客获取，使得消费者的金融安全和隐私权受到威胁。再者，随着智能设备和物联网的普及，消费者担心他们的日常生活和行为数据被过度监控或滥用，特别是当这些设备将数据发送到</w:t>
      </w:r>
      <w:r w:rsidRPr="009262BA">
        <w:rPr>
          <w:rFonts w:ascii="宋体" w:eastAsia="宋体" w:hAnsi="宋体" w:cs="宋体" w:hint="eastAsia"/>
          <w:sz w:val="20"/>
          <w:szCs w:val="20"/>
          <w:lang w:eastAsia="zh-CN"/>
        </w:rPr>
        <w:lastRenderedPageBreak/>
        <w:t>远程服务器或被第三方访问时。因此，消费者越来越希望能拥有对个人数据的更多控制权，并期待更严格的法律保护和透明的隐私政策。</w:t>
      </w:r>
    </w:p>
    <w:p w14:paraId="0A9FC68F" w14:textId="78F7D7DD" w:rsidR="004829EA" w:rsidRDefault="004E3009">
      <w:pPr>
        <w:pStyle w:val="1"/>
        <w:spacing w:line="240" w:lineRule="auto"/>
        <w:ind w:left="410" w:hanging="425"/>
        <w:rPr>
          <w:lang w:eastAsia="zh-CN"/>
        </w:rPr>
      </w:pPr>
      <w:r w:rsidRPr="004E3009">
        <w:rPr>
          <w:rFonts w:hint="eastAsia"/>
          <w:lang w:eastAsia="zh-CN"/>
        </w:rPr>
        <w:t>联邦法律中的必要变革</w:t>
      </w:r>
    </w:p>
    <w:p w14:paraId="2E911B91" w14:textId="1B7860DF" w:rsidR="004829EA" w:rsidRDefault="004E3009">
      <w:pPr>
        <w:pStyle w:val="2"/>
        <w:spacing w:after="211" w:line="240" w:lineRule="auto"/>
        <w:ind w:left="477" w:hanging="492"/>
        <w:rPr>
          <w:lang w:eastAsia="zh-CN"/>
        </w:rPr>
      </w:pPr>
      <w:r w:rsidRPr="004E3009">
        <w:rPr>
          <w:rFonts w:ascii="黑体" w:eastAsia="黑体" w:hAnsi="黑体" w:cs="黑体" w:hint="eastAsia"/>
          <w:lang w:eastAsia="zh-CN"/>
        </w:rPr>
        <w:t>加强隐私保护的核心原则</w:t>
      </w:r>
    </w:p>
    <w:p w14:paraId="0FDB4552" w14:textId="38A47E53" w:rsidR="004829EA" w:rsidRDefault="009262BA" w:rsidP="00BB45A7">
      <w:pPr>
        <w:spacing w:after="104" w:line="240" w:lineRule="auto"/>
        <w:ind w:left="-15" w:right="-15" w:firstLine="410"/>
        <w:rPr>
          <w:sz w:val="20"/>
          <w:szCs w:val="20"/>
          <w:lang w:eastAsia="zh-CN"/>
        </w:rPr>
      </w:pPr>
      <w:r w:rsidRPr="009262BA">
        <w:rPr>
          <w:rFonts w:ascii="宋体" w:eastAsia="宋体" w:hAnsi="宋体" w:cs="宋体" w:hint="eastAsia"/>
          <w:sz w:val="20"/>
          <w:szCs w:val="20"/>
          <w:lang w:eastAsia="zh-CN"/>
        </w:rPr>
        <w:t>加强隐私保护的核心原则包括数据最小化、透明度、知情同意、数据安全性以及用户控制权</w:t>
      </w:r>
      <w:r w:rsidR="00465197">
        <w:rPr>
          <w:rFonts w:ascii="Times New Roman" w:eastAsia="Times New Roman" w:hAnsi="Times New Roman" w:cs="Times New Roman"/>
          <w:sz w:val="20"/>
          <w:szCs w:val="20"/>
          <w:vertAlign w:val="superscript"/>
          <w:lang w:eastAsia="zh-CN"/>
        </w:rPr>
        <w:t>[</w:t>
      </w:r>
      <w:r w:rsidR="00465197">
        <w:rPr>
          <w:rFonts w:ascii="Times New Roman" w:eastAsia="等线" w:hAnsi="Times New Roman" w:cs="Times New Roman" w:hint="eastAsia"/>
          <w:sz w:val="20"/>
          <w:szCs w:val="20"/>
          <w:vertAlign w:val="superscript"/>
          <w:lang w:eastAsia="zh-CN"/>
        </w:rPr>
        <w:t>9</w:t>
      </w:r>
      <w:r w:rsidR="00465197">
        <w:rPr>
          <w:rFonts w:ascii="Times New Roman" w:eastAsia="Times New Roman" w:hAnsi="Times New Roman" w:cs="Times New Roman"/>
          <w:sz w:val="20"/>
          <w:szCs w:val="20"/>
          <w:vertAlign w:val="superscript"/>
          <w:lang w:eastAsia="zh-CN"/>
        </w:rPr>
        <w:t>]</w:t>
      </w:r>
      <w:r w:rsidRPr="009262BA">
        <w:rPr>
          <w:rFonts w:ascii="宋体" w:eastAsia="宋体" w:hAnsi="宋体" w:cs="宋体" w:hint="eastAsia"/>
          <w:sz w:val="20"/>
          <w:szCs w:val="20"/>
          <w:lang w:eastAsia="zh-CN"/>
        </w:rPr>
        <w:t>。首先，数据最小化原则要求企业和组织仅收集、使用与其目的相关的最少量数据，避免过度收集或保存不必要的个人信息。其次，透明度原则强调数据收集方应明确告知用户其数据的收集方式、用途和存储时长，确保用户对数据处理过程有充分了解。知情同意原则要求在收集数据之前获得用户的明确授权，并确保同意是基于对数据使用的充分了解，而非隐晦的条款或默认同意。数据安全性原则则要求在收集、传输和存储数据的过程中采取必要的安全措施，防止数据泄露、滥用和非法访问。最后，用户控制权原则赋予用户对其个人数据的控制权，包括访问、修改和删除其数据的权利。这些核心原则共同构建了一个以用户隐私保护为中心的框架，有助于应对现代隐私保护中的复杂挑战</w:t>
      </w:r>
      <w:r w:rsidR="00465197" w:rsidRPr="009262BA">
        <w:rPr>
          <w:rFonts w:ascii="宋体" w:eastAsia="宋体" w:hAnsi="宋体" w:cs="宋体" w:hint="eastAsia"/>
          <w:sz w:val="20"/>
          <w:szCs w:val="20"/>
          <w:lang w:eastAsia="zh-CN"/>
        </w:rPr>
        <w:t>。</w:t>
      </w:r>
    </w:p>
    <w:p w14:paraId="69FF24BE" w14:textId="4E9792F4" w:rsidR="004829EA" w:rsidRDefault="004E3009">
      <w:pPr>
        <w:pStyle w:val="2"/>
        <w:spacing w:after="150" w:line="240" w:lineRule="auto"/>
        <w:ind w:left="477" w:hanging="492"/>
        <w:rPr>
          <w:lang w:eastAsia="zh-CN"/>
        </w:rPr>
      </w:pPr>
      <w:r w:rsidRPr="004E3009">
        <w:rPr>
          <w:rFonts w:ascii="黑体" w:eastAsia="黑体" w:hAnsi="黑体" w:cs="黑体" w:hint="eastAsia"/>
          <w:lang w:eastAsia="zh-CN"/>
        </w:rPr>
        <w:t>增强法律监管与执行力度</w:t>
      </w:r>
    </w:p>
    <w:p w14:paraId="6C03A7E8" w14:textId="203517AF" w:rsidR="00D71B29" w:rsidRDefault="009262BA" w:rsidP="006A4B77">
      <w:pPr>
        <w:spacing w:after="104" w:line="240" w:lineRule="auto"/>
        <w:ind w:left="-15" w:right="-15" w:firstLine="410"/>
        <w:rPr>
          <w:sz w:val="20"/>
          <w:szCs w:val="20"/>
          <w:lang w:eastAsia="zh-CN"/>
        </w:rPr>
      </w:pPr>
      <w:r w:rsidRPr="009262BA">
        <w:rPr>
          <w:rFonts w:ascii="宋体" w:eastAsia="宋体" w:hAnsi="宋体" w:cs="宋体" w:hint="eastAsia"/>
          <w:sz w:val="20"/>
          <w:szCs w:val="20"/>
          <w:lang w:eastAsia="zh-CN"/>
        </w:rPr>
        <w:t>增强法律监管与执行力度是有效保护消费者隐私的关键措施。首先，隐私保护法律必须更加明确和全面，涵盖所有行业和技术平台，确保数据收集、使用、存储和共享的每个环节都有明确的法律规范。其次，执法机构应拥有更强的监管权限，对企业和组织进行定期审查，以确保其遵守隐私保护规定。违规行为应当受到严厉处罚，包括巨额罚款、暂停业务运营或吊销许可证等，这将为企业提供足够的动机来遵守隐私法律。此外，立法机构还应与技术发展保持同步，定期更新法律条文，确保法律适应新兴技术带来的隐私风险，如大数据、人工智能和物联网。公众投诉渠道的畅通和执法透明度也非常重要，确保消费者能够方便地举报隐私侵权行为并得到及时回应。通过增强法律监管与执行力度，才能建立一个有效的隐私保护体系，保障消费者的数据安全和隐私权利。</w:t>
      </w:r>
    </w:p>
    <w:p w14:paraId="41528743" w14:textId="51038381" w:rsidR="00D71B29" w:rsidRDefault="004E3009" w:rsidP="00D71B29">
      <w:pPr>
        <w:pStyle w:val="2"/>
        <w:spacing w:after="150" w:line="240" w:lineRule="auto"/>
        <w:ind w:left="477" w:hanging="492"/>
        <w:rPr>
          <w:lang w:eastAsia="zh-CN"/>
        </w:rPr>
      </w:pPr>
      <w:r w:rsidRPr="004E3009">
        <w:rPr>
          <w:rFonts w:ascii="黑体" w:eastAsia="黑体" w:hAnsi="黑体" w:cs="黑体" w:hint="eastAsia"/>
          <w:lang w:eastAsia="zh-CN"/>
        </w:rPr>
        <w:t>跨行业隐私保护框架的建立</w:t>
      </w:r>
    </w:p>
    <w:p w14:paraId="05C713E2" w14:textId="547DE0DC" w:rsidR="00D71B29" w:rsidRDefault="009262BA" w:rsidP="00D71B29">
      <w:pPr>
        <w:spacing w:after="867" w:line="240" w:lineRule="auto"/>
        <w:ind w:left="-5" w:firstLine="482"/>
        <w:rPr>
          <w:rFonts w:ascii="宋体" w:eastAsia="宋体" w:hAnsi="宋体" w:cs="宋体"/>
          <w:sz w:val="20"/>
          <w:szCs w:val="20"/>
          <w:lang w:eastAsia="zh-CN"/>
        </w:rPr>
      </w:pPr>
      <w:r w:rsidRPr="009262BA">
        <w:rPr>
          <w:rFonts w:ascii="宋体" w:eastAsia="宋体" w:hAnsi="宋体" w:cs="宋体" w:hint="eastAsia"/>
          <w:sz w:val="20"/>
          <w:szCs w:val="20"/>
          <w:lang w:eastAsia="zh-CN"/>
        </w:rPr>
        <w:t>跨行业隐私保护框架的建立是应对数据共享和隐私风险的必要步骤。随着技术进步和数据流通的加剧，不同行业间的数据共享日益频繁，但各行业隐私保护标准不一，导致隐私保护存在漏洞。要建立跨行业隐私保护框架，首先应制定统一的隐私保护标准，无论是金融、医疗、科技还是零售等行业，都应遵循相同的隐私保护原则，确保个人数据在所有领域都能获得同样程度的保护。其次，跨行业框架应对数据共享的透明度提出明确要求，确保消费者了解其数据在多个行业中的使用情况，并赋予他们对数据使用的控制权。此外，框架应包括跨行业的合作机制，推动不同行业间的数据保护协调和信息共享，以便快速应对数据泄露或隐私侵权事件。通过建立跨行业的隐私保护框架，不仅可以减少数据共享中的隐私风险，还能提升整体数据安全性，确保消费者的隐私在各行业都得到充分保障。</w:t>
      </w:r>
    </w:p>
    <w:p w14:paraId="0FDF0B77" w14:textId="77777777" w:rsidR="004829EA" w:rsidRDefault="00000000">
      <w:pPr>
        <w:pStyle w:val="1"/>
        <w:spacing w:line="240" w:lineRule="auto"/>
        <w:ind w:left="410" w:hanging="425"/>
      </w:pPr>
      <w:r>
        <w:t>结语</w:t>
      </w:r>
    </w:p>
    <w:p w14:paraId="094AEBC9" w14:textId="05FAE46D" w:rsidR="004829EA" w:rsidRDefault="009262BA" w:rsidP="006A4B77">
      <w:pPr>
        <w:spacing w:after="867" w:line="240" w:lineRule="auto"/>
        <w:ind w:left="-5" w:firstLine="482"/>
        <w:rPr>
          <w:rFonts w:ascii="宋体" w:eastAsia="宋体" w:hAnsi="宋体" w:cs="宋体"/>
          <w:sz w:val="20"/>
          <w:szCs w:val="20"/>
          <w:lang w:eastAsia="zh-CN"/>
        </w:rPr>
      </w:pPr>
      <w:r w:rsidRPr="009262BA">
        <w:rPr>
          <w:rFonts w:ascii="宋体" w:eastAsia="宋体" w:hAnsi="宋体" w:cs="宋体" w:hint="eastAsia"/>
          <w:sz w:val="20"/>
          <w:szCs w:val="20"/>
          <w:lang w:eastAsia="zh-CN"/>
        </w:rPr>
        <w:t>本论文探讨了联邦法律和法规在保护消费者隐私方面的不足，并提出了针对性的变革建议。在当前数字化和数据驱动的时代，个人数据的收集和使用已经成为商业和社会运作的核心，但隐私保护法律未能与技术进步保持同步，导致消费者隐私面临巨大风险</w:t>
      </w:r>
      <w:r w:rsidR="00465197">
        <w:rPr>
          <w:rFonts w:ascii="Times New Roman" w:eastAsia="Times New Roman" w:hAnsi="Times New Roman" w:cs="Times New Roman"/>
          <w:sz w:val="20"/>
          <w:szCs w:val="20"/>
          <w:vertAlign w:val="superscript"/>
          <w:lang w:eastAsia="zh-CN"/>
        </w:rPr>
        <w:t>[</w:t>
      </w:r>
      <w:r w:rsidR="00465197">
        <w:rPr>
          <w:rFonts w:ascii="Times New Roman" w:eastAsia="等线" w:hAnsi="Times New Roman" w:cs="Times New Roman" w:hint="eastAsia"/>
          <w:sz w:val="20"/>
          <w:szCs w:val="20"/>
          <w:vertAlign w:val="superscript"/>
          <w:lang w:eastAsia="zh-CN"/>
        </w:rPr>
        <w:t>10</w:t>
      </w:r>
      <w:r w:rsidR="00465197">
        <w:rPr>
          <w:rFonts w:ascii="Times New Roman" w:eastAsia="Times New Roman" w:hAnsi="Times New Roman" w:cs="Times New Roman"/>
          <w:sz w:val="20"/>
          <w:szCs w:val="20"/>
          <w:vertAlign w:val="superscript"/>
          <w:lang w:eastAsia="zh-CN"/>
        </w:rPr>
        <w:t>]</w:t>
      </w:r>
      <w:r w:rsidRPr="009262BA">
        <w:rPr>
          <w:rFonts w:ascii="宋体" w:eastAsia="宋体" w:hAnsi="宋体" w:cs="宋体" w:hint="eastAsia"/>
          <w:sz w:val="20"/>
          <w:szCs w:val="20"/>
          <w:lang w:eastAsia="zh-CN"/>
        </w:rPr>
        <w:t>。通过分析现行隐私保护法律的局限性，以及跨行业数据共享和隐私泄露的威胁，本文指出了隐私保护体系中亟需解决的问题。为此，本文提出了加强隐私保护的核心原则、增强法律监管和执行力度、以及建立跨行业隐私保护框架的必要性。这些措施将有助于统一数据保护标准，增强透明度，赋予消费者更多的控制权，并提升数据安全性。未来，随着技术的不断进步，隐私保护法律需要不断更新，以确保消费者隐私在新兴技术背景下得到充分保护。最终，构建更加全面和协调的隐私保护法律体系是保障消费者权益、促进经济和技术健康发展的关键。</w:t>
      </w:r>
    </w:p>
    <w:p w14:paraId="11F97554" w14:textId="77777777" w:rsidR="009262BA" w:rsidRPr="00D71B29" w:rsidRDefault="009262BA" w:rsidP="006A4B77">
      <w:pPr>
        <w:spacing w:after="867" w:line="240" w:lineRule="auto"/>
        <w:ind w:left="-5" w:firstLine="482"/>
        <w:rPr>
          <w:rFonts w:ascii="宋体" w:eastAsia="宋体" w:hAnsi="宋体" w:cs="宋体" w:hint="eastAsia"/>
          <w:sz w:val="20"/>
          <w:szCs w:val="20"/>
          <w:lang w:eastAsia="zh-CN"/>
        </w:rPr>
      </w:pPr>
    </w:p>
    <w:p w14:paraId="1A442B6E" w14:textId="77777777" w:rsidR="004829EA" w:rsidRDefault="00000000">
      <w:pPr>
        <w:spacing w:after="151" w:line="240" w:lineRule="auto"/>
        <w:ind w:right="5"/>
        <w:jc w:val="center"/>
      </w:pPr>
      <w:r>
        <w:rPr>
          <w:rFonts w:ascii="黑体" w:eastAsia="黑体" w:hAnsi="黑体" w:cs="黑体"/>
          <w:sz w:val="21"/>
        </w:rPr>
        <w:lastRenderedPageBreak/>
        <w:t>参考文献</w:t>
      </w:r>
    </w:p>
    <w:p w14:paraId="4C79626D" w14:textId="77777777" w:rsidR="004E3009" w:rsidRPr="004E3009" w:rsidRDefault="004E3009" w:rsidP="004E3009">
      <w:pPr>
        <w:numPr>
          <w:ilvl w:val="0"/>
          <w:numId w:val="2"/>
        </w:numPr>
        <w:spacing w:after="40" w:line="240" w:lineRule="auto"/>
        <w:rPr>
          <w:rFonts w:ascii="宋体" w:eastAsia="宋体" w:hAnsi="宋体" w:cs="宋体"/>
          <w:sz w:val="20"/>
          <w:szCs w:val="20"/>
          <w:lang w:eastAsia="zh-CN"/>
        </w:rPr>
      </w:pPr>
      <w:r w:rsidRPr="004E3009">
        <w:rPr>
          <w:rFonts w:ascii="宋体" w:eastAsia="宋体" w:hAnsi="宋体" w:cs="宋体" w:hint="eastAsia"/>
          <w:sz w:val="20"/>
          <w:szCs w:val="20"/>
          <w:lang w:eastAsia="zh-CN"/>
        </w:rPr>
        <w:t>周建安</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山巍</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张峰等</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美国技术法规体系研究</w:t>
      </w:r>
      <w:r w:rsidRPr="004E3009">
        <w:rPr>
          <w:rFonts w:ascii="宋体" w:eastAsia="宋体" w:hAnsi="宋体" w:cs="宋体"/>
          <w:sz w:val="20"/>
          <w:szCs w:val="20"/>
          <w:lang w:eastAsia="zh-CN"/>
        </w:rPr>
        <w:t>[J].</w:t>
      </w:r>
      <w:r w:rsidRPr="004E3009">
        <w:rPr>
          <w:rFonts w:ascii="宋体" w:eastAsia="宋体" w:hAnsi="宋体" w:cs="宋体" w:hint="eastAsia"/>
          <w:sz w:val="20"/>
          <w:szCs w:val="20"/>
          <w:lang w:eastAsia="zh-CN"/>
        </w:rPr>
        <w:t>检验检疫科学</w:t>
      </w:r>
      <w:r w:rsidRPr="004E3009">
        <w:rPr>
          <w:rFonts w:ascii="宋体" w:eastAsia="宋体" w:hAnsi="宋体" w:cs="宋体"/>
          <w:sz w:val="20"/>
          <w:szCs w:val="20"/>
          <w:lang w:eastAsia="zh-CN"/>
        </w:rPr>
        <w:t>,2002(05):14-16.</w:t>
      </w:r>
    </w:p>
    <w:p w14:paraId="67C1C790" w14:textId="77777777" w:rsidR="004E3009" w:rsidRPr="004E3009" w:rsidRDefault="004E3009" w:rsidP="004E3009">
      <w:pPr>
        <w:numPr>
          <w:ilvl w:val="0"/>
          <w:numId w:val="2"/>
        </w:numPr>
        <w:spacing w:after="40" w:line="240" w:lineRule="auto"/>
        <w:rPr>
          <w:rFonts w:ascii="宋体" w:eastAsia="宋体" w:hAnsi="宋体" w:cs="宋体"/>
          <w:sz w:val="20"/>
          <w:szCs w:val="20"/>
          <w:lang w:eastAsia="zh-CN"/>
        </w:rPr>
      </w:pPr>
      <w:r w:rsidRPr="004E3009">
        <w:rPr>
          <w:rFonts w:ascii="宋体" w:eastAsia="宋体" w:hAnsi="宋体" w:cs="宋体" w:hint="eastAsia"/>
          <w:sz w:val="20"/>
          <w:szCs w:val="20"/>
          <w:lang w:eastAsia="zh-CN"/>
        </w:rPr>
        <w:t>殷乐</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于晓敏</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被遗忘权</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网络空间的隐私保护与治理——基于全球部分国家的立法与实践分析</w:t>
      </w:r>
      <w:r w:rsidRPr="004E3009">
        <w:rPr>
          <w:rFonts w:ascii="宋体" w:eastAsia="宋体" w:hAnsi="宋体" w:cs="宋体"/>
          <w:sz w:val="20"/>
          <w:szCs w:val="20"/>
          <w:lang w:eastAsia="zh-CN"/>
        </w:rPr>
        <w:t>[J].</w:t>
      </w:r>
      <w:r w:rsidRPr="004E3009">
        <w:rPr>
          <w:rFonts w:ascii="宋体" w:eastAsia="宋体" w:hAnsi="宋体" w:cs="宋体" w:hint="eastAsia"/>
          <w:sz w:val="20"/>
          <w:szCs w:val="20"/>
          <w:lang w:eastAsia="zh-CN"/>
        </w:rPr>
        <w:t>新闻与写作</w:t>
      </w:r>
      <w:r w:rsidRPr="004E3009">
        <w:rPr>
          <w:rFonts w:ascii="宋体" w:eastAsia="宋体" w:hAnsi="宋体" w:cs="宋体"/>
          <w:sz w:val="20"/>
          <w:szCs w:val="20"/>
          <w:lang w:eastAsia="zh-CN"/>
        </w:rPr>
        <w:t>,2017(01):14-17.</w:t>
      </w:r>
    </w:p>
    <w:p w14:paraId="1011C299" w14:textId="77777777" w:rsidR="004E3009" w:rsidRPr="004E3009" w:rsidRDefault="004E3009" w:rsidP="004E3009">
      <w:pPr>
        <w:numPr>
          <w:ilvl w:val="0"/>
          <w:numId w:val="2"/>
        </w:numPr>
        <w:spacing w:after="40" w:line="240" w:lineRule="auto"/>
        <w:rPr>
          <w:rFonts w:ascii="宋体" w:eastAsia="宋体" w:hAnsi="宋体" w:cs="宋体"/>
          <w:sz w:val="20"/>
          <w:szCs w:val="20"/>
          <w:lang w:eastAsia="zh-CN"/>
        </w:rPr>
      </w:pPr>
      <w:r w:rsidRPr="004E3009">
        <w:rPr>
          <w:rFonts w:ascii="宋体" w:eastAsia="宋体" w:hAnsi="宋体" w:cs="宋体" w:hint="eastAsia"/>
          <w:sz w:val="20"/>
          <w:szCs w:val="20"/>
          <w:lang w:eastAsia="zh-CN"/>
        </w:rPr>
        <w:t>刘洪华</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欧盟被遗忘权</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源流、内涵和立法价值</w:t>
      </w:r>
      <w:r w:rsidRPr="004E3009">
        <w:rPr>
          <w:rFonts w:ascii="宋体" w:eastAsia="宋体" w:hAnsi="宋体" w:cs="宋体"/>
          <w:sz w:val="20"/>
          <w:szCs w:val="20"/>
          <w:lang w:eastAsia="zh-CN"/>
        </w:rPr>
        <w:t>[J].</w:t>
      </w:r>
      <w:r w:rsidRPr="004E3009">
        <w:rPr>
          <w:rFonts w:ascii="宋体" w:eastAsia="宋体" w:hAnsi="宋体" w:cs="宋体" w:hint="eastAsia"/>
          <w:sz w:val="20"/>
          <w:szCs w:val="20"/>
          <w:lang w:eastAsia="zh-CN"/>
        </w:rPr>
        <w:t>私法研究</w:t>
      </w:r>
      <w:r w:rsidRPr="004E3009">
        <w:rPr>
          <w:rFonts w:ascii="宋体" w:eastAsia="宋体" w:hAnsi="宋体" w:cs="宋体"/>
          <w:sz w:val="20"/>
          <w:szCs w:val="20"/>
          <w:lang w:eastAsia="zh-CN"/>
        </w:rPr>
        <w:t>,2020,25(01):166-182.</w:t>
      </w:r>
    </w:p>
    <w:p w14:paraId="14630E8C" w14:textId="77777777" w:rsidR="004E3009" w:rsidRPr="004E3009" w:rsidRDefault="004E3009" w:rsidP="004E3009">
      <w:pPr>
        <w:numPr>
          <w:ilvl w:val="0"/>
          <w:numId w:val="2"/>
        </w:numPr>
        <w:spacing w:after="40" w:line="240" w:lineRule="auto"/>
        <w:rPr>
          <w:rFonts w:ascii="宋体" w:eastAsia="宋体" w:hAnsi="宋体" w:cs="宋体"/>
          <w:sz w:val="20"/>
          <w:szCs w:val="20"/>
          <w:lang w:eastAsia="zh-CN"/>
        </w:rPr>
      </w:pPr>
      <w:r w:rsidRPr="004E3009">
        <w:rPr>
          <w:rFonts w:ascii="宋体" w:eastAsia="宋体" w:hAnsi="宋体" w:cs="宋体" w:hint="eastAsia"/>
          <w:sz w:val="20"/>
          <w:szCs w:val="20"/>
          <w:lang w:eastAsia="zh-CN"/>
        </w:rPr>
        <w:t>钱乐乐</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互联网视频广告屏蔽行为法律规制研究</w:t>
      </w:r>
      <w:r w:rsidRPr="004E3009">
        <w:rPr>
          <w:rFonts w:ascii="宋体" w:eastAsia="宋体" w:hAnsi="宋体" w:cs="宋体"/>
          <w:sz w:val="20"/>
          <w:szCs w:val="20"/>
          <w:lang w:eastAsia="zh-CN"/>
        </w:rPr>
        <w:t>[J].</w:t>
      </w:r>
      <w:r w:rsidRPr="004E3009">
        <w:rPr>
          <w:rFonts w:ascii="宋体" w:eastAsia="宋体" w:hAnsi="宋体" w:cs="宋体" w:hint="eastAsia"/>
          <w:sz w:val="20"/>
          <w:szCs w:val="20"/>
          <w:lang w:eastAsia="zh-CN"/>
        </w:rPr>
        <w:t>中国价格监管与反垄断</w:t>
      </w:r>
      <w:r w:rsidRPr="004E3009">
        <w:rPr>
          <w:rFonts w:ascii="宋体" w:eastAsia="宋体" w:hAnsi="宋体" w:cs="宋体"/>
          <w:sz w:val="20"/>
          <w:szCs w:val="20"/>
          <w:lang w:eastAsia="zh-CN"/>
        </w:rPr>
        <w:t>,2024(08):27-29.</w:t>
      </w:r>
    </w:p>
    <w:p w14:paraId="3731D5B8" w14:textId="77777777" w:rsidR="004E3009" w:rsidRPr="004E3009" w:rsidRDefault="004E3009" w:rsidP="004E3009">
      <w:pPr>
        <w:numPr>
          <w:ilvl w:val="0"/>
          <w:numId w:val="2"/>
        </w:numPr>
        <w:spacing w:after="40" w:line="240" w:lineRule="auto"/>
        <w:rPr>
          <w:rFonts w:ascii="宋体" w:eastAsia="宋体" w:hAnsi="宋体" w:cs="宋体"/>
          <w:sz w:val="20"/>
          <w:szCs w:val="20"/>
          <w:lang w:eastAsia="zh-CN"/>
        </w:rPr>
      </w:pPr>
      <w:r w:rsidRPr="004E3009">
        <w:rPr>
          <w:rFonts w:ascii="宋体" w:eastAsia="宋体" w:hAnsi="宋体" w:cs="宋体" w:hint="eastAsia"/>
          <w:sz w:val="20"/>
          <w:szCs w:val="20"/>
          <w:lang w:eastAsia="zh-CN"/>
        </w:rPr>
        <w:t>岳强</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俄罗斯联邦仲裁法律制度改革及中国应对</w:t>
      </w:r>
      <w:r w:rsidRPr="004E3009">
        <w:rPr>
          <w:rFonts w:ascii="宋体" w:eastAsia="宋体" w:hAnsi="宋体" w:cs="宋体"/>
          <w:sz w:val="20"/>
          <w:szCs w:val="20"/>
          <w:lang w:eastAsia="zh-CN"/>
        </w:rPr>
        <w:t>[J].</w:t>
      </w:r>
      <w:r w:rsidRPr="004E3009">
        <w:rPr>
          <w:rFonts w:ascii="宋体" w:eastAsia="宋体" w:hAnsi="宋体" w:cs="宋体" w:hint="eastAsia"/>
          <w:sz w:val="20"/>
          <w:szCs w:val="20"/>
          <w:lang w:eastAsia="zh-CN"/>
        </w:rPr>
        <w:t>西伯利亚研究</w:t>
      </w:r>
      <w:r w:rsidRPr="004E3009">
        <w:rPr>
          <w:rFonts w:ascii="宋体" w:eastAsia="宋体" w:hAnsi="宋体" w:cs="宋体"/>
          <w:sz w:val="20"/>
          <w:szCs w:val="20"/>
          <w:lang w:eastAsia="zh-CN"/>
        </w:rPr>
        <w:t>,2021,48(01):59-70.</w:t>
      </w:r>
    </w:p>
    <w:p w14:paraId="0DE0CAEA" w14:textId="77777777" w:rsidR="004E3009" w:rsidRPr="004E3009" w:rsidRDefault="004E3009" w:rsidP="004E3009">
      <w:pPr>
        <w:numPr>
          <w:ilvl w:val="0"/>
          <w:numId w:val="2"/>
        </w:numPr>
        <w:spacing w:after="40" w:line="240" w:lineRule="auto"/>
        <w:rPr>
          <w:rFonts w:ascii="宋体" w:eastAsia="宋体" w:hAnsi="宋体" w:cs="宋体"/>
          <w:sz w:val="20"/>
          <w:szCs w:val="20"/>
          <w:lang w:eastAsia="zh-CN"/>
        </w:rPr>
      </w:pPr>
      <w:r w:rsidRPr="004E3009">
        <w:rPr>
          <w:rFonts w:ascii="宋体" w:eastAsia="宋体" w:hAnsi="宋体" w:cs="宋体" w:hint="eastAsia"/>
          <w:sz w:val="20"/>
          <w:szCs w:val="20"/>
          <w:lang w:eastAsia="zh-CN"/>
        </w:rPr>
        <w:t>贾韶琦</w:t>
      </w:r>
      <w:r w:rsidRPr="004E3009">
        <w:rPr>
          <w:rFonts w:ascii="宋体" w:eastAsia="宋体" w:hAnsi="宋体" w:cs="宋体"/>
          <w:sz w:val="20"/>
          <w:szCs w:val="20"/>
          <w:lang w:eastAsia="zh-CN"/>
        </w:rPr>
        <w:t xml:space="preserve">. </w:t>
      </w:r>
      <w:r w:rsidRPr="004E3009">
        <w:rPr>
          <w:rFonts w:ascii="宋体" w:eastAsia="宋体" w:hAnsi="宋体" w:cs="宋体" w:hint="eastAsia"/>
          <w:sz w:val="20"/>
          <w:szCs w:val="20"/>
          <w:lang w:eastAsia="zh-CN"/>
        </w:rPr>
        <w:t>美国公私合作（</w:t>
      </w:r>
      <w:r w:rsidRPr="004E3009">
        <w:rPr>
          <w:rFonts w:ascii="宋体" w:eastAsia="宋体" w:hAnsi="宋体" w:cs="宋体"/>
          <w:sz w:val="20"/>
          <w:szCs w:val="20"/>
          <w:lang w:eastAsia="zh-CN"/>
        </w:rPr>
        <w:t>PPP</w:t>
      </w:r>
      <w:r w:rsidRPr="004E3009">
        <w:rPr>
          <w:rFonts w:ascii="宋体" w:eastAsia="宋体" w:hAnsi="宋体" w:cs="宋体" w:hint="eastAsia"/>
          <w:sz w:val="20"/>
          <w:szCs w:val="20"/>
          <w:lang w:eastAsia="zh-CN"/>
        </w:rPr>
        <w:t>）法制研究</w:t>
      </w:r>
      <w:r w:rsidRPr="004E3009">
        <w:rPr>
          <w:rFonts w:ascii="宋体" w:eastAsia="宋体" w:hAnsi="宋体" w:cs="宋体"/>
          <w:sz w:val="20"/>
          <w:szCs w:val="20"/>
          <w:lang w:eastAsia="zh-CN"/>
        </w:rPr>
        <w:t>[D].</w:t>
      </w:r>
      <w:r w:rsidRPr="004E3009">
        <w:rPr>
          <w:rFonts w:ascii="宋体" w:eastAsia="宋体" w:hAnsi="宋体" w:cs="宋体" w:hint="eastAsia"/>
          <w:sz w:val="20"/>
          <w:szCs w:val="20"/>
          <w:lang w:eastAsia="zh-CN"/>
        </w:rPr>
        <w:t>湘潭大学</w:t>
      </w:r>
      <w:r w:rsidRPr="004E3009">
        <w:rPr>
          <w:rFonts w:ascii="宋体" w:eastAsia="宋体" w:hAnsi="宋体" w:cs="宋体"/>
          <w:sz w:val="20"/>
          <w:szCs w:val="20"/>
          <w:lang w:eastAsia="zh-CN"/>
        </w:rPr>
        <w:t>,2020.DOI:10.27426/d.cnki.gxtdu.2020.001936.</w:t>
      </w:r>
    </w:p>
    <w:p w14:paraId="03D52909" w14:textId="77777777" w:rsidR="004E3009" w:rsidRPr="004E3009" w:rsidRDefault="004E3009" w:rsidP="004E3009">
      <w:pPr>
        <w:numPr>
          <w:ilvl w:val="0"/>
          <w:numId w:val="2"/>
        </w:numPr>
        <w:spacing w:after="40" w:line="240" w:lineRule="auto"/>
        <w:rPr>
          <w:rFonts w:ascii="宋体" w:eastAsia="宋体" w:hAnsi="宋体" w:cs="宋体"/>
          <w:sz w:val="20"/>
          <w:szCs w:val="20"/>
          <w:lang w:eastAsia="zh-CN"/>
        </w:rPr>
      </w:pPr>
      <w:r w:rsidRPr="004E3009">
        <w:rPr>
          <w:rFonts w:ascii="宋体" w:eastAsia="宋体" w:hAnsi="宋体" w:cs="宋体" w:hint="eastAsia"/>
          <w:sz w:val="20"/>
          <w:szCs w:val="20"/>
          <w:lang w:eastAsia="zh-CN"/>
        </w:rPr>
        <w:t>于璐</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数字经济背景下互联网平台反垄断的法律研究</w:t>
      </w:r>
      <w:r w:rsidRPr="004E3009">
        <w:rPr>
          <w:rFonts w:ascii="宋体" w:eastAsia="宋体" w:hAnsi="宋体" w:cs="宋体"/>
          <w:sz w:val="20"/>
          <w:szCs w:val="20"/>
          <w:lang w:eastAsia="zh-CN"/>
        </w:rPr>
        <w:t>[J].</w:t>
      </w:r>
      <w:r w:rsidRPr="004E3009">
        <w:rPr>
          <w:rFonts w:ascii="宋体" w:eastAsia="宋体" w:hAnsi="宋体" w:cs="宋体" w:hint="eastAsia"/>
          <w:sz w:val="20"/>
          <w:szCs w:val="20"/>
          <w:lang w:eastAsia="zh-CN"/>
        </w:rPr>
        <w:t>中国集体经济</w:t>
      </w:r>
      <w:r w:rsidRPr="004E3009">
        <w:rPr>
          <w:rFonts w:ascii="宋体" w:eastAsia="宋体" w:hAnsi="宋体" w:cs="宋体"/>
          <w:sz w:val="20"/>
          <w:szCs w:val="20"/>
          <w:lang w:eastAsia="zh-CN"/>
        </w:rPr>
        <w:t>,2024(20):121-124.DOI:10.20187/j.cnki.cn/11-3946/f.2024.20.044.</w:t>
      </w:r>
    </w:p>
    <w:p w14:paraId="2393F053" w14:textId="77777777" w:rsidR="004E3009" w:rsidRPr="004E3009" w:rsidRDefault="004E3009" w:rsidP="004E3009">
      <w:pPr>
        <w:numPr>
          <w:ilvl w:val="0"/>
          <w:numId w:val="2"/>
        </w:numPr>
        <w:spacing w:after="40" w:line="240" w:lineRule="auto"/>
        <w:rPr>
          <w:rFonts w:ascii="宋体" w:eastAsia="宋体" w:hAnsi="宋体" w:cs="宋体"/>
          <w:sz w:val="20"/>
          <w:szCs w:val="20"/>
          <w:lang w:eastAsia="zh-CN"/>
        </w:rPr>
      </w:pPr>
      <w:r w:rsidRPr="004E3009">
        <w:rPr>
          <w:rFonts w:ascii="宋体" w:eastAsia="宋体" w:hAnsi="宋体" w:cs="宋体" w:hint="eastAsia"/>
          <w:sz w:val="20"/>
          <w:szCs w:val="20"/>
          <w:lang w:eastAsia="zh-CN"/>
        </w:rPr>
        <w:t>陈晓荣</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当代互联网电子证据公证法律问题分析</w:t>
      </w:r>
      <w:r w:rsidRPr="004E3009">
        <w:rPr>
          <w:rFonts w:ascii="宋体" w:eastAsia="宋体" w:hAnsi="宋体" w:cs="宋体"/>
          <w:sz w:val="20"/>
          <w:szCs w:val="20"/>
          <w:lang w:eastAsia="zh-CN"/>
        </w:rPr>
        <w:t>[J].</w:t>
      </w:r>
      <w:r w:rsidRPr="004E3009">
        <w:rPr>
          <w:rFonts w:ascii="宋体" w:eastAsia="宋体" w:hAnsi="宋体" w:cs="宋体" w:hint="eastAsia"/>
          <w:sz w:val="20"/>
          <w:szCs w:val="20"/>
          <w:lang w:eastAsia="zh-CN"/>
        </w:rPr>
        <w:t>法制博览</w:t>
      </w:r>
      <w:r w:rsidRPr="004E3009">
        <w:rPr>
          <w:rFonts w:ascii="宋体" w:eastAsia="宋体" w:hAnsi="宋体" w:cs="宋体"/>
          <w:sz w:val="20"/>
          <w:szCs w:val="20"/>
          <w:lang w:eastAsia="zh-CN"/>
        </w:rPr>
        <w:t>,2024(15):115-117.</w:t>
      </w:r>
    </w:p>
    <w:p w14:paraId="7D776083" w14:textId="77777777" w:rsidR="004E3009" w:rsidRPr="004E3009" w:rsidRDefault="004E3009" w:rsidP="004E3009">
      <w:pPr>
        <w:numPr>
          <w:ilvl w:val="0"/>
          <w:numId w:val="2"/>
        </w:numPr>
        <w:spacing w:after="40" w:line="240" w:lineRule="auto"/>
        <w:rPr>
          <w:rFonts w:ascii="宋体" w:eastAsia="宋体" w:hAnsi="宋体" w:cs="宋体"/>
          <w:sz w:val="20"/>
          <w:szCs w:val="20"/>
          <w:lang w:eastAsia="zh-CN"/>
        </w:rPr>
      </w:pPr>
      <w:r w:rsidRPr="004E3009">
        <w:rPr>
          <w:rFonts w:ascii="宋体" w:eastAsia="宋体" w:hAnsi="宋体" w:cs="宋体" w:hint="eastAsia"/>
          <w:sz w:val="20"/>
          <w:szCs w:val="20"/>
          <w:lang w:eastAsia="zh-CN"/>
        </w:rPr>
        <w:t>李锦宇</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廖娟</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《个人信息保护法》视野下互联网医疗数据的法律保护</w:t>
      </w:r>
      <w:r w:rsidRPr="004E3009">
        <w:rPr>
          <w:rFonts w:ascii="宋体" w:eastAsia="宋体" w:hAnsi="宋体" w:cs="宋体"/>
          <w:sz w:val="20"/>
          <w:szCs w:val="20"/>
          <w:lang w:eastAsia="zh-CN"/>
        </w:rPr>
        <w:t>[J].</w:t>
      </w:r>
      <w:r w:rsidRPr="004E3009">
        <w:rPr>
          <w:rFonts w:ascii="宋体" w:eastAsia="宋体" w:hAnsi="宋体" w:cs="宋体" w:hint="eastAsia"/>
          <w:sz w:val="20"/>
          <w:szCs w:val="20"/>
          <w:lang w:eastAsia="zh-CN"/>
        </w:rPr>
        <w:t>医学与法学</w:t>
      </w:r>
      <w:r w:rsidRPr="004E3009">
        <w:rPr>
          <w:rFonts w:ascii="宋体" w:eastAsia="宋体" w:hAnsi="宋体" w:cs="宋体"/>
          <w:sz w:val="20"/>
          <w:szCs w:val="20"/>
          <w:lang w:eastAsia="zh-CN"/>
        </w:rPr>
        <w:t>,2024,16(03):68-73+87.</w:t>
      </w:r>
    </w:p>
    <w:p w14:paraId="22BFFB6E" w14:textId="67BE82EA" w:rsidR="004829EA" w:rsidRDefault="004E3009" w:rsidP="004E3009">
      <w:pPr>
        <w:numPr>
          <w:ilvl w:val="0"/>
          <w:numId w:val="2"/>
        </w:numPr>
        <w:spacing w:after="40" w:line="240" w:lineRule="auto"/>
        <w:rPr>
          <w:rFonts w:ascii="宋体" w:eastAsia="宋体" w:hAnsi="宋体" w:cs="宋体"/>
          <w:sz w:val="20"/>
          <w:szCs w:val="20"/>
          <w:lang w:eastAsia="zh-CN"/>
        </w:rPr>
      </w:pPr>
      <w:r w:rsidRPr="004E3009">
        <w:rPr>
          <w:rFonts w:ascii="宋体" w:eastAsia="宋体" w:hAnsi="宋体" w:cs="宋体" w:hint="eastAsia"/>
          <w:sz w:val="20"/>
          <w:szCs w:val="20"/>
          <w:lang w:eastAsia="zh-CN"/>
        </w:rPr>
        <w:t>方婷</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钟宜芸</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朱泮子美等</w:t>
      </w:r>
      <w:r w:rsidRPr="004E3009">
        <w:rPr>
          <w:rFonts w:ascii="宋体" w:eastAsia="宋体" w:hAnsi="宋体" w:cs="宋体"/>
          <w:sz w:val="20"/>
          <w:szCs w:val="20"/>
          <w:lang w:eastAsia="zh-CN"/>
        </w:rPr>
        <w:t>.</w:t>
      </w:r>
      <w:r w:rsidRPr="004E3009">
        <w:rPr>
          <w:rFonts w:ascii="宋体" w:eastAsia="宋体" w:hAnsi="宋体" w:cs="宋体" w:hint="eastAsia"/>
          <w:sz w:val="20"/>
          <w:szCs w:val="20"/>
          <w:lang w:eastAsia="zh-CN"/>
        </w:rPr>
        <w:t>互联网开屏广告的侵权认定与法律规制</w:t>
      </w:r>
      <w:r w:rsidRPr="004E3009">
        <w:rPr>
          <w:rFonts w:ascii="宋体" w:eastAsia="宋体" w:hAnsi="宋体" w:cs="宋体"/>
          <w:sz w:val="20"/>
          <w:szCs w:val="20"/>
          <w:lang w:eastAsia="zh-CN"/>
        </w:rPr>
        <w:t>[J].</w:t>
      </w:r>
      <w:r w:rsidRPr="004E3009">
        <w:rPr>
          <w:rFonts w:ascii="宋体" w:eastAsia="宋体" w:hAnsi="宋体" w:cs="宋体" w:hint="eastAsia"/>
          <w:sz w:val="20"/>
          <w:szCs w:val="20"/>
          <w:lang w:eastAsia="zh-CN"/>
        </w:rPr>
        <w:t>咸阳师范学院学报</w:t>
      </w:r>
      <w:r w:rsidRPr="004E3009">
        <w:rPr>
          <w:rFonts w:ascii="宋体" w:eastAsia="宋体" w:hAnsi="宋体" w:cs="宋体"/>
          <w:sz w:val="20"/>
          <w:szCs w:val="20"/>
          <w:lang w:eastAsia="zh-CN"/>
        </w:rPr>
        <w:t>,2024,39(03):103-108.</w:t>
      </w:r>
    </w:p>
    <w:sectPr w:rsidR="004829EA">
      <w:headerReference w:type="even" r:id="rId8"/>
      <w:headerReference w:type="default" r:id="rId9"/>
      <w:footerReference w:type="even" r:id="rId10"/>
      <w:footerReference w:type="default" r:id="rId11"/>
      <w:headerReference w:type="first" r:id="rId12"/>
      <w:footerReference w:type="first" r:id="rId13"/>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26B1D" w14:textId="77777777" w:rsidR="003F2116" w:rsidRDefault="003F2116">
      <w:pPr>
        <w:spacing w:line="240" w:lineRule="auto"/>
      </w:pPr>
      <w:r>
        <w:separator/>
      </w:r>
    </w:p>
  </w:endnote>
  <w:endnote w:type="continuationSeparator" w:id="0">
    <w:p w14:paraId="4738DED9" w14:textId="77777777" w:rsidR="003F2116" w:rsidRDefault="003F2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F5FBF"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2EFC" w14:textId="091AB3C0" w:rsidR="004829EA" w:rsidRDefault="008E5F92">
    <w:pPr>
      <w:tabs>
        <w:tab w:val="right" w:pos="10203"/>
      </w:tabs>
      <w:spacing w:after="0"/>
    </w:pPr>
    <w:r>
      <w:rPr>
        <w:rFonts w:ascii="Microsoft YaHei UI" w:eastAsia="Microsoft YaHei UI" w:hAnsi="Microsoft YaHei UI" w:cs="Microsoft YaHei UI"/>
        <w:sz w:val="18"/>
      </w:rPr>
      <w:t xml:space="preserve">CIT </w:t>
    </w:r>
    <w:r>
      <w:rPr>
        <w:rFonts w:ascii="Microsoft YaHei UI" w:eastAsia="Microsoft YaHei UI" w:hAnsi="Microsoft YaHei UI" w:cs="Microsoft YaHei UI" w:hint="eastAsia"/>
        <w:sz w:val="18"/>
        <w:lang w:eastAsia="zh-CN"/>
      </w:rPr>
      <w:t>621</w:t>
    </w:r>
    <w:r>
      <w:rPr>
        <w:rFonts w:ascii="Microsoft YaHei UI" w:eastAsia="Microsoft YaHei UI" w:hAnsi="Microsoft YaHei UI" w:cs="Microsoft YaHei UI"/>
        <w:sz w:val="18"/>
      </w:rPr>
      <w:t>/</w:t>
    </w:r>
    <w:r w:rsidR="004E3009">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 xml:space="preserve"> </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2E793"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90D80" w14:textId="77777777" w:rsidR="003F2116" w:rsidRDefault="003F2116">
      <w:pPr>
        <w:spacing w:after="0"/>
      </w:pPr>
      <w:r>
        <w:separator/>
      </w:r>
    </w:p>
  </w:footnote>
  <w:footnote w:type="continuationSeparator" w:id="0">
    <w:p w14:paraId="2A930080" w14:textId="77777777" w:rsidR="003F2116" w:rsidRDefault="003F21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E73CF"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7EB2DF4D" wp14:editId="2F2D933F">
              <wp:simplePos x="0" y="0"/>
              <wp:positionH relativeFrom="page">
                <wp:posOffset>540385</wp:posOffset>
              </wp:positionH>
              <wp:positionV relativeFrom="page">
                <wp:posOffset>748665</wp:posOffset>
              </wp:positionV>
              <wp:extent cx="6479540" cy="8890"/>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90" o:spid="_x0000_s1026" o:spt="203" style="position:absolute;left:0pt;margin-left:42.55pt;margin-top:58.95pt;height:0.7pt;width:510.2pt;mso-position-horizontal-relative:page;mso-position-vertical-relative:page;mso-wrap-distance-bottom:0pt;mso-wrap-distance-left:9pt;mso-wrap-distance-right:9pt;mso-wrap-distance-top:0pt;z-index:251659264;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GnGpTZAAAACwEAAA8AAAAAAAAAAQAgAAAAIgAA&#10;AGRycy9kb3ducmV2LnhtbFBLAQIUABQAAAAIAIdO4kDTaxlrQAIAAM8FAAAOAAAAAAAAAAEAIAAA&#10;ACgBAABkcnMvZTJvRG9jLnhtbFBLBQYAAAAABgAGAFkBAADaBQAAAAA=&#10;">
              <o:lock v:ext="edit" aspectratio="f"/>
              <v:shape id="Shape 6302" o:spid="_x0000_s1026" o:spt="100" style="position:absolute;left:0;top:0;height:9144;width:6479540;" fillcolor="#000000" filled="t" stroked="f" coordsize="6479540,9144" o:gfxdata="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OGCT&#10;wAAAAN0AAAAPAAAAAAAAAAEAIAAAACIAAABkcnMvZG93bnJldi54bWxQSwECFAAUAAAACACHTuJA&#10;My8FnjsAAAA5AAAAEAAAAAAAAAABACAAAAAPAQAAZHJzL3NoYXBleG1sLnhtbFBLBQYAAAAABgAG&#10;AFsBAAC5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752B1" w14:textId="1DEA1121" w:rsidR="004829EA"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02769E8C" wp14:editId="1BAD1F5A">
              <wp:simplePos x="0" y="0"/>
              <wp:positionH relativeFrom="margin">
                <wp:align>right</wp:align>
              </wp:positionH>
              <wp:positionV relativeFrom="page">
                <wp:posOffset>765175</wp:posOffset>
              </wp:positionV>
              <wp:extent cx="6479540" cy="8890"/>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57" o:spid="_x0000_s1026" o:spt="203" style="position:absolute;left:0pt;margin-top:60.25pt;height:0.7pt;width:510.2pt;mso-position-horizontal:right;mso-position-horizontal-relative:margin;mso-position-vertical-relative:page;mso-wrap-distance-bottom:0pt;mso-wrap-distance-left:9pt;mso-wrap-distance-right:9pt;mso-wrap-distance-top:0pt;z-index:251660288;mso-width-relative:page;mso-height-relative:page;" coordsize="6479540,9144" o:gfxdata="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laSLLYAAAACQEAAA8AAAAAAAAAAQAgAAAAIgAA&#10;AGRycy9kb3ducmV2LnhtbFBLAQIUABQAAAAIAIdO4kBHkK1YQQIAAM8FAAAOAAAAAAAAAAEAIAAA&#10;ACcBAABkcnMvZTJvRG9jLnhtbFBLBQYAAAAABgAGAFkBAADaBQAAAAA=&#10;">
              <o:lock v:ext="edit" aspectratio="f"/>
              <v:shape id="Shape 6300" o:spid="_x0000_s1026" o:spt="100" style="position:absolute;left:0;top:0;height:9144;width:6479540;" fillcolor="#000000" filled="t" stroked="f" coordsize="6479540,9144" o:gfxdata="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plt/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sidR="000C0E3A">
      <w:rPr>
        <w:rFonts w:ascii="等线" w:eastAsia="等线" w:hAnsi="等线" w:cs="Arial" w:hint="eastAsia"/>
        <w:b/>
        <w:sz w:val="18"/>
        <w:lang w:eastAsia="zh-CN"/>
      </w:rPr>
      <w:t>62</w:t>
    </w:r>
    <w:r w:rsidR="00731A83">
      <w:rPr>
        <w:rFonts w:ascii="等线" w:eastAsia="等线" w:hAnsi="等线" w:cs="Arial" w:hint="eastAsia"/>
        <w:b/>
        <w:sz w:val="18"/>
        <w:lang w:eastAsia="zh-CN"/>
      </w:rPr>
      <w:t>1</w:t>
    </w:r>
    <w:r>
      <w:rPr>
        <w:rFonts w:ascii="Arial" w:eastAsia="Arial" w:hAnsi="Arial" w:cs="Arial"/>
        <w:b/>
        <w:sz w:val="18"/>
      </w:rPr>
      <w:t>-</w:t>
    </w:r>
    <w:r w:rsidR="004E3009">
      <w:rPr>
        <w:rFonts w:ascii="等线" w:eastAsia="等线" w:hAnsi="等线" w:cs="Arial" w:hint="eastAsia"/>
        <w:b/>
        <w:sz w:val="18"/>
        <w:lang w:eastAsia="zh-CN"/>
      </w:rPr>
      <w:t>2</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ECB2"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61312" behindDoc="0" locked="0" layoutInCell="1" allowOverlap="1" wp14:anchorId="5B9885E7" wp14:editId="0555E755">
              <wp:simplePos x="0" y="0"/>
              <wp:positionH relativeFrom="page">
                <wp:posOffset>540385</wp:posOffset>
              </wp:positionH>
              <wp:positionV relativeFrom="page">
                <wp:posOffset>748665</wp:posOffset>
              </wp:positionV>
              <wp:extent cx="6479540" cy="8890"/>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24" o:spid="_x0000_s1026" o:spt="203" style="position:absolute;left:0pt;margin-left:42.55pt;margin-top:58.95pt;height:0.7pt;width:510.2pt;mso-position-horizontal-relative:page;mso-position-vertical-relative:page;mso-wrap-distance-bottom:0pt;mso-wrap-distance-left:9pt;mso-wrap-distance-right:9pt;mso-wrap-distance-top:0pt;z-index:251661312;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pxqU2QAAAAsBAAAPAAAAAAAAAAEAIAAAACIA&#10;AABkcnMvZG93bnJldi54bWxQSwECFAAUAAAACACHTuJAnCKGnkECAADPBQAADgAAAAAAAAABACAA&#10;AAAoAQAAZHJzL2Uyb0RvYy54bWxQSwUGAAAAAAYABgBZAQAA2wUAAAAA&#10;">
              <o:lock v:ext="edit" aspectratio="f"/>
              <v:shape id="Shape 6298" o:spid="_x0000_s1026" o:spt="100" style="position:absolute;left:0;top:0;height:9144;width:6479540;" fillcolor="#000000" filled="t" stroked="f" coordsize="6479540,9144" o:gfxdata="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O81j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E44E4"/>
    <w:multiLevelType w:val="multilevel"/>
    <w:tmpl w:val="5D4E44E4"/>
    <w:lvl w:ilvl="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abstractNum w:abstractNumId="1" w15:restartNumberingAfterBreak="0">
    <w:nsid w:val="76BE172C"/>
    <w:multiLevelType w:val="multilevel"/>
    <w:tmpl w:val="76BE172C"/>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577716512">
    <w:abstractNumId w:val="1"/>
  </w:num>
  <w:num w:numId="2" w16cid:durableId="163128380">
    <w:abstractNumId w:val="0"/>
  </w:num>
  <w:num w:numId="3" w16cid:durableId="870068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Y0NWU0NWYwZTJkMGYwMDc4YTI1ZTM5YWFiMzYwNDgifQ=="/>
  </w:docVars>
  <w:rsids>
    <w:rsidRoot w:val="00B953B7"/>
    <w:rsid w:val="000348B2"/>
    <w:rsid w:val="000A0AD1"/>
    <w:rsid w:val="000A2035"/>
    <w:rsid w:val="000C0E3A"/>
    <w:rsid w:val="000E6AF0"/>
    <w:rsid w:val="0011055B"/>
    <w:rsid w:val="00143D2A"/>
    <w:rsid w:val="001861A5"/>
    <w:rsid w:val="001A52EC"/>
    <w:rsid w:val="00227091"/>
    <w:rsid w:val="00280D89"/>
    <w:rsid w:val="002820A4"/>
    <w:rsid w:val="002908F2"/>
    <w:rsid w:val="002D7AC5"/>
    <w:rsid w:val="00357BED"/>
    <w:rsid w:val="00387AD3"/>
    <w:rsid w:val="003A5ABA"/>
    <w:rsid w:val="003B6638"/>
    <w:rsid w:val="003C7B1C"/>
    <w:rsid w:val="003F2116"/>
    <w:rsid w:val="003F377D"/>
    <w:rsid w:val="00465197"/>
    <w:rsid w:val="004750FF"/>
    <w:rsid w:val="004829EA"/>
    <w:rsid w:val="004E3009"/>
    <w:rsid w:val="005464F3"/>
    <w:rsid w:val="00556C72"/>
    <w:rsid w:val="00586665"/>
    <w:rsid w:val="00615BB0"/>
    <w:rsid w:val="006A4B77"/>
    <w:rsid w:val="006A7970"/>
    <w:rsid w:val="00731A83"/>
    <w:rsid w:val="007362BA"/>
    <w:rsid w:val="007644C5"/>
    <w:rsid w:val="00772F7F"/>
    <w:rsid w:val="007737DA"/>
    <w:rsid w:val="00774781"/>
    <w:rsid w:val="007A76DA"/>
    <w:rsid w:val="007B7992"/>
    <w:rsid w:val="007C7E04"/>
    <w:rsid w:val="00825AB7"/>
    <w:rsid w:val="00827986"/>
    <w:rsid w:val="0084272D"/>
    <w:rsid w:val="008E5F92"/>
    <w:rsid w:val="009262BA"/>
    <w:rsid w:val="009337E1"/>
    <w:rsid w:val="00965320"/>
    <w:rsid w:val="009946CF"/>
    <w:rsid w:val="009A03DF"/>
    <w:rsid w:val="00A26627"/>
    <w:rsid w:val="00A46EC0"/>
    <w:rsid w:val="00A772F6"/>
    <w:rsid w:val="00AA7CA6"/>
    <w:rsid w:val="00B03763"/>
    <w:rsid w:val="00B602C7"/>
    <w:rsid w:val="00B708D5"/>
    <w:rsid w:val="00B953B7"/>
    <w:rsid w:val="00BA66D9"/>
    <w:rsid w:val="00BB45A7"/>
    <w:rsid w:val="00BB5716"/>
    <w:rsid w:val="00BD366A"/>
    <w:rsid w:val="00BD5123"/>
    <w:rsid w:val="00C24387"/>
    <w:rsid w:val="00C3045F"/>
    <w:rsid w:val="00C46666"/>
    <w:rsid w:val="00C503E6"/>
    <w:rsid w:val="00C54506"/>
    <w:rsid w:val="00C6630B"/>
    <w:rsid w:val="00C816DA"/>
    <w:rsid w:val="00C94B5F"/>
    <w:rsid w:val="00C97E9A"/>
    <w:rsid w:val="00D07CB1"/>
    <w:rsid w:val="00D12112"/>
    <w:rsid w:val="00D227B1"/>
    <w:rsid w:val="00D26438"/>
    <w:rsid w:val="00D36D09"/>
    <w:rsid w:val="00D6065E"/>
    <w:rsid w:val="00D66E61"/>
    <w:rsid w:val="00D71B29"/>
    <w:rsid w:val="00D74067"/>
    <w:rsid w:val="00D95CFC"/>
    <w:rsid w:val="00E136F2"/>
    <w:rsid w:val="00EA73E2"/>
    <w:rsid w:val="00EB18D5"/>
    <w:rsid w:val="00EE7FE3"/>
    <w:rsid w:val="3029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5D2A96"/>
  <w15:docId w15:val="{844C54BB-A4BB-4072-AE8D-7792A4FA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2BA"/>
    <w:pPr>
      <w:spacing w:after="160" w:line="259" w:lineRule="auto"/>
    </w:pPr>
    <w:rPr>
      <w:rFonts w:ascii="Calibri" w:eastAsia="Calibri" w:hAnsi="Calibri" w:cs="Calibri"/>
      <w:color w:val="000000"/>
      <w:kern w:val="2"/>
      <w:sz w:val="22"/>
      <w:szCs w:val="22"/>
      <w14:ligatures w14:val="standardContextual"/>
    </w:rPr>
  </w:style>
  <w:style w:type="paragraph" w:styleId="1">
    <w:name w:val="heading 1"/>
    <w:next w:val="a"/>
    <w:link w:val="10"/>
    <w:uiPriority w:val="9"/>
    <w:qFormat/>
    <w:pPr>
      <w:keepNext/>
      <w:keepLines/>
      <w:numPr>
        <w:numId w:val="1"/>
      </w:numPr>
      <w:spacing w:after="92" w:line="259" w:lineRule="auto"/>
      <w:outlineLvl w:val="0"/>
    </w:pPr>
    <w:rPr>
      <w:rFonts w:ascii="黑体" w:eastAsia="黑体" w:hAnsi="黑体" w:cs="黑体"/>
      <w:color w:val="000000"/>
      <w:kern w:val="2"/>
      <w:sz w:val="28"/>
      <w:szCs w:val="22"/>
      <w14:ligatures w14:val="standardContextual"/>
    </w:rPr>
  </w:style>
  <w:style w:type="paragraph" w:styleId="2">
    <w:name w:val="heading 2"/>
    <w:next w:val="a"/>
    <w:link w:val="20"/>
    <w:uiPriority w:val="9"/>
    <w:unhideWhenUsed/>
    <w:qFormat/>
    <w:pPr>
      <w:keepNext/>
      <w:keepLines/>
      <w:numPr>
        <w:ilvl w:val="1"/>
        <w:numId w:val="1"/>
      </w:numPr>
      <w:spacing w:after="143" w:line="259" w:lineRule="auto"/>
      <w:ind w:left="10" w:hanging="10"/>
      <w:outlineLvl w:val="1"/>
    </w:pPr>
    <w:rPr>
      <w:rFonts w:ascii="Times New Roman" w:eastAsia="Times New Roman" w:hAnsi="Times New Roman" w:cs="Times New Roman"/>
      <w:color w:val="000000"/>
      <w:kern w:val="2"/>
      <w:sz w:val="24"/>
      <w:szCs w:val="22"/>
      <w14:ligatures w14:val="standardContextual"/>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黑体" w:eastAsia="黑体" w:hAnsi="黑体" w:cs="黑体"/>
      <w:color w:val="000000"/>
      <w:kern w:val="2"/>
      <w:sz w:val="24"/>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qFormat/>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qFormat/>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8795">
      <w:bodyDiv w:val="1"/>
      <w:marLeft w:val="0"/>
      <w:marRight w:val="0"/>
      <w:marTop w:val="0"/>
      <w:marBottom w:val="0"/>
      <w:divBdr>
        <w:top w:val="none" w:sz="0" w:space="0" w:color="auto"/>
        <w:left w:val="none" w:sz="0" w:space="0" w:color="auto"/>
        <w:bottom w:val="none" w:sz="0" w:space="0" w:color="auto"/>
        <w:right w:val="none" w:sz="0" w:space="0" w:color="auto"/>
      </w:divBdr>
    </w:div>
    <w:div w:id="164369533">
      <w:bodyDiv w:val="1"/>
      <w:marLeft w:val="0"/>
      <w:marRight w:val="0"/>
      <w:marTop w:val="0"/>
      <w:marBottom w:val="0"/>
      <w:divBdr>
        <w:top w:val="none" w:sz="0" w:space="0" w:color="auto"/>
        <w:left w:val="none" w:sz="0" w:space="0" w:color="auto"/>
        <w:bottom w:val="none" w:sz="0" w:space="0" w:color="auto"/>
        <w:right w:val="none" w:sz="0" w:space="0" w:color="auto"/>
      </w:divBdr>
    </w:div>
    <w:div w:id="203257565">
      <w:bodyDiv w:val="1"/>
      <w:marLeft w:val="0"/>
      <w:marRight w:val="0"/>
      <w:marTop w:val="0"/>
      <w:marBottom w:val="0"/>
      <w:divBdr>
        <w:top w:val="none" w:sz="0" w:space="0" w:color="auto"/>
        <w:left w:val="none" w:sz="0" w:space="0" w:color="auto"/>
        <w:bottom w:val="none" w:sz="0" w:space="0" w:color="auto"/>
        <w:right w:val="none" w:sz="0" w:space="0" w:color="auto"/>
      </w:divBdr>
    </w:div>
    <w:div w:id="425543471">
      <w:bodyDiv w:val="1"/>
      <w:marLeft w:val="0"/>
      <w:marRight w:val="0"/>
      <w:marTop w:val="0"/>
      <w:marBottom w:val="0"/>
      <w:divBdr>
        <w:top w:val="none" w:sz="0" w:space="0" w:color="auto"/>
        <w:left w:val="none" w:sz="0" w:space="0" w:color="auto"/>
        <w:bottom w:val="none" w:sz="0" w:space="0" w:color="auto"/>
        <w:right w:val="none" w:sz="0" w:space="0" w:color="auto"/>
      </w:divBdr>
    </w:div>
    <w:div w:id="604966387">
      <w:bodyDiv w:val="1"/>
      <w:marLeft w:val="0"/>
      <w:marRight w:val="0"/>
      <w:marTop w:val="0"/>
      <w:marBottom w:val="0"/>
      <w:divBdr>
        <w:top w:val="none" w:sz="0" w:space="0" w:color="auto"/>
        <w:left w:val="none" w:sz="0" w:space="0" w:color="auto"/>
        <w:bottom w:val="none" w:sz="0" w:space="0" w:color="auto"/>
        <w:right w:val="none" w:sz="0" w:space="0" w:color="auto"/>
      </w:divBdr>
    </w:div>
    <w:div w:id="717389337">
      <w:bodyDiv w:val="1"/>
      <w:marLeft w:val="0"/>
      <w:marRight w:val="0"/>
      <w:marTop w:val="0"/>
      <w:marBottom w:val="0"/>
      <w:divBdr>
        <w:top w:val="none" w:sz="0" w:space="0" w:color="auto"/>
        <w:left w:val="none" w:sz="0" w:space="0" w:color="auto"/>
        <w:bottom w:val="none" w:sz="0" w:space="0" w:color="auto"/>
        <w:right w:val="none" w:sz="0" w:space="0" w:color="auto"/>
      </w:divBdr>
    </w:div>
    <w:div w:id="822739340">
      <w:bodyDiv w:val="1"/>
      <w:marLeft w:val="0"/>
      <w:marRight w:val="0"/>
      <w:marTop w:val="0"/>
      <w:marBottom w:val="0"/>
      <w:divBdr>
        <w:top w:val="none" w:sz="0" w:space="0" w:color="auto"/>
        <w:left w:val="none" w:sz="0" w:space="0" w:color="auto"/>
        <w:bottom w:val="none" w:sz="0" w:space="0" w:color="auto"/>
        <w:right w:val="none" w:sz="0" w:space="0" w:color="auto"/>
      </w:divBdr>
    </w:div>
    <w:div w:id="1113983626">
      <w:bodyDiv w:val="1"/>
      <w:marLeft w:val="0"/>
      <w:marRight w:val="0"/>
      <w:marTop w:val="0"/>
      <w:marBottom w:val="0"/>
      <w:divBdr>
        <w:top w:val="none" w:sz="0" w:space="0" w:color="auto"/>
        <w:left w:val="none" w:sz="0" w:space="0" w:color="auto"/>
        <w:bottom w:val="none" w:sz="0" w:space="0" w:color="auto"/>
        <w:right w:val="none" w:sz="0" w:space="0" w:color="auto"/>
      </w:divBdr>
    </w:div>
    <w:div w:id="1188985983">
      <w:bodyDiv w:val="1"/>
      <w:marLeft w:val="0"/>
      <w:marRight w:val="0"/>
      <w:marTop w:val="0"/>
      <w:marBottom w:val="0"/>
      <w:divBdr>
        <w:top w:val="none" w:sz="0" w:space="0" w:color="auto"/>
        <w:left w:val="none" w:sz="0" w:space="0" w:color="auto"/>
        <w:bottom w:val="none" w:sz="0" w:space="0" w:color="auto"/>
        <w:right w:val="none" w:sz="0" w:space="0" w:color="auto"/>
      </w:divBdr>
    </w:div>
    <w:div w:id="1520511560">
      <w:bodyDiv w:val="1"/>
      <w:marLeft w:val="0"/>
      <w:marRight w:val="0"/>
      <w:marTop w:val="0"/>
      <w:marBottom w:val="0"/>
      <w:divBdr>
        <w:top w:val="none" w:sz="0" w:space="0" w:color="auto"/>
        <w:left w:val="none" w:sz="0" w:space="0" w:color="auto"/>
        <w:bottom w:val="none" w:sz="0" w:space="0" w:color="auto"/>
        <w:right w:val="none" w:sz="0" w:space="0" w:color="auto"/>
      </w:divBdr>
    </w:div>
    <w:div w:id="1733387027">
      <w:bodyDiv w:val="1"/>
      <w:marLeft w:val="0"/>
      <w:marRight w:val="0"/>
      <w:marTop w:val="0"/>
      <w:marBottom w:val="0"/>
      <w:divBdr>
        <w:top w:val="none" w:sz="0" w:space="0" w:color="auto"/>
        <w:left w:val="none" w:sz="0" w:space="0" w:color="auto"/>
        <w:bottom w:val="none" w:sz="0" w:space="0" w:color="auto"/>
        <w:right w:val="none" w:sz="0" w:space="0" w:color="auto"/>
      </w:divBdr>
    </w:div>
    <w:div w:id="1804955826">
      <w:bodyDiv w:val="1"/>
      <w:marLeft w:val="0"/>
      <w:marRight w:val="0"/>
      <w:marTop w:val="0"/>
      <w:marBottom w:val="0"/>
      <w:divBdr>
        <w:top w:val="none" w:sz="0" w:space="0" w:color="auto"/>
        <w:left w:val="none" w:sz="0" w:space="0" w:color="auto"/>
        <w:bottom w:val="none" w:sz="0" w:space="0" w:color="auto"/>
        <w:right w:val="none" w:sz="0" w:space="0" w:color="auto"/>
      </w:divBdr>
    </w:div>
    <w:div w:id="1982156179">
      <w:bodyDiv w:val="1"/>
      <w:marLeft w:val="0"/>
      <w:marRight w:val="0"/>
      <w:marTop w:val="0"/>
      <w:marBottom w:val="0"/>
      <w:divBdr>
        <w:top w:val="none" w:sz="0" w:space="0" w:color="auto"/>
        <w:left w:val="none" w:sz="0" w:space="0" w:color="auto"/>
        <w:bottom w:val="none" w:sz="0" w:space="0" w:color="auto"/>
        <w:right w:val="none" w:sz="0" w:space="0" w:color="auto"/>
      </w:divBdr>
    </w:div>
    <w:div w:id="2043246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801</Words>
  <Characters>4570</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叶焕发</cp:lastModifiedBy>
  <cp:revision>13</cp:revision>
  <cp:lastPrinted>2024-09-24T10:43:00Z</cp:lastPrinted>
  <dcterms:created xsi:type="dcterms:W3CDTF">2024-08-29T11:53:00Z</dcterms:created>
  <dcterms:modified xsi:type="dcterms:W3CDTF">2024-09-24T10:49:00Z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FB4B1F41DC7445479B1419A29DBBA92F_12</vt:lpwstr>
  </property>
</Properties>
</file>