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5B4C808C" w:rsidR="004829EA" w:rsidRDefault="00BE026D">
      <w:pPr>
        <w:spacing w:after="134" w:line="240" w:lineRule="auto"/>
        <w:ind w:left="1646" w:right="1649"/>
        <w:jc w:val="center"/>
        <w:rPr>
          <w:rFonts w:ascii="黑体" w:eastAsia="黑体" w:hAnsi="黑体" w:cs="黑体"/>
          <w:sz w:val="44"/>
          <w:lang w:eastAsia="zh-CN"/>
        </w:rPr>
      </w:pPr>
      <w:r w:rsidRPr="00BE026D">
        <w:rPr>
          <w:rFonts w:ascii="黑体" w:eastAsia="黑体" w:hAnsi="黑体" w:cs="黑体" w:hint="eastAsia"/>
          <w:sz w:val="44"/>
          <w:lang w:eastAsia="zh-CN"/>
        </w:rPr>
        <w:t>社会认同理论对他人物质化现象的解释与分析</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6EB5135B" w:rsidR="004829EA" w:rsidRDefault="00BE026D">
      <w:pPr>
        <w:spacing w:after="347" w:line="240" w:lineRule="auto"/>
        <w:ind w:left="194" w:hanging="10"/>
        <w:rPr>
          <w:lang w:eastAsia="zh-CN"/>
        </w:rPr>
      </w:pPr>
      <w:r w:rsidRPr="00BE026D">
        <w:rPr>
          <w:rFonts w:ascii="华文仿宋" w:eastAsia="华文仿宋" w:hAnsi="华文仿宋" w:cs="华文仿宋" w:hint="eastAsia"/>
          <w:sz w:val="18"/>
          <w:lang w:eastAsia="zh-CN"/>
        </w:rPr>
        <w:t>本论文通过分析社会认同理论，探讨了他人物质化现象的形成机制及其社会影响。社会认同理论强调个体通过群体归属感来定义自己和他人，划分“内群体”和“外群体”，并倾向于对内群体持有积极态度，而对外群体采取消极甚至去人性化的看法。在这一过程中，外群体成员常被物质化，即被视为无个性、无情感的对象，而</w:t>
      </w:r>
      <w:proofErr w:type="gramStart"/>
      <w:r w:rsidRPr="00BE026D">
        <w:rPr>
          <w:rFonts w:ascii="华文仿宋" w:eastAsia="华文仿宋" w:hAnsi="华文仿宋" w:cs="华文仿宋" w:hint="eastAsia"/>
          <w:sz w:val="18"/>
          <w:lang w:eastAsia="zh-CN"/>
        </w:rPr>
        <w:t>非具有</w:t>
      </w:r>
      <w:proofErr w:type="gramEnd"/>
      <w:r w:rsidRPr="00BE026D">
        <w:rPr>
          <w:rFonts w:ascii="华文仿宋" w:eastAsia="华文仿宋" w:hAnsi="华文仿宋" w:cs="华文仿宋" w:hint="eastAsia"/>
          <w:sz w:val="18"/>
          <w:lang w:eastAsia="zh-CN"/>
        </w:rPr>
        <w:t>独立人格的个体。本文首先梳理了社会认同理论的基本概念，并定义了他人物质化现象，分析其在社会生活中的常见表现。通过结合理论与现实案例，本文阐明了内群体偏好、刻板印象等因素如何促成他人物质化，并讨论了这种现象对社会群体关系、冲突产生及个人心理的负面影响。最后，本文提出了减少他人物质化的可能对策，包括通过跨群体合作、提升多样性包容性等方式改善社会结构，促进群体间的理解与包容，进而缓解他人物质化现象带来的社会问题。</w:t>
      </w:r>
    </w:p>
    <w:p w14:paraId="6DA34E07" w14:textId="1965C769" w:rsidR="004829EA" w:rsidRDefault="00000000">
      <w:pPr>
        <w:spacing w:after="729" w:line="240" w:lineRule="auto"/>
        <w:ind w:left="194" w:hanging="10"/>
        <w:rPr>
          <w:lang w:eastAsia="zh-CN"/>
        </w:rPr>
      </w:pPr>
      <w:r>
        <w:rPr>
          <w:rFonts w:ascii="黑体" w:eastAsia="黑体" w:hAnsi="黑体" w:cs="黑体"/>
          <w:sz w:val="18"/>
          <w:lang w:eastAsia="zh-CN"/>
        </w:rPr>
        <w:t>关键词：</w:t>
      </w:r>
      <w:r w:rsidR="00BE026D" w:rsidRPr="00BE026D">
        <w:rPr>
          <w:rFonts w:ascii="华文仿宋" w:eastAsia="华文仿宋" w:hAnsi="华文仿宋" w:cs="华文仿宋" w:hint="eastAsia"/>
          <w:sz w:val="18"/>
          <w:lang w:eastAsia="zh-CN"/>
        </w:rPr>
        <w:t>社会认同理论</w:t>
      </w:r>
      <w:r>
        <w:rPr>
          <w:rFonts w:ascii="华文仿宋" w:eastAsia="华文仿宋" w:hAnsi="华文仿宋" w:cs="华文仿宋" w:hint="eastAsia"/>
          <w:sz w:val="18"/>
          <w:lang w:eastAsia="zh-CN"/>
        </w:rPr>
        <w:t>；</w:t>
      </w:r>
      <w:r w:rsidR="00BE026D" w:rsidRPr="00BE026D">
        <w:rPr>
          <w:rFonts w:ascii="华文仿宋" w:eastAsia="华文仿宋" w:hAnsi="华文仿宋" w:cs="华文仿宋" w:hint="eastAsia"/>
          <w:sz w:val="18"/>
          <w:lang w:eastAsia="zh-CN"/>
        </w:rPr>
        <w:t>他人物质化</w:t>
      </w:r>
      <w:r>
        <w:rPr>
          <w:rFonts w:ascii="华文仿宋" w:eastAsia="华文仿宋" w:hAnsi="华文仿宋" w:cs="华文仿宋"/>
          <w:sz w:val="18"/>
          <w:lang w:eastAsia="zh-CN"/>
        </w:rPr>
        <w:t>；</w:t>
      </w:r>
      <w:r w:rsidR="00BE026D" w:rsidRPr="00BE026D">
        <w:rPr>
          <w:rFonts w:ascii="华文仿宋" w:eastAsia="华文仿宋" w:hAnsi="华文仿宋" w:cs="华文仿宋" w:hint="eastAsia"/>
          <w:sz w:val="18"/>
          <w:lang w:eastAsia="zh-CN"/>
        </w:rPr>
        <w:t>群体关系</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786D1177" w14:textId="4D07A575" w:rsidR="00BE026D" w:rsidRDefault="00BE026D" w:rsidP="00BE026D">
      <w:pPr>
        <w:spacing w:after="165" w:line="240" w:lineRule="auto"/>
        <w:ind w:left="-15" w:right="-15" w:firstLine="410"/>
        <w:rPr>
          <w:sz w:val="20"/>
          <w:szCs w:val="20"/>
          <w:lang w:eastAsia="zh-CN"/>
        </w:rPr>
      </w:pPr>
      <w:r w:rsidRPr="00BE026D">
        <w:rPr>
          <w:rFonts w:ascii="宋体" w:eastAsia="宋体" w:hAnsi="宋体" w:cs="宋体" w:hint="eastAsia"/>
          <w:sz w:val="20"/>
          <w:szCs w:val="20"/>
          <w:lang w:eastAsia="zh-CN"/>
        </w:rPr>
        <w:t>在现代社会中，人与人之间的互动和群体关系逐渐复杂化，特别是在全球化、多元文化的背景下，群体间的分歧和冲突显得尤为突出。随着社会认同理论的广泛应用，研究者开始深入探讨个体是如何通过群体归属感来定义自己和他人，从而影响社会互动的过程。社会认同理论由社会心理学家亨利·塔杰费尔提出，旨在解释个体如何在群体中建立自我认同，以及这种认同如何影响他们对外部世界的看法与行为反应</w:t>
      </w:r>
      <w:r w:rsidR="00882C3B">
        <w:rPr>
          <w:rFonts w:ascii="Times New Roman" w:eastAsia="Times New Roman" w:hAnsi="Times New Roman" w:cs="Times New Roman"/>
          <w:sz w:val="20"/>
          <w:szCs w:val="20"/>
          <w:vertAlign w:val="superscript"/>
          <w:lang w:eastAsia="zh-CN"/>
        </w:rPr>
        <w:t>[</w:t>
      </w:r>
      <w:r w:rsidR="00882C3B">
        <w:rPr>
          <w:rFonts w:ascii="Times New Roman" w:eastAsia="等线" w:hAnsi="Times New Roman" w:cs="Times New Roman" w:hint="eastAsia"/>
          <w:sz w:val="20"/>
          <w:szCs w:val="20"/>
          <w:vertAlign w:val="superscript"/>
          <w:lang w:eastAsia="zh-CN"/>
        </w:rPr>
        <w:t>1</w:t>
      </w:r>
      <w:r w:rsidR="00882C3B">
        <w:rPr>
          <w:rFonts w:ascii="Times New Roman" w:eastAsia="Times New Roman" w:hAnsi="Times New Roman" w:cs="Times New Roman"/>
          <w:sz w:val="20"/>
          <w:szCs w:val="20"/>
          <w:vertAlign w:val="superscript"/>
          <w:lang w:eastAsia="zh-CN"/>
        </w:rPr>
        <w:t>]</w:t>
      </w:r>
      <w:r w:rsidRPr="00BE026D">
        <w:rPr>
          <w:rFonts w:ascii="宋体" w:eastAsia="宋体" w:hAnsi="宋体" w:cs="宋体" w:hint="eastAsia"/>
          <w:sz w:val="20"/>
          <w:szCs w:val="20"/>
          <w:lang w:eastAsia="zh-CN"/>
        </w:rPr>
        <w:t>。根据该理论，个体倾向于通过将自己归类于某一特定群体（内群体）来获得自我认同感，并对非所归属的群体（外群体）产生偏见或歧视。这种群体划分机制是社会关系构建的基础，但也可能导致某些群体成员被物质化或去人性化，进而引发社会排斥和冲突。</w:t>
      </w:r>
    </w:p>
    <w:p w14:paraId="491E0ED5" w14:textId="19577EEA" w:rsidR="00BE026D" w:rsidRDefault="00BE026D" w:rsidP="00BE026D">
      <w:pPr>
        <w:spacing w:after="165" w:line="240" w:lineRule="auto"/>
        <w:ind w:left="-15" w:right="-15" w:firstLine="410"/>
        <w:rPr>
          <w:sz w:val="20"/>
          <w:szCs w:val="20"/>
          <w:lang w:eastAsia="zh-CN"/>
        </w:rPr>
      </w:pPr>
      <w:r w:rsidRPr="00BE026D">
        <w:rPr>
          <w:rFonts w:ascii="宋体" w:eastAsia="宋体" w:hAnsi="宋体" w:cs="宋体" w:hint="eastAsia"/>
          <w:sz w:val="20"/>
          <w:szCs w:val="20"/>
          <w:lang w:eastAsia="zh-CN"/>
        </w:rPr>
        <w:t>在此背景下，“他人物质化”成为一个需要重点探讨的现象。物质化是指将他人视为无个性、无情感的对象，而非有独立思想和情感的人类个体。在日常生活中，这种现象常通过刻板印象、歧视性言论和行为表现出来。例如，性别、种族、宗教等群体差异往往成为物质化的依据，外群体成员被简化为某种刻板印象或符号，失去了作为个体的复杂性和人性。物质化不仅对个体心理健康产生消极影响，还可能进一步加剧群体间的不信任与冲突，破坏社会和谐。由此可见，理解他人物质化的形成机制及其背后的心理动因，对于构建包容多元的社会至关重要。</w:t>
      </w:r>
    </w:p>
    <w:p w14:paraId="13808F39" w14:textId="416FD8BD" w:rsidR="00BE026D" w:rsidRDefault="00BE026D" w:rsidP="00BE026D">
      <w:pPr>
        <w:spacing w:after="165" w:line="240" w:lineRule="auto"/>
        <w:ind w:left="-15" w:right="-15" w:firstLine="410"/>
        <w:rPr>
          <w:sz w:val="20"/>
          <w:szCs w:val="20"/>
          <w:lang w:eastAsia="zh-CN"/>
        </w:rPr>
      </w:pPr>
      <w:r w:rsidRPr="00BE026D">
        <w:rPr>
          <w:rFonts w:ascii="宋体" w:eastAsia="宋体" w:hAnsi="宋体" w:cs="宋体" w:hint="eastAsia"/>
          <w:sz w:val="20"/>
          <w:szCs w:val="20"/>
          <w:lang w:eastAsia="zh-CN"/>
        </w:rPr>
        <w:t>社会认同理论为解释他人物质化现象提供了一个有力的理论框架。通过分析群体归属感、内外群体划分与偏见，社会认同理论揭示了个体在面对群体差异时的心理反应。首先，个体往往对内群体持有高度认同感，并认为内群体成员具有共同的特征和价值观。这种认同感可以增强个体的自我尊重和安全感。然而，与此相对，外群体成员则被视为与内群体不同，甚至是对立的存在，这种心理倾向为物质化奠定了基础。其次，刻板印象是物质化的关键因素之一。刻板印象是对外群体成员的一种简化和固化的看法，通常带有负面色彩。个体通过刻板印象将外群体成员物质化，将他们简化为某些固定的属性，从而忽略其个体性和多样性。</w:t>
      </w:r>
    </w:p>
    <w:p w14:paraId="7049576B" w14:textId="7AD3340B" w:rsidR="00731A83" w:rsidRDefault="00BE026D" w:rsidP="00BE026D">
      <w:pPr>
        <w:spacing w:after="715" w:line="240" w:lineRule="auto"/>
        <w:ind w:left="-5" w:firstLine="415"/>
        <w:rPr>
          <w:rFonts w:ascii="宋体" w:eastAsia="宋体" w:hAnsi="宋体" w:cs="宋体"/>
          <w:sz w:val="20"/>
          <w:szCs w:val="20"/>
          <w:lang w:eastAsia="zh-CN"/>
        </w:rPr>
      </w:pPr>
      <w:r w:rsidRPr="00BE026D">
        <w:rPr>
          <w:rFonts w:ascii="宋体" w:eastAsia="宋体" w:hAnsi="宋体" w:cs="宋体" w:hint="eastAsia"/>
          <w:sz w:val="20"/>
          <w:szCs w:val="20"/>
          <w:lang w:eastAsia="zh-CN"/>
        </w:rPr>
        <w:t>综上所述，社会认同理论为探讨他人物质化现象提供了一个系统的框架。通过分析个体如何通过群体归属感来定义他人，以及这种认知如何导致物质化，本文旨在揭示物质化背后的心理机制及其社会影响。理解他人物质化的过程和动因，不仅有助于解释当今社会中群体冲突的根源，还为减少偏见、促进社会和谐提供了重要启示。</w:t>
      </w:r>
    </w:p>
    <w:p w14:paraId="619879EC" w14:textId="5A482F8A" w:rsidR="004829EA" w:rsidRDefault="00BE026D">
      <w:pPr>
        <w:pStyle w:val="1"/>
        <w:spacing w:line="240" w:lineRule="auto"/>
        <w:ind w:left="410" w:hanging="425"/>
        <w:rPr>
          <w:lang w:eastAsia="zh-CN"/>
        </w:rPr>
      </w:pPr>
      <w:r w:rsidRPr="00BE026D">
        <w:rPr>
          <w:rFonts w:hint="eastAsia"/>
          <w:lang w:eastAsia="zh-CN"/>
        </w:rPr>
        <w:t>社会认同理论概述</w:t>
      </w:r>
    </w:p>
    <w:p w14:paraId="318A3484" w14:textId="19A43B64" w:rsidR="004829EA" w:rsidRDefault="00BE026D">
      <w:pPr>
        <w:pStyle w:val="2"/>
        <w:spacing w:line="240" w:lineRule="auto"/>
        <w:ind w:left="477" w:hanging="492"/>
        <w:rPr>
          <w:lang w:eastAsia="zh-CN"/>
        </w:rPr>
      </w:pPr>
      <w:r w:rsidRPr="00BE026D">
        <w:rPr>
          <w:rFonts w:ascii="黑体" w:eastAsia="黑体" w:hAnsi="黑体" w:cs="黑体" w:hint="eastAsia"/>
          <w:lang w:eastAsia="zh-CN"/>
        </w:rPr>
        <w:t>社会认同理论的起源与发展</w:t>
      </w:r>
    </w:p>
    <w:p w14:paraId="080EEBB5" w14:textId="3450E319" w:rsidR="004829EA" w:rsidRDefault="00882C3B" w:rsidP="00B03763">
      <w:pPr>
        <w:spacing w:after="165" w:line="240" w:lineRule="auto"/>
        <w:ind w:left="-15" w:right="-15" w:firstLine="410"/>
        <w:rPr>
          <w:sz w:val="20"/>
          <w:szCs w:val="20"/>
          <w:lang w:eastAsia="zh-CN"/>
        </w:rPr>
      </w:pPr>
      <w:r w:rsidRPr="00882C3B">
        <w:rPr>
          <w:rFonts w:ascii="宋体" w:eastAsia="宋体" w:hAnsi="宋体" w:cs="宋体" w:hint="eastAsia"/>
          <w:sz w:val="20"/>
          <w:szCs w:val="20"/>
          <w:lang w:eastAsia="zh-CN"/>
        </w:rPr>
        <w:t>社会认同理论的起源可以追溯到</w:t>
      </w:r>
      <w:r w:rsidRPr="00882C3B">
        <w:rPr>
          <w:rFonts w:ascii="宋体" w:eastAsia="宋体" w:hAnsi="宋体" w:cs="宋体"/>
          <w:sz w:val="20"/>
          <w:szCs w:val="20"/>
          <w:lang w:eastAsia="zh-CN"/>
        </w:rPr>
        <w:t>20</w:t>
      </w:r>
      <w:r w:rsidRPr="00882C3B">
        <w:rPr>
          <w:rFonts w:ascii="宋体" w:eastAsia="宋体" w:hAnsi="宋体" w:cs="宋体" w:hint="eastAsia"/>
          <w:sz w:val="20"/>
          <w:szCs w:val="20"/>
          <w:lang w:eastAsia="zh-CN"/>
        </w:rPr>
        <w:t>世纪</w:t>
      </w:r>
      <w:r w:rsidRPr="00882C3B">
        <w:rPr>
          <w:rFonts w:ascii="宋体" w:eastAsia="宋体" w:hAnsi="宋体" w:cs="宋体"/>
          <w:sz w:val="20"/>
          <w:szCs w:val="20"/>
          <w:lang w:eastAsia="zh-CN"/>
        </w:rPr>
        <w:t>70</w:t>
      </w:r>
      <w:r w:rsidRPr="00882C3B">
        <w:rPr>
          <w:rFonts w:ascii="宋体" w:eastAsia="宋体" w:hAnsi="宋体" w:cs="宋体" w:hint="eastAsia"/>
          <w:sz w:val="20"/>
          <w:szCs w:val="20"/>
          <w:lang w:eastAsia="zh-CN"/>
        </w:rPr>
        <w:t>年代，由社会心理学家亨利·塔杰费尔提出。塔杰费尔的初步研究旨在解释个体在社会群体中的身份认同和其对群体成员的认知差异</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。该理论的发展始于他对“最小群体范式”实验的</w:t>
      </w:r>
      <w:r w:rsidRPr="00882C3B">
        <w:rPr>
          <w:rFonts w:ascii="宋体" w:eastAsia="宋体" w:hAnsi="宋体" w:cs="宋体" w:hint="eastAsia"/>
          <w:sz w:val="20"/>
          <w:szCs w:val="20"/>
          <w:lang w:eastAsia="zh-CN"/>
        </w:rPr>
        <w:lastRenderedPageBreak/>
        <w:t>研究，发现即使基于最小差异进行群体划分，个体仍然会表现出明显的群体偏好，倾向于提升“内群体”并贬低“外群体”。在此基础上，塔杰费尔与约翰·特纳进一步发展了社会认同理论，扩展了关于群体归属、社会比较和个体自我概念的研究。随着该理论的成熟，它不仅被用于解释群体之间的冲突与偏见，还被广泛应用于组织行为、跨文化交流和社会心理学等多个领域。</w:t>
      </w:r>
    </w:p>
    <w:p w14:paraId="3F7527F7" w14:textId="7269EDDD" w:rsidR="004829EA" w:rsidRDefault="00BE026D">
      <w:pPr>
        <w:pStyle w:val="2"/>
        <w:spacing w:line="240" w:lineRule="auto"/>
        <w:ind w:left="477" w:hanging="492"/>
        <w:rPr>
          <w:lang w:eastAsia="zh-CN"/>
        </w:rPr>
      </w:pPr>
      <w:r w:rsidRPr="00BE026D">
        <w:rPr>
          <w:rFonts w:ascii="黑体" w:eastAsia="黑体" w:hAnsi="黑体" w:cs="黑体" w:hint="eastAsia"/>
          <w:lang w:eastAsia="zh-CN"/>
        </w:rPr>
        <w:t>群体归属感与内群体和外群体的划分</w:t>
      </w:r>
    </w:p>
    <w:p w14:paraId="0C8B04D4" w14:textId="6E0F0486" w:rsidR="004829EA" w:rsidRDefault="00882C3B">
      <w:pPr>
        <w:spacing w:after="238" w:line="240" w:lineRule="auto"/>
        <w:ind w:left="-5" w:firstLine="482"/>
        <w:rPr>
          <w:rFonts w:ascii="宋体" w:eastAsia="宋体" w:hAnsi="宋体" w:cs="宋体"/>
          <w:sz w:val="20"/>
          <w:szCs w:val="20"/>
          <w:lang w:eastAsia="zh-CN"/>
        </w:rPr>
      </w:pPr>
      <w:r w:rsidRPr="00882C3B">
        <w:rPr>
          <w:rFonts w:ascii="宋体" w:eastAsia="宋体" w:hAnsi="宋体" w:cs="宋体" w:hint="eastAsia"/>
          <w:sz w:val="20"/>
          <w:szCs w:val="20"/>
          <w:lang w:eastAsia="zh-CN"/>
        </w:rPr>
        <w:t>群体归属感是社会认同理论的核心概念之一，它指的是个体通过归属于特定群体而获得的身份认同感。个体往往将自己归类于某一群体（内群体），并对其产生高度的认同和依赖，这种归属感帮助个体增强自尊心和安全感。相应地，个体也会对那些不属于自己群体的成员进行分类，这些被称为外群体</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3</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内群体和外群体的划分是个体在社会情境中处理复杂信息的方式之一，常伴随着内群体偏好，即个体倾向于高估内群体成员的积极特质，低估外群体的价值甚至贬低他们。这种划分不仅影响了个体对群体成员的认知，还在情感和行为层面上导致了偏见、歧视和群体间的冲突。</w:t>
      </w:r>
    </w:p>
    <w:p w14:paraId="4C44E12D" w14:textId="744211C9" w:rsidR="004829EA" w:rsidRDefault="00BE026D">
      <w:pPr>
        <w:pStyle w:val="2"/>
        <w:spacing w:line="240" w:lineRule="auto"/>
        <w:ind w:left="477" w:hanging="492"/>
        <w:rPr>
          <w:rFonts w:ascii="黑体" w:eastAsia="黑体" w:hAnsi="黑体" w:cs="黑体"/>
          <w:lang w:eastAsia="zh-CN"/>
        </w:rPr>
      </w:pPr>
      <w:r w:rsidRPr="00BE026D">
        <w:rPr>
          <w:rFonts w:ascii="黑体" w:eastAsia="黑体" w:hAnsi="黑体" w:cs="黑体" w:hint="eastAsia"/>
          <w:lang w:eastAsia="zh-CN"/>
        </w:rPr>
        <w:t>社会认同与个体身份认知</w:t>
      </w:r>
    </w:p>
    <w:p w14:paraId="1E424006" w14:textId="5CBF53FE" w:rsidR="00B708D5" w:rsidRDefault="00882C3B" w:rsidP="00B708D5">
      <w:pPr>
        <w:spacing w:after="715" w:line="240" w:lineRule="auto"/>
        <w:ind w:left="-5" w:firstLine="415"/>
        <w:rPr>
          <w:rFonts w:ascii="宋体" w:eastAsia="宋体" w:hAnsi="宋体" w:cs="宋体"/>
          <w:sz w:val="20"/>
          <w:szCs w:val="20"/>
          <w:lang w:eastAsia="zh-CN"/>
        </w:rPr>
      </w:pPr>
      <w:r w:rsidRPr="00882C3B">
        <w:rPr>
          <w:rFonts w:ascii="宋体" w:eastAsia="宋体" w:hAnsi="宋体" w:cs="宋体" w:hint="eastAsia"/>
          <w:sz w:val="20"/>
          <w:szCs w:val="20"/>
          <w:lang w:eastAsia="zh-CN"/>
        </w:rPr>
        <w:t>社会认同是个体身份认知的重要组成部分，它指的是个体通过与某一社会群体的归属感来定义自己。根据社会认同理论，个体的身份不仅来自于个人特质，还源于他们所归属的社会群体。这种认同能够增强个体的自尊感和归属感，使其感到在群体中具有独特的意义。个体身份认知的形成过程包括将自己与他人进行社会比较，并通过这一过程确立自己的社会位置和价值。当个体认同某一群体时，群体的特征、规范和价值观会成为其自我概念的一部分，进而影响他们的态度、行为和对外部世界的理解。通过这种方式，社会认同不仅塑造了个体对自我的认知，还对他们的社会行为产生了深远的影响。</w:t>
      </w:r>
    </w:p>
    <w:p w14:paraId="7704CC4F" w14:textId="7FC82DA3" w:rsidR="004829EA" w:rsidRDefault="00BE026D">
      <w:pPr>
        <w:pStyle w:val="1"/>
        <w:spacing w:after="213" w:line="240" w:lineRule="auto"/>
        <w:ind w:left="410" w:hanging="425"/>
        <w:rPr>
          <w:lang w:eastAsia="zh-CN"/>
        </w:rPr>
      </w:pPr>
      <w:r w:rsidRPr="00BE026D">
        <w:rPr>
          <w:rFonts w:hint="eastAsia"/>
          <w:lang w:eastAsia="zh-CN"/>
        </w:rPr>
        <w:t>他人物质化现象的定义与表现</w:t>
      </w:r>
    </w:p>
    <w:p w14:paraId="0E1EFB72" w14:textId="5267CAA6" w:rsidR="004829EA" w:rsidRDefault="00BE026D">
      <w:pPr>
        <w:pStyle w:val="2"/>
        <w:spacing w:line="240" w:lineRule="auto"/>
        <w:ind w:left="477" w:hanging="492"/>
        <w:rPr>
          <w:lang w:eastAsia="zh-CN"/>
        </w:rPr>
      </w:pPr>
      <w:r w:rsidRPr="00BE026D">
        <w:rPr>
          <w:rFonts w:ascii="黑体" w:eastAsia="黑体" w:hAnsi="黑体" w:cs="黑体" w:hint="eastAsia"/>
          <w:lang w:eastAsia="zh-CN"/>
        </w:rPr>
        <w:t>他人物质化的概念界定</w:t>
      </w:r>
    </w:p>
    <w:p w14:paraId="55A10AEC" w14:textId="4273097D" w:rsidR="004829EA" w:rsidRDefault="00882C3B">
      <w:pPr>
        <w:spacing w:after="104" w:line="240" w:lineRule="auto"/>
        <w:ind w:left="-15" w:right="-15" w:firstLine="410"/>
        <w:rPr>
          <w:sz w:val="20"/>
          <w:szCs w:val="20"/>
          <w:lang w:eastAsia="zh-CN"/>
        </w:rPr>
      </w:pPr>
      <w:r w:rsidRPr="00882C3B">
        <w:rPr>
          <w:rFonts w:ascii="宋体" w:eastAsia="宋体" w:hAnsi="宋体" w:cs="宋体" w:hint="eastAsia"/>
          <w:sz w:val="20"/>
          <w:szCs w:val="20"/>
          <w:lang w:eastAsia="zh-CN"/>
        </w:rPr>
        <w:t>他人</w:t>
      </w:r>
      <w:proofErr w:type="gramStart"/>
      <w:r w:rsidRPr="00882C3B">
        <w:rPr>
          <w:rFonts w:ascii="宋体" w:eastAsia="宋体" w:hAnsi="宋体" w:cs="宋体" w:hint="eastAsia"/>
          <w:sz w:val="20"/>
          <w:szCs w:val="20"/>
          <w:lang w:eastAsia="zh-CN"/>
        </w:rPr>
        <w:t>物质化指</w:t>
      </w:r>
      <w:proofErr w:type="gramEnd"/>
      <w:r w:rsidRPr="00882C3B">
        <w:rPr>
          <w:rFonts w:ascii="宋体" w:eastAsia="宋体" w:hAnsi="宋体" w:cs="宋体" w:hint="eastAsia"/>
          <w:sz w:val="20"/>
          <w:szCs w:val="20"/>
          <w:lang w:eastAsia="zh-CN"/>
        </w:rPr>
        <w:t>的是将他人视为缺乏独立人格、情感和内在价值的对象，而不是具有完整个体性的独立人类</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这一现象通常发生在个体或群体面对外群体成员时，特别是在刻板印象和歧视盛行的社会背景下。物质化的过程将他人简化为工具或符号，忽略了他们作为复杂个体的独特性和多样性。在这种情况下，外群体成员往往被剥夺了其人性特质，变成了某种被动的“他者”，无法享有与内群体成员相同的尊重和对待。这种物质化不仅局限于心理认知层面，还可能表现为在社会、经济和政治制度中的不公平待遇，甚至在极端情况下导致暴力和冲突的发生。</w:t>
      </w:r>
    </w:p>
    <w:p w14:paraId="1E2CD6A7" w14:textId="4A569241" w:rsidR="004829EA" w:rsidRDefault="00BE026D">
      <w:pPr>
        <w:pStyle w:val="2"/>
        <w:spacing w:line="240" w:lineRule="auto"/>
        <w:ind w:left="477" w:hanging="492"/>
        <w:rPr>
          <w:lang w:eastAsia="zh-CN"/>
        </w:rPr>
      </w:pPr>
      <w:r w:rsidRPr="00BE026D">
        <w:rPr>
          <w:rFonts w:ascii="黑体" w:eastAsia="黑体" w:hAnsi="黑体" w:cs="黑体" w:hint="eastAsia"/>
          <w:lang w:eastAsia="zh-CN"/>
        </w:rPr>
        <w:t>他人物质化在日常生活中的常见表现</w:t>
      </w:r>
    </w:p>
    <w:p w14:paraId="3A33A46A" w14:textId="6D9B1026" w:rsidR="00D71B29" w:rsidRPr="00BB45A7" w:rsidRDefault="00882C3B" w:rsidP="00D71B29">
      <w:pPr>
        <w:spacing w:after="104" w:line="240" w:lineRule="auto"/>
        <w:ind w:left="-15" w:right="-15" w:firstLine="410"/>
        <w:rPr>
          <w:lang w:eastAsia="zh-CN"/>
        </w:rPr>
      </w:pPr>
      <w:r w:rsidRPr="00882C3B">
        <w:rPr>
          <w:rFonts w:ascii="宋体" w:eastAsia="宋体" w:hAnsi="宋体" w:cs="宋体" w:hint="eastAsia"/>
          <w:sz w:val="20"/>
          <w:szCs w:val="20"/>
          <w:lang w:eastAsia="zh-CN"/>
        </w:rPr>
        <w:t>在日常生活中，他人物质化的表现形式多种多样，常见的例子包括通过刻板印象、标签化、和非人性化的语言或行为来对待他人。刻板印象将某个群体的成员简化为某些固定的特征，例如基于种族、性别或社会地位的偏见，使个体失去了独特性和多样性</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标签化则是通过某些简单的符号或语言来定义整个群体，忽略其个体差异，常见的例子包括将某些职业群体称作“工具”或“螺丝钉”。非人性化的行为则体现在对待他人时缺乏基本的尊重和同情心，常见于服务行业中客户对服务人员的冷漠对待，或在社交媒体上对他人的攻击性言论。这种物质化的表现不仅影响人际关系，还在潜移默化中加剧了社会不平等和偏见的扩散。</w:t>
      </w:r>
    </w:p>
    <w:p w14:paraId="09C4482E" w14:textId="26976843" w:rsidR="003C7B1C" w:rsidRDefault="00BE026D" w:rsidP="003C7B1C">
      <w:pPr>
        <w:pStyle w:val="2"/>
        <w:spacing w:line="240" w:lineRule="auto"/>
        <w:ind w:left="477" w:hanging="492"/>
        <w:rPr>
          <w:lang w:eastAsia="zh-CN"/>
        </w:rPr>
      </w:pPr>
      <w:r w:rsidRPr="00BE026D">
        <w:rPr>
          <w:rFonts w:ascii="黑体" w:eastAsia="黑体" w:hAnsi="黑体" w:cs="黑体" w:hint="eastAsia"/>
          <w:lang w:eastAsia="zh-CN"/>
        </w:rPr>
        <w:t>他人物质化对个体及群体的影响</w:t>
      </w:r>
    </w:p>
    <w:p w14:paraId="5C8B9906" w14:textId="63EC8A55" w:rsidR="00D71B29" w:rsidRDefault="00882C3B" w:rsidP="00D71B29">
      <w:pPr>
        <w:spacing w:after="715" w:line="240" w:lineRule="auto"/>
        <w:ind w:left="-5" w:firstLine="415"/>
        <w:rPr>
          <w:rFonts w:ascii="宋体" w:eastAsia="宋体" w:hAnsi="宋体" w:cs="宋体"/>
          <w:sz w:val="20"/>
          <w:szCs w:val="20"/>
          <w:lang w:eastAsia="zh-CN"/>
        </w:rPr>
      </w:pPr>
      <w:r w:rsidRPr="00882C3B">
        <w:rPr>
          <w:rFonts w:ascii="宋体" w:eastAsia="宋体" w:hAnsi="宋体" w:cs="宋体" w:hint="eastAsia"/>
          <w:sz w:val="20"/>
          <w:szCs w:val="20"/>
          <w:lang w:eastAsia="zh-CN"/>
        </w:rPr>
        <w:t>他人物质化对个体及群体的影响深远且多层面。对于个体而言，被物质化往往伴随着身份的丧失，</w:t>
      </w:r>
      <w:proofErr w:type="gramStart"/>
      <w:r w:rsidRPr="00882C3B">
        <w:rPr>
          <w:rFonts w:ascii="宋体" w:eastAsia="宋体" w:hAnsi="宋体" w:cs="宋体" w:hint="eastAsia"/>
          <w:sz w:val="20"/>
          <w:szCs w:val="20"/>
          <w:lang w:eastAsia="zh-CN"/>
        </w:rPr>
        <w:t>个</w:t>
      </w:r>
      <w:proofErr w:type="gramEnd"/>
      <w:r w:rsidRPr="00882C3B">
        <w:rPr>
          <w:rFonts w:ascii="宋体" w:eastAsia="宋体" w:hAnsi="宋体" w:cs="宋体" w:hint="eastAsia"/>
          <w:sz w:val="20"/>
          <w:szCs w:val="20"/>
          <w:lang w:eastAsia="zh-CN"/>
        </w:rPr>
        <w:t>体被视为无个性、无情感的工具，导致其自尊心受损，甚至引发焦虑、抑郁等心理健康问题</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此外，物质化使个体在社会互动中感到被边缘化，减少了归属感和社会参与感，削弱了其社会认同。对于群体而言，物质化不仅加剧了内外群体的对立，还导致外群体成员受到不公平的待遇、歧视甚至暴力对待。它削弱了群体之间的信任，阻碍了跨群体的合作与沟通，进而恶化了社会关系。长期来看，物质化现象会加深社会分裂，助长不平等和排斥，使得社会更加分裂和对立。</w:t>
      </w:r>
    </w:p>
    <w:p w14:paraId="0A9FC68F" w14:textId="41C2CCF5" w:rsidR="004829EA" w:rsidRDefault="00BE026D">
      <w:pPr>
        <w:pStyle w:val="1"/>
        <w:spacing w:line="240" w:lineRule="auto"/>
        <w:ind w:left="410" w:hanging="425"/>
        <w:rPr>
          <w:lang w:eastAsia="zh-CN"/>
        </w:rPr>
      </w:pPr>
      <w:r w:rsidRPr="00BE026D">
        <w:rPr>
          <w:rFonts w:hint="eastAsia"/>
          <w:lang w:eastAsia="zh-CN"/>
        </w:rPr>
        <w:lastRenderedPageBreak/>
        <w:t>社会认同理论对他人物质化的解释</w:t>
      </w:r>
    </w:p>
    <w:p w14:paraId="2E911B91" w14:textId="38F22B35" w:rsidR="004829EA" w:rsidRDefault="00BE026D">
      <w:pPr>
        <w:pStyle w:val="2"/>
        <w:spacing w:after="211" w:line="240" w:lineRule="auto"/>
        <w:ind w:left="477" w:hanging="492"/>
        <w:rPr>
          <w:lang w:eastAsia="zh-CN"/>
        </w:rPr>
      </w:pPr>
      <w:r w:rsidRPr="00BE026D">
        <w:rPr>
          <w:rFonts w:ascii="黑体" w:eastAsia="黑体" w:hAnsi="黑体" w:cs="黑体" w:hint="eastAsia"/>
          <w:lang w:eastAsia="zh-CN"/>
        </w:rPr>
        <w:t>内群体偏好与外群体贬低</w:t>
      </w:r>
    </w:p>
    <w:p w14:paraId="0FDB4552" w14:textId="1CD84EBF" w:rsidR="004829EA" w:rsidRDefault="00882C3B" w:rsidP="00BB45A7">
      <w:pPr>
        <w:spacing w:after="104" w:line="240" w:lineRule="auto"/>
        <w:ind w:left="-15" w:right="-15" w:firstLine="410"/>
        <w:rPr>
          <w:sz w:val="20"/>
          <w:szCs w:val="20"/>
          <w:lang w:eastAsia="zh-CN"/>
        </w:rPr>
      </w:pPr>
      <w:r w:rsidRPr="00882C3B">
        <w:rPr>
          <w:rFonts w:ascii="宋体" w:eastAsia="宋体" w:hAnsi="宋体" w:cs="宋体" w:hint="eastAsia"/>
          <w:sz w:val="20"/>
          <w:szCs w:val="20"/>
          <w:lang w:eastAsia="zh-CN"/>
        </w:rPr>
        <w:t>内群体偏好与外群体贬低是社会认同理论中的核心现象，指的是个体在认同某一群体（内群体）后，倾向于高估内群体的积极特质，同时对外群体持有消极的看法。内群体偏好表现为对内群体成员的认同和保护，</w:t>
      </w:r>
      <w:proofErr w:type="gramStart"/>
      <w:r w:rsidRPr="00882C3B">
        <w:rPr>
          <w:rFonts w:ascii="宋体" w:eastAsia="宋体" w:hAnsi="宋体" w:cs="宋体" w:hint="eastAsia"/>
          <w:sz w:val="20"/>
          <w:szCs w:val="20"/>
          <w:lang w:eastAsia="zh-CN"/>
        </w:rPr>
        <w:t>个</w:t>
      </w:r>
      <w:proofErr w:type="gramEnd"/>
      <w:r w:rsidRPr="00882C3B">
        <w:rPr>
          <w:rFonts w:ascii="宋体" w:eastAsia="宋体" w:hAnsi="宋体" w:cs="宋体" w:hint="eastAsia"/>
          <w:sz w:val="20"/>
          <w:szCs w:val="20"/>
          <w:lang w:eastAsia="zh-CN"/>
        </w:rPr>
        <w:t>体会认为内群体成员更值得信任、能力更强、道德水平更高，从而增强自我尊重感。而外群体贬低则是个体对外群体成员的负面评价，包括刻板印象、歧视性态度以及贬低他们的价值或重要性。这种心理机制常伴随着物质化的过程，外群体成员被简化为缺乏人性或情感的对象，进一步加剧了社会偏见和歧视。内群体偏好与外群体贬低不仅影响个体间的互动，还在更大范围内加剧了群体间的对立，阻碍了社会的包容与合作。</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p>
    <w:p w14:paraId="69FF24BE" w14:textId="10F03DF5" w:rsidR="004829EA" w:rsidRDefault="00BE026D">
      <w:pPr>
        <w:pStyle w:val="2"/>
        <w:spacing w:after="150" w:line="240" w:lineRule="auto"/>
        <w:ind w:left="477" w:hanging="492"/>
        <w:rPr>
          <w:lang w:eastAsia="zh-CN"/>
        </w:rPr>
      </w:pPr>
      <w:r w:rsidRPr="00BE026D">
        <w:rPr>
          <w:rFonts w:ascii="黑体" w:eastAsia="黑体" w:hAnsi="黑体" w:cs="黑体" w:hint="eastAsia"/>
          <w:lang w:eastAsia="zh-CN"/>
        </w:rPr>
        <w:t>他人物质化与刻板印象的关系</w:t>
      </w:r>
    </w:p>
    <w:p w14:paraId="6C03A7E8" w14:textId="614E93A2" w:rsidR="00D71B29" w:rsidRDefault="00882C3B" w:rsidP="006A4B77">
      <w:pPr>
        <w:spacing w:after="104" w:line="240" w:lineRule="auto"/>
        <w:ind w:left="-15" w:right="-15" w:firstLine="410"/>
        <w:rPr>
          <w:sz w:val="20"/>
          <w:szCs w:val="20"/>
          <w:lang w:eastAsia="zh-CN"/>
        </w:rPr>
      </w:pPr>
      <w:r w:rsidRPr="00882C3B">
        <w:rPr>
          <w:rFonts w:ascii="宋体" w:eastAsia="宋体" w:hAnsi="宋体" w:cs="宋体" w:hint="eastAsia"/>
          <w:sz w:val="20"/>
          <w:szCs w:val="20"/>
          <w:lang w:eastAsia="zh-CN"/>
        </w:rPr>
        <w:t>他人物质化与刻板印象之间存在紧密的联系，刻板印象是他人物质化的重要推动因素。刻板印象是指人们对某一群体的固定化、简化的看法，往往忽略了群体成员的个体差异，将他们归结为某些特定的特征或行为模式</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当个体对外群体持有刻板印象时，外群体成员很容易被物质化，即被视为具有某种单一特质的对象，而非有复杂个性和情感的个体。例如，基于性别或种族的刻板印象使得外群体成员被简化为某种“类型”或“标签”，从而丧失了个体独特性和人性。刻板印象通过强化群体间的差异，促使外群体成员被去人性化或物质化，进一步加剧了偏见和歧视。因此，刻板印象不仅是一种认知上的误解，也是一种社会现象，它在物质化他人的过程中扮演了关键角色，阻碍了跨群体的理解与合作。</w:t>
      </w:r>
    </w:p>
    <w:p w14:paraId="41528743" w14:textId="025DC785" w:rsidR="00D71B29" w:rsidRDefault="00BE026D" w:rsidP="00D71B29">
      <w:pPr>
        <w:pStyle w:val="2"/>
        <w:spacing w:after="150" w:line="240" w:lineRule="auto"/>
        <w:ind w:left="477" w:hanging="492"/>
        <w:rPr>
          <w:lang w:eastAsia="zh-CN"/>
        </w:rPr>
      </w:pPr>
      <w:r w:rsidRPr="00BE026D">
        <w:rPr>
          <w:rFonts w:ascii="黑体" w:eastAsia="黑体" w:hAnsi="黑体" w:cs="黑体" w:hint="eastAsia"/>
          <w:lang w:eastAsia="zh-CN"/>
        </w:rPr>
        <w:t>去人性化和物质化的心理机制</w:t>
      </w:r>
    </w:p>
    <w:p w14:paraId="05C713E2" w14:textId="3455A408" w:rsidR="00D71B29" w:rsidRDefault="00882C3B" w:rsidP="00D71B29">
      <w:pPr>
        <w:spacing w:after="867" w:line="240" w:lineRule="auto"/>
        <w:ind w:left="-5" w:firstLine="482"/>
        <w:rPr>
          <w:rFonts w:ascii="宋体" w:eastAsia="宋体" w:hAnsi="宋体" w:cs="宋体"/>
          <w:sz w:val="20"/>
          <w:szCs w:val="20"/>
          <w:lang w:eastAsia="zh-CN"/>
        </w:rPr>
      </w:pPr>
      <w:r w:rsidRPr="00882C3B">
        <w:rPr>
          <w:rFonts w:ascii="宋体" w:eastAsia="宋体" w:hAnsi="宋体" w:cs="宋体" w:hint="eastAsia"/>
          <w:sz w:val="20"/>
          <w:szCs w:val="20"/>
          <w:lang w:eastAsia="zh-CN"/>
        </w:rPr>
        <w:t>去人性化和物质化的心理机制是通过简化、否认或贬低他人的人性特征，使外群体成员被视为无情感、无道德需求的对象。这种机制的核心在于通过群体归属感来强化内外群体的区分，使得外群体成员被剥夺了同等的人性待遇</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。在去人性化的过程中，个体倾向于将外群体视为“他者”，忽视他们的感受、权利和复杂性。这种心理机制受到刻板印象和偏见的推动，个体通过将外群体简化为具备固定特征的对象，来减轻对外群体的</w:t>
      </w:r>
      <w:proofErr w:type="gramStart"/>
      <w:r w:rsidRPr="00882C3B">
        <w:rPr>
          <w:rFonts w:ascii="宋体" w:eastAsia="宋体" w:hAnsi="宋体" w:cs="宋体" w:hint="eastAsia"/>
          <w:sz w:val="20"/>
          <w:szCs w:val="20"/>
          <w:lang w:eastAsia="zh-CN"/>
        </w:rPr>
        <w:t>同理心</w:t>
      </w:r>
      <w:proofErr w:type="gramEnd"/>
      <w:r w:rsidRPr="00882C3B">
        <w:rPr>
          <w:rFonts w:ascii="宋体" w:eastAsia="宋体" w:hAnsi="宋体" w:cs="宋体" w:hint="eastAsia"/>
          <w:sz w:val="20"/>
          <w:szCs w:val="20"/>
          <w:lang w:eastAsia="zh-CN"/>
        </w:rPr>
        <w:t>和道德责任感。物质化进一步深化了去人性化的过程，使外群体成员不仅被视为低于内群体，甚至被看作是工具或资源而非有自主性的人类。研究表明，去人性化和物质化的心理机制能够降低个体对他人的情感投入，促使社会中的冷漠、歧视甚至暴力行为的产生。这一过程不仅加剧了群体间的对立，还为不公正的社会结构提供了心理上的合理化依据。</w:t>
      </w:r>
    </w:p>
    <w:p w14:paraId="0FDF0B77" w14:textId="77777777" w:rsidR="004829EA" w:rsidRDefault="00000000">
      <w:pPr>
        <w:pStyle w:val="1"/>
        <w:spacing w:line="240" w:lineRule="auto"/>
        <w:ind w:left="410" w:hanging="425"/>
      </w:pPr>
      <w:r>
        <w:t>结语</w:t>
      </w:r>
    </w:p>
    <w:p w14:paraId="094AEBC9" w14:textId="4771204F" w:rsidR="004829EA" w:rsidRPr="00D71B29" w:rsidRDefault="00882C3B" w:rsidP="00882C3B">
      <w:pPr>
        <w:spacing w:after="867" w:line="240" w:lineRule="auto"/>
        <w:ind w:left="-5" w:firstLine="482"/>
        <w:rPr>
          <w:rFonts w:ascii="宋体" w:eastAsia="宋体" w:hAnsi="宋体" w:cs="宋体"/>
          <w:sz w:val="20"/>
          <w:szCs w:val="20"/>
          <w:lang w:eastAsia="zh-CN"/>
        </w:rPr>
      </w:pPr>
      <w:r w:rsidRPr="00882C3B">
        <w:rPr>
          <w:rFonts w:ascii="宋体" w:eastAsia="宋体" w:hAnsi="宋体" w:cs="宋体" w:hint="eastAsia"/>
          <w:sz w:val="20"/>
          <w:szCs w:val="20"/>
          <w:lang w:eastAsia="zh-CN"/>
        </w:rPr>
        <w:t>社会认同理论为理解他人物质化现象提供了一个系统的理论框架。通过分析个体如何通过群体归属感来划分内外群体，并在此过程中产生偏见和刻板印象，本文揭示了他人物质化的心理机制及其社会后果。内群体偏好和外群体贬低作为关键的心理驱动因素，促使外群体成员被去人性化和物质化，个体将他人视为无个性、无情感的对象，进而在情感和行为上表现出冷漠和排斥</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10</w:t>
      </w:r>
      <w:r>
        <w:rPr>
          <w:rFonts w:ascii="Times New Roman" w:eastAsia="Times New Roman" w:hAnsi="Times New Roman" w:cs="Times New Roman"/>
          <w:sz w:val="20"/>
          <w:szCs w:val="20"/>
          <w:vertAlign w:val="superscript"/>
          <w:lang w:eastAsia="zh-CN"/>
        </w:rPr>
        <w:t>]</w:t>
      </w:r>
      <w:r w:rsidRPr="00882C3B">
        <w:rPr>
          <w:rFonts w:ascii="宋体" w:eastAsia="宋体" w:hAnsi="宋体" w:cs="宋体" w:hint="eastAsia"/>
          <w:sz w:val="20"/>
          <w:szCs w:val="20"/>
          <w:lang w:eastAsia="zh-CN"/>
        </w:rPr>
        <w:t>。这种现象不仅对被物质化的个体产生了严重的心理伤害，如自尊心受损和社会孤立感，还加剧了群体之间的对立和冲突，阻碍了跨群体的理解与合作。此外，物质化现象在更广泛的社会层面上也可能导致不公平的制度安排和社会不公现象的持续。为了缓解他人物质化现象，我们需要采取多种策略，例如通过教育和公共宣传，减少刻板印象的传播，并鼓励跨群体的交流与合作，增强社会的包容性。同时，个体也应提高对自己认知偏见的觉察，主动反思自己在日常生活中是否存在物质化他人的倾向。社会认同理论为我们理解和解决这一问题提供了重要的理论工具，而应对他人物质化的关键在于通过包容和尊重来促进群体间的平等与理解，从而构建一个更加和谐的社会。</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13FF9938"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兰佳睿</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心理概念的类化与物化——现代汉语心理动词物量表达方式考察</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宁德师范学院学报</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哲学社会科学版</w:t>
      </w:r>
      <w:r w:rsidRPr="009F6335">
        <w:rPr>
          <w:rFonts w:ascii="宋体" w:eastAsia="宋体" w:hAnsi="宋体" w:cs="宋体"/>
          <w:sz w:val="20"/>
          <w:szCs w:val="20"/>
          <w:lang w:eastAsia="zh-CN"/>
        </w:rPr>
        <w:t>),2013(04):46-50.</w:t>
      </w:r>
    </w:p>
    <w:p w14:paraId="4FA5BECD"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曹鹏飞</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少数民族群众“五个认同”心理分析</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基于社会认同理论</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党史博采</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理论</w:t>
      </w:r>
      <w:r w:rsidRPr="009F6335">
        <w:rPr>
          <w:rFonts w:ascii="宋体" w:eastAsia="宋体" w:hAnsi="宋体" w:cs="宋体"/>
          <w:sz w:val="20"/>
          <w:szCs w:val="20"/>
          <w:lang w:eastAsia="zh-CN"/>
        </w:rPr>
        <w:t>),2017(20):35-36.</w:t>
      </w:r>
    </w:p>
    <w:p w14:paraId="2495A6ED"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lastRenderedPageBreak/>
        <w:t>俞睿玮</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基于社会认同理论对后进</w:t>
      </w:r>
      <w:proofErr w:type="gramStart"/>
      <w:r w:rsidRPr="009F6335">
        <w:rPr>
          <w:rFonts w:ascii="宋体" w:eastAsia="宋体" w:hAnsi="宋体" w:cs="宋体" w:hint="eastAsia"/>
          <w:sz w:val="20"/>
          <w:szCs w:val="20"/>
          <w:lang w:eastAsia="zh-CN"/>
        </w:rPr>
        <w:t>生心理</w:t>
      </w:r>
      <w:proofErr w:type="gramEnd"/>
      <w:r w:rsidRPr="009F6335">
        <w:rPr>
          <w:rFonts w:ascii="宋体" w:eastAsia="宋体" w:hAnsi="宋体" w:cs="宋体" w:hint="eastAsia"/>
          <w:sz w:val="20"/>
          <w:szCs w:val="20"/>
          <w:lang w:eastAsia="zh-CN"/>
        </w:rPr>
        <w:t>机制及转化策略的探析</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辽宁教育行政学院学报</w:t>
      </w:r>
      <w:r w:rsidRPr="009F6335">
        <w:rPr>
          <w:rFonts w:ascii="宋体" w:eastAsia="宋体" w:hAnsi="宋体" w:cs="宋体"/>
          <w:sz w:val="20"/>
          <w:szCs w:val="20"/>
          <w:lang w:eastAsia="zh-CN"/>
        </w:rPr>
        <w:t>,2016,33(03):</w:t>
      </w:r>
      <w:proofErr w:type="gramStart"/>
      <w:r w:rsidRPr="009F6335">
        <w:rPr>
          <w:rFonts w:ascii="宋体" w:eastAsia="宋体" w:hAnsi="宋体" w:cs="宋体"/>
          <w:sz w:val="20"/>
          <w:szCs w:val="20"/>
          <w:lang w:eastAsia="zh-CN"/>
        </w:rPr>
        <w:t>11-14.DOI:10.13972/j.cnki.cn</w:t>
      </w:r>
      <w:proofErr w:type="gramEnd"/>
      <w:r w:rsidRPr="009F6335">
        <w:rPr>
          <w:rFonts w:ascii="宋体" w:eastAsia="宋体" w:hAnsi="宋体" w:cs="宋体"/>
          <w:sz w:val="20"/>
          <w:szCs w:val="20"/>
          <w:lang w:eastAsia="zh-CN"/>
        </w:rPr>
        <w:t>21-1500/g4.2016.03.003.</w:t>
      </w:r>
    </w:p>
    <w:p w14:paraId="1C318D85"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proofErr w:type="gramStart"/>
      <w:r w:rsidRPr="009F6335">
        <w:rPr>
          <w:rFonts w:ascii="宋体" w:eastAsia="宋体" w:hAnsi="宋体" w:cs="宋体" w:hint="eastAsia"/>
          <w:sz w:val="20"/>
          <w:szCs w:val="20"/>
          <w:lang w:eastAsia="zh-CN"/>
        </w:rPr>
        <w:t>韦庆旺</w:t>
      </w:r>
      <w:proofErr w:type="gramEnd"/>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谢天</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群体心理研究</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群际关系为核心的变革</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黑龙江社会科学</w:t>
      </w:r>
      <w:r w:rsidRPr="009F6335">
        <w:rPr>
          <w:rFonts w:ascii="宋体" w:eastAsia="宋体" w:hAnsi="宋体" w:cs="宋体"/>
          <w:sz w:val="20"/>
          <w:szCs w:val="20"/>
          <w:lang w:eastAsia="zh-CN"/>
        </w:rPr>
        <w:t>,2012(03):96-100.</w:t>
      </w:r>
    </w:p>
    <w:p w14:paraId="340EDC5E"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黄匡时</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嘎日达</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社会融合理论研究综述</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新视野</w:t>
      </w:r>
      <w:r w:rsidRPr="009F6335">
        <w:rPr>
          <w:rFonts w:ascii="宋体" w:eastAsia="宋体" w:hAnsi="宋体" w:cs="宋体"/>
          <w:sz w:val="20"/>
          <w:szCs w:val="20"/>
          <w:lang w:eastAsia="zh-CN"/>
        </w:rPr>
        <w:t>,2010(06):86-88.</w:t>
      </w:r>
    </w:p>
    <w:p w14:paraId="3928CCB4"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王歆</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认同理论的起源、发展与评述</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新疆社科论坛</w:t>
      </w:r>
      <w:r w:rsidRPr="009F6335">
        <w:rPr>
          <w:rFonts w:ascii="宋体" w:eastAsia="宋体" w:hAnsi="宋体" w:cs="宋体"/>
          <w:sz w:val="20"/>
          <w:szCs w:val="20"/>
          <w:lang w:eastAsia="zh-CN"/>
        </w:rPr>
        <w:t>,2009(02):78-83.</w:t>
      </w:r>
    </w:p>
    <w:p w14:paraId="6D41E4F6"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伍麟</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侯春娜</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刘志军</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群体参照效应的研究进展与未来研究路径</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华中师范大学学报</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人文社会科学版</w:t>
      </w:r>
      <w:r w:rsidRPr="009F6335">
        <w:rPr>
          <w:rFonts w:ascii="宋体" w:eastAsia="宋体" w:hAnsi="宋体" w:cs="宋体"/>
          <w:sz w:val="20"/>
          <w:szCs w:val="20"/>
          <w:lang w:eastAsia="zh-CN"/>
        </w:rPr>
        <w:t>),2013,52(04):168-176.</w:t>
      </w:r>
    </w:p>
    <w:p w14:paraId="13F9ADD3"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卢忠仁</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庄生晓梦迷蝴蝶”——“庄梦”及“物化”审美心理简论</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美与时代</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下</w:t>
      </w:r>
      <w:r w:rsidRPr="009F6335">
        <w:rPr>
          <w:rFonts w:ascii="宋体" w:eastAsia="宋体" w:hAnsi="宋体" w:cs="宋体"/>
          <w:sz w:val="20"/>
          <w:szCs w:val="20"/>
          <w:lang w:eastAsia="zh-CN"/>
        </w:rPr>
        <w:t>),2018(12):</w:t>
      </w:r>
      <w:proofErr w:type="gramStart"/>
      <w:r w:rsidRPr="009F6335">
        <w:rPr>
          <w:rFonts w:ascii="宋体" w:eastAsia="宋体" w:hAnsi="宋体" w:cs="宋体"/>
          <w:sz w:val="20"/>
          <w:szCs w:val="20"/>
          <w:lang w:eastAsia="zh-CN"/>
        </w:rPr>
        <w:t>48-51.DOI:10.16129/j.cnki.mysdx</w:t>
      </w:r>
      <w:proofErr w:type="gramEnd"/>
      <w:r w:rsidRPr="009F6335">
        <w:rPr>
          <w:rFonts w:ascii="宋体" w:eastAsia="宋体" w:hAnsi="宋体" w:cs="宋体"/>
          <w:sz w:val="20"/>
          <w:szCs w:val="20"/>
          <w:lang w:eastAsia="zh-CN"/>
        </w:rPr>
        <w:t>.2018.12.009.</w:t>
      </w:r>
    </w:p>
    <w:p w14:paraId="6C8E4640" w14:textId="77777777" w:rsidR="009F6335" w:rsidRPr="009F6335" w:rsidRDefault="009F6335" w:rsidP="009F6335">
      <w:pPr>
        <w:numPr>
          <w:ilvl w:val="0"/>
          <w:numId w:val="2"/>
        </w:numPr>
        <w:spacing w:after="40" w:line="240" w:lineRule="auto"/>
        <w:rPr>
          <w:rFonts w:ascii="宋体" w:eastAsia="宋体" w:hAnsi="宋体" w:cs="宋体"/>
          <w:sz w:val="20"/>
          <w:szCs w:val="20"/>
          <w:lang w:eastAsia="zh-CN"/>
        </w:rPr>
      </w:pPr>
      <w:r w:rsidRPr="009F6335">
        <w:rPr>
          <w:rFonts w:ascii="宋体" w:eastAsia="宋体" w:hAnsi="宋体" w:cs="宋体" w:hint="eastAsia"/>
          <w:sz w:val="20"/>
          <w:szCs w:val="20"/>
          <w:lang w:eastAsia="zh-CN"/>
        </w:rPr>
        <w:t>张建新</w:t>
      </w:r>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人文心理学溯源及特征</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心理技术与应用</w:t>
      </w:r>
      <w:r w:rsidRPr="009F6335">
        <w:rPr>
          <w:rFonts w:ascii="宋体" w:eastAsia="宋体" w:hAnsi="宋体" w:cs="宋体"/>
          <w:sz w:val="20"/>
          <w:szCs w:val="20"/>
          <w:lang w:eastAsia="zh-CN"/>
        </w:rPr>
        <w:t>,2023,11(01):</w:t>
      </w:r>
      <w:proofErr w:type="gramStart"/>
      <w:r w:rsidRPr="009F6335">
        <w:rPr>
          <w:rFonts w:ascii="宋体" w:eastAsia="宋体" w:hAnsi="宋体" w:cs="宋体"/>
          <w:sz w:val="20"/>
          <w:szCs w:val="20"/>
          <w:lang w:eastAsia="zh-CN"/>
        </w:rPr>
        <w:t>58-64.DOI:10.16842/j.cnki.issn</w:t>
      </w:r>
      <w:proofErr w:type="gramEnd"/>
      <w:r w:rsidRPr="009F6335">
        <w:rPr>
          <w:rFonts w:ascii="宋体" w:eastAsia="宋体" w:hAnsi="宋体" w:cs="宋体"/>
          <w:sz w:val="20"/>
          <w:szCs w:val="20"/>
          <w:lang w:eastAsia="zh-CN"/>
        </w:rPr>
        <w:t>2095-5588.2023.01.006.</w:t>
      </w:r>
    </w:p>
    <w:p w14:paraId="22BFFB6E" w14:textId="2929F3D9" w:rsidR="004829EA" w:rsidRDefault="009F6335" w:rsidP="009F6335">
      <w:pPr>
        <w:numPr>
          <w:ilvl w:val="0"/>
          <w:numId w:val="2"/>
        </w:numPr>
        <w:spacing w:after="40" w:line="240" w:lineRule="auto"/>
        <w:rPr>
          <w:rFonts w:ascii="宋体" w:eastAsia="宋体" w:hAnsi="宋体" w:cs="宋体"/>
          <w:sz w:val="20"/>
          <w:szCs w:val="20"/>
          <w:lang w:eastAsia="zh-CN"/>
        </w:rPr>
      </w:pPr>
      <w:proofErr w:type="gramStart"/>
      <w:r w:rsidRPr="009F6335">
        <w:rPr>
          <w:rFonts w:ascii="宋体" w:eastAsia="宋体" w:hAnsi="宋体" w:cs="宋体" w:hint="eastAsia"/>
          <w:sz w:val="20"/>
          <w:szCs w:val="20"/>
          <w:lang w:eastAsia="zh-CN"/>
        </w:rPr>
        <w:t>李雨凌</w:t>
      </w:r>
      <w:proofErr w:type="gramEnd"/>
      <w:r w:rsidRPr="009F6335">
        <w:rPr>
          <w:rFonts w:ascii="宋体" w:eastAsia="宋体" w:hAnsi="宋体" w:cs="宋体"/>
          <w:sz w:val="20"/>
          <w:szCs w:val="20"/>
          <w:lang w:eastAsia="zh-CN"/>
        </w:rPr>
        <w:t>.</w:t>
      </w:r>
      <w:r w:rsidRPr="009F6335">
        <w:rPr>
          <w:rFonts w:ascii="宋体" w:eastAsia="宋体" w:hAnsi="宋体" w:cs="宋体" w:hint="eastAsia"/>
          <w:sz w:val="20"/>
          <w:szCs w:val="20"/>
          <w:lang w:eastAsia="zh-CN"/>
        </w:rPr>
        <w:t>卢卡奇物化理论与马尔库塞异化思想之比较研究</w:t>
      </w:r>
      <w:r w:rsidRPr="009F6335">
        <w:rPr>
          <w:rFonts w:ascii="宋体" w:eastAsia="宋体" w:hAnsi="宋体" w:cs="宋体"/>
          <w:sz w:val="20"/>
          <w:szCs w:val="20"/>
          <w:lang w:eastAsia="zh-CN"/>
        </w:rPr>
        <w:t>[J].</w:t>
      </w:r>
      <w:r w:rsidRPr="009F6335">
        <w:rPr>
          <w:rFonts w:ascii="宋体" w:eastAsia="宋体" w:hAnsi="宋体" w:cs="宋体" w:hint="eastAsia"/>
          <w:sz w:val="20"/>
          <w:szCs w:val="20"/>
          <w:lang w:eastAsia="zh-CN"/>
        </w:rPr>
        <w:t>今古文创</w:t>
      </w:r>
      <w:r w:rsidRPr="009F6335">
        <w:rPr>
          <w:rFonts w:ascii="宋体" w:eastAsia="宋体" w:hAnsi="宋体" w:cs="宋体"/>
          <w:sz w:val="20"/>
          <w:szCs w:val="20"/>
          <w:lang w:eastAsia="zh-CN"/>
        </w:rPr>
        <w:t>,2024(35):</w:t>
      </w:r>
      <w:proofErr w:type="gramStart"/>
      <w:r w:rsidRPr="009F6335">
        <w:rPr>
          <w:rFonts w:ascii="宋体" w:eastAsia="宋体" w:hAnsi="宋体" w:cs="宋体"/>
          <w:sz w:val="20"/>
          <w:szCs w:val="20"/>
          <w:lang w:eastAsia="zh-CN"/>
        </w:rPr>
        <w:t>64-67.DOI:10.20024/j.cnki.CN</w:t>
      </w:r>
      <w:proofErr w:type="gramEnd"/>
      <w:r w:rsidRPr="009F6335">
        <w:rPr>
          <w:rFonts w:ascii="宋体" w:eastAsia="宋体" w:hAnsi="宋体" w:cs="宋体"/>
          <w:sz w:val="20"/>
          <w:szCs w:val="20"/>
          <w:lang w:eastAsia="zh-CN"/>
        </w:rPr>
        <w:t>42-1911/I.2024.35.020.</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41268" w14:textId="77777777" w:rsidR="00BD54B5" w:rsidRDefault="00BD54B5">
      <w:pPr>
        <w:spacing w:line="240" w:lineRule="auto"/>
      </w:pPr>
      <w:r>
        <w:separator/>
      </w:r>
    </w:p>
  </w:endnote>
  <w:endnote w:type="continuationSeparator" w:id="0">
    <w:p w14:paraId="6066BB36" w14:textId="77777777" w:rsidR="00BD54B5" w:rsidRDefault="00BD5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10930517"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w:t>
    </w:r>
    <w:r w:rsidR="00BE026D">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w:t>
    </w:r>
    <w:r w:rsidR="00BE026D">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7FEDB" w14:textId="77777777" w:rsidR="00BD54B5" w:rsidRDefault="00BD54B5">
      <w:pPr>
        <w:spacing w:after="0"/>
      </w:pPr>
      <w:r>
        <w:separator/>
      </w:r>
    </w:p>
  </w:footnote>
  <w:footnote w:type="continuationSeparator" w:id="0">
    <w:p w14:paraId="0401DDA5" w14:textId="77777777" w:rsidR="00BD54B5" w:rsidRDefault="00BD54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4FDF8330"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BE026D">
      <w:rPr>
        <w:rFonts w:ascii="等线" w:eastAsia="等线" w:hAnsi="等线" w:cs="Arial" w:hint="eastAsia"/>
        <w:b/>
        <w:sz w:val="18"/>
        <w:lang w:eastAsia="zh-CN"/>
      </w:rPr>
      <w:t>2</w:t>
    </w:r>
    <w:r>
      <w:rPr>
        <w:rFonts w:ascii="Arial" w:eastAsia="Arial" w:hAnsi="Arial" w:cs="Arial"/>
        <w:b/>
        <w:sz w:val="18"/>
      </w:rPr>
      <w:t>-</w:t>
    </w:r>
    <w:r w:rsidR="00BE026D">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A52EC"/>
    <w:rsid w:val="00227091"/>
    <w:rsid w:val="00277D60"/>
    <w:rsid w:val="00280D89"/>
    <w:rsid w:val="002820A4"/>
    <w:rsid w:val="002908F2"/>
    <w:rsid w:val="00324AEC"/>
    <w:rsid w:val="00357BED"/>
    <w:rsid w:val="00387AD3"/>
    <w:rsid w:val="003942BB"/>
    <w:rsid w:val="003A5ABA"/>
    <w:rsid w:val="003B6638"/>
    <w:rsid w:val="003C7B1C"/>
    <w:rsid w:val="003F377D"/>
    <w:rsid w:val="004750FF"/>
    <w:rsid w:val="004829EA"/>
    <w:rsid w:val="005464F3"/>
    <w:rsid w:val="00556C72"/>
    <w:rsid w:val="00586665"/>
    <w:rsid w:val="00607D98"/>
    <w:rsid w:val="00615BB0"/>
    <w:rsid w:val="006A4B77"/>
    <w:rsid w:val="006A7970"/>
    <w:rsid w:val="00731A83"/>
    <w:rsid w:val="007362BA"/>
    <w:rsid w:val="007644C5"/>
    <w:rsid w:val="00772F7F"/>
    <w:rsid w:val="007737DA"/>
    <w:rsid w:val="00774781"/>
    <w:rsid w:val="007A76DA"/>
    <w:rsid w:val="007B7992"/>
    <w:rsid w:val="007C7E04"/>
    <w:rsid w:val="00825AB7"/>
    <w:rsid w:val="00827986"/>
    <w:rsid w:val="0084272D"/>
    <w:rsid w:val="00882C3B"/>
    <w:rsid w:val="008E5F92"/>
    <w:rsid w:val="009337E1"/>
    <w:rsid w:val="00965320"/>
    <w:rsid w:val="009946CF"/>
    <w:rsid w:val="009A03DF"/>
    <w:rsid w:val="009F6335"/>
    <w:rsid w:val="00A23FB4"/>
    <w:rsid w:val="00A26627"/>
    <w:rsid w:val="00A46EC0"/>
    <w:rsid w:val="00A772F6"/>
    <w:rsid w:val="00AA7CA6"/>
    <w:rsid w:val="00B03763"/>
    <w:rsid w:val="00B602C7"/>
    <w:rsid w:val="00B708D5"/>
    <w:rsid w:val="00B953B7"/>
    <w:rsid w:val="00BA66D9"/>
    <w:rsid w:val="00BB45A7"/>
    <w:rsid w:val="00BB5716"/>
    <w:rsid w:val="00BD366A"/>
    <w:rsid w:val="00BD54B5"/>
    <w:rsid w:val="00BE026D"/>
    <w:rsid w:val="00C24387"/>
    <w:rsid w:val="00C3045F"/>
    <w:rsid w:val="00C46666"/>
    <w:rsid w:val="00C503E6"/>
    <w:rsid w:val="00C54506"/>
    <w:rsid w:val="00C6630B"/>
    <w:rsid w:val="00C816DA"/>
    <w:rsid w:val="00C94B5F"/>
    <w:rsid w:val="00C97E9A"/>
    <w:rsid w:val="00D07CB1"/>
    <w:rsid w:val="00D12112"/>
    <w:rsid w:val="00D207C5"/>
    <w:rsid w:val="00D26438"/>
    <w:rsid w:val="00D36D09"/>
    <w:rsid w:val="00D6065E"/>
    <w:rsid w:val="00D66E61"/>
    <w:rsid w:val="00D71B29"/>
    <w:rsid w:val="00D74067"/>
    <w:rsid w:val="00D95CFC"/>
    <w:rsid w:val="00E136F2"/>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26D"/>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674454636">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787</Words>
  <Characters>4489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14</cp:revision>
  <cp:lastPrinted>2024-10-19T05:07:00Z</cp:lastPrinted>
  <dcterms:created xsi:type="dcterms:W3CDTF">2024-08-29T11:53:00Z</dcterms:created>
  <dcterms:modified xsi:type="dcterms:W3CDTF">2024-10-19T05:10:00Z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