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08273416" w:rsidR="004829EA" w:rsidRDefault="00E13CA1">
      <w:pPr>
        <w:spacing w:after="134" w:line="240" w:lineRule="auto"/>
        <w:ind w:left="1646" w:right="1649"/>
        <w:jc w:val="center"/>
        <w:rPr>
          <w:rFonts w:ascii="黑体" w:eastAsia="黑体" w:hAnsi="黑体" w:cs="黑体"/>
          <w:sz w:val="44"/>
          <w:lang w:eastAsia="zh-CN"/>
        </w:rPr>
      </w:pPr>
      <w:r w:rsidRPr="00E13CA1">
        <w:rPr>
          <w:rFonts w:ascii="黑体" w:eastAsia="黑体" w:hAnsi="黑体" w:cs="黑体" w:hint="eastAsia"/>
          <w:sz w:val="44"/>
          <w:lang w:eastAsia="zh-CN"/>
        </w:rPr>
        <w:t>商业网络取证包现状的优势与劣势分析</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5BCEF9D3" w:rsidR="004829EA" w:rsidRDefault="00E13CA1">
      <w:pPr>
        <w:spacing w:after="347" w:line="240" w:lineRule="auto"/>
        <w:ind w:left="194" w:hanging="10"/>
        <w:rPr>
          <w:lang w:eastAsia="zh-CN"/>
        </w:rPr>
      </w:pPr>
      <w:r w:rsidRPr="00E13CA1">
        <w:rPr>
          <w:rFonts w:ascii="华文仿宋" w:eastAsia="华文仿宋" w:hAnsi="华文仿宋" w:cs="华文仿宋" w:hint="eastAsia"/>
          <w:sz w:val="18"/>
          <w:lang w:eastAsia="zh-CN"/>
        </w:rPr>
        <w:t>本文围绕现有商业网络取证包的使用现状，从其可能产生的优势与劣势两个方面进行分析与讨论。随着信息技术的迅猛发展和网络犯罪行为的日益复杂化，网络取证作为数字证据获取和分析的重要手段，成为保障网络安全的重要工具。商业网络取证包在应用中表现出多项优势，例如功能全面、易于操作、技术支持完善以及更新迭代迅速等，为执法机构、企业和研究机构提供了高效的解决方案。然而，这些工具也存在一定的劣势，包括高昂的采购成本、对特定品牌的依赖、兼容性问题以及可能导致隐私泄露的风险。此外，使用者的技术水平和法律法规的差异也对其实际效果产生重要影响。本文通过文献调研与案例分析，探讨商业网络取证包在不同应用场景中的优劣表现，并提出在技术研发、法律规范和用户培训方面的改进建议，为更高效、安全地利用网络取证技术提供理论支持和实践指导。研究结果显示，针对现有劣势的有效改进，将有助于提升商业网络取证包的整体价值，为网络安全领域的可持续发展提供助力。</w:t>
      </w:r>
    </w:p>
    <w:p w14:paraId="6DA34E07" w14:textId="7024E5B9" w:rsidR="004829EA" w:rsidRDefault="00000000">
      <w:pPr>
        <w:spacing w:after="729" w:line="240" w:lineRule="auto"/>
        <w:ind w:left="194" w:hanging="10"/>
        <w:rPr>
          <w:lang w:eastAsia="zh-CN"/>
        </w:rPr>
      </w:pPr>
      <w:r>
        <w:rPr>
          <w:rFonts w:ascii="黑体" w:eastAsia="黑体" w:hAnsi="黑体" w:cs="黑体"/>
          <w:sz w:val="18"/>
          <w:lang w:eastAsia="zh-CN"/>
        </w:rPr>
        <w:t>关键词：</w:t>
      </w:r>
      <w:r w:rsidR="00E13CA1" w:rsidRPr="00E13CA1">
        <w:rPr>
          <w:rFonts w:ascii="华文仿宋" w:eastAsia="华文仿宋" w:hAnsi="华文仿宋" w:cs="华文仿宋" w:hint="eastAsia"/>
          <w:sz w:val="18"/>
          <w:lang w:eastAsia="zh-CN"/>
        </w:rPr>
        <w:t>网络取证包</w:t>
      </w:r>
      <w:r>
        <w:rPr>
          <w:rFonts w:ascii="华文仿宋" w:eastAsia="华文仿宋" w:hAnsi="华文仿宋" w:cs="华文仿宋" w:hint="eastAsia"/>
          <w:sz w:val="18"/>
          <w:lang w:eastAsia="zh-CN"/>
        </w:rPr>
        <w:t>；</w:t>
      </w:r>
      <w:r w:rsidR="00E13CA1" w:rsidRPr="00E13CA1">
        <w:rPr>
          <w:rFonts w:ascii="华文仿宋" w:eastAsia="华文仿宋" w:hAnsi="华文仿宋" w:cs="华文仿宋" w:hint="eastAsia"/>
          <w:sz w:val="18"/>
          <w:lang w:eastAsia="zh-CN"/>
        </w:rPr>
        <w:t>优势与劣势</w:t>
      </w:r>
      <w:r>
        <w:rPr>
          <w:rFonts w:ascii="华文仿宋" w:eastAsia="华文仿宋" w:hAnsi="华文仿宋" w:cs="华文仿宋"/>
          <w:sz w:val="18"/>
          <w:lang w:eastAsia="zh-CN"/>
        </w:rPr>
        <w:t>；</w:t>
      </w:r>
      <w:r w:rsidR="00E13CA1" w:rsidRPr="00E13CA1">
        <w:rPr>
          <w:rFonts w:ascii="华文仿宋" w:eastAsia="华文仿宋" w:hAnsi="华文仿宋" w:cs="华文仿宋" w:hint="eastAsia"/>
          <w:sz w:val="18"/>
          <w:lang w:eastAsia="zh-CN"/>
        </w:rPr>
        <w:t>网络安全</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130B7EF3" w14:textId="213DD94B" w:rsidR="00E13CA1" w:rsidRDefault="00E13CA1" w:rsidP="00E13CA1">
      <w:pPr>
        <w:spacing w:after="165" w:line="240" w:lineRule="auto"/>
        <w:ind w:left="-15" w:right="-15" w:firstLine="410"/>
        <w:rPr>
          <w:sz w:val="20"/>
          <w:szCs w:val="20"/>
          <w:lang w:eastAsia="zh-CN"/>
        </w:rPr>
      </w:pPr>
      <w:r w:rsidRPr="00E13CA1">
        <w:rPr>
          <w:rFonts w:ascii="宋体" w:eastAsia="宋体" w:hAnsi="宋体" w:cs="宋体" w:hint="eastAsia"/>
          <w:sz w:val="20"/>
          <w:szCs w:val="20"/>
          <w:lang w:eastAsia="zh-CN"/>
        </w:rPr>
        <w:t>随着信息技术的快速发展和互联网的广泛应用，网络环境中的犯罪活动呈现出日益复杂和隐蔽的趋势，从黑客攻击、数据窃取到恶意软件传播，这些问题对社会安全和经济秩序造成了极大的威胁</w:t>
      </w:r>
      <w:r w:rsidR="00B976C3">
        <w:rPr>
          <w:rFonts w:ascii="Times New Roman" w:eastAsia="Times New Roman" w:hAnsi="Times New Roman" w:cs="Times New Roman"/>
          <w:sz w:val="20"/>
          <w:szCs w:val="20"/>
          <w:vertAlign w:val="superscript"/>
          <w:lang w:eastAsia="zh-CN"/>
        </w:rPr>
        <w:t>[</w:t>
      </w:r>
      <w:r w:rsidR="00B976C3">
        <w:rPr>
          <w:rFonts w:ascii="Times New Roman" w:eastAsia="等线" w:hAnsi="Times New Roman" w:cs="Times New Roman" w:hint="eastAsia"/>
          <w:sz w:val="20"/>
          <w:szCs w:val="20"/>
          <w:vertAlign w:val="superscript"/>
          <w:lang w:eastAsia="zh-CN"/>
        </w:rPr>
        <w:t>1</w:t>
      </w:r>
      <w:r w:rsidR="00B976C3">
        <w:rPr>
          <w:rFonts w:ascii="Times New Roman" w:eastAsia="Times New Roman" w:hAnsi="Times New Roman" w:cs="Times New Roman"/>
          <w:sz w:val="20"/>
          <w:szCs w:val="20"/>
          <w:vertAlign w:val="superscript"/>
          <w:lang w:eastAsia="zh-CN"/>
        </w:rPr>
        <w:t>]</w:t>
      </w:r>
      <w:r w:rsidRPr="00E13CA1">
        <w:rPr>
          <w:rFonts w:ascii="宋体" w:eastAsia="宋体" w:hAnsi="宋体" w:cs="宋体" w:hint="eastAsia"/>
          <w:sz w:val="20"/>
          <w:szCs w:val="20"/>
          <w:lang w:eastAsia="zh-CN"/>
        </w:rPr>
        <w:t>。在此背景下，网络取证作为一种新兴的技术手段，逐渐成为网络安全领域的核心工具。网络取证通过收集、分析和保存与网络犯罪相关的数字证据，为执法部门和相关机构提供了有力支持。其中，商业网络取证包作为高度专业化的软件工具，为用户提供了从数据采集到分析报告生成的一站式解决方案。这些工具不仅显著提升了取证的效率和准确性，同时也在不同场景下展示了其广泛的应用潜力。</w:t>
      </w:r>
    </w:p>
    <w:p w14:paraId="2BBE6FD9" w14:textId="77777777" w:rsidR="00E13CA1" w:rsidRDefault="00E13CA1" w:rsidP="00E13CA1">
      <w:pPr>
        <w:spacing w:after="165" w:line="240" w:lineRule="auto"/>
        <w:ind w:left="-15" w:right="-15" w:firstLine="410"/>
        <w:rPr>
          <w:sz w:val="20"/>
          <w:szCs w:val="20"/>
          <w:lang w:eastAsia="zh-CN"/>
        </w:rPr>
      </w:pPr>
      <w:r w:rsidRPr="00E13CA1">
        <w:rPr>
          <w:rFonts w:ascii="宋体" w:eastAsia="宋体" w:hAnsi="宋体" w:cs="宋体" w:hint="eastAsia"/>
          <w:sz w:val="20"/>
          <w:szCs w:val="20"/>
          <w:lang w:eastAsia="zh-CN"/>
        </w:rPr>
        <w:t>然而，尽管商业网络取证包在功能性和便利性方面具备显著优势，其使用过程中仍存在一些不可忽视的问题。首先，这类工具往往价格昂贵，采购成本对中小型机构或企业构成了较大压力。此外，商业网络取证包通常由特定厂商开发，其专有性和封闭性可能导致用户对单一品牌的过度依赖，从而降低工具的可扩展性和兼容性。同时，在实际使用中，这些工具可能存在操作复杂、配置要求高等技术壁垒，对用户的专业能力提出了较高的要求。更为重要的是，网络取证涉及隐私数据的收集与分析，如何平衡取证需求与个人隐私保护之间的矛盾，也成为一个亟待解决的难题。</w:t>
      </w:r>
    </w:p>
    <w:p w14:paraId="68CBBF9D" w14:textId="576400FD" w:rsidR="00EA6A67" w:rsidRDefault="00E13CA1" w:rsidP="00E13CA1">
      <w:pPr>
        <w:spacing w:after="715" w:line="240" w:lineRule="auto"/>
        <w:ind w:left="-5" w:firstLine="415"/>
        <w:rPr>
          <w:rFonts w:ascii="宋体" w:eastAsia="宋体" w:hAnsi="宋体" w:cs="宋体"/>
          <w:sz w:val="20"/>
          <w:szCs w:val="20"/>
          <w:lang w:eastAsia="zh-CN"/>
        </w:rPr>
      </w:pPr>
      <w:r w:rsidRPr="00E13CA1">
        <w:rPr>
          <w:rFonts w:ascii="宋体" w:eastAsia="宋体" w:hAnsi="宋体" w:cs="宋体" w:hint="eastAsia"/>
          <w:sz w:val="20"/>
          <w:szCs w:val="20"/>
          <w:lang w:eastAsia="zh-CN"/>
        </w:rPr>
        <w:t>基于以上背景，本文旨在从学术研究和实践应用的双重视角出发，深入探讨现有商业网络取证包的优势与劣势。通过梳理相关文献与案例分析，本文将详细阐述商业网络取证包在技术功能、应用场景以及法律合规性方面的表现，重点分析其在支持网络犯罪调查中的核心价值。同时，本文也将总结现有工具在实际应用中面临的主要挑战，包括成本、技术、法律和伦理等多方面的问题，并提出针对性的改进建议。通过本研究，期望为网络安全领域提供新的视角和实践指导，推动商业网络取证包的进一步发展与优化。</w:t>
      </w:r>
    </w:p>
    <w:p w14:paraId="619879EC" w14:textId="031EACFE" w:rsidR="004829EA" w:rsidRDefault="00E13CA1" w:rsidP="00974091">
      <w:pPr>
        <w:pStyle w:val="1"/>
        <w:spacing w:after="213" w:line="240" w:lineRule="auto"/>
        <w:ind w:left="410" w:hanging="425"/>
        <w:rPr>
          <w:lang w:eastAsia="zh-CN"/>
        </w:rPr>
      </w:pPr>
      <w:r w:rsidRPr="00E13CA1">
        <w:rPr>
          <w:rFonts w:hint="eastAsia"/>
          <w:lang w:eastAsia="zh-CN"/>
        </w:rPr>
        <w:t>商业网络取证包的概述</w:t>
      </w:r>
    </w:p>
    <w:p w14:paraId="318A3484" w14:textId="40CEEAC5" w:rsidR="004829EA" w:rsidRDefault="00E13CA1">
      <w:pPr>
        <w:pStyle w:val="2"/>
        <w:spacing w:line="240" w:lineRule="auto"/>
        <w:ind w:left="477" w:hanging="492"/>
        <w:rPr>
          <w:lang w:eastAsia="zh-CN"/>
        </w:rPr>
      </w:pPr>
      <w:r w:rsidRPr="00E13CA1">
        <w:rPr>
          <w:rFonts w:ascii="黑体" w:eastAsia="黑体" w:hAnsi="黑体" w:cs="黑体" w:hint="eastAsia"/>
          <w:lang w:eastAsia="zh-CN"/>
        </w:rPr>
        <w:t>定义与分类</w:t>
      </w:r>
    </w:p>
    <w:p w14:paraId="080EEBB5" w14:textId="41EE3A7A" w:rsidR="004829EA" w:rsidRDefault="00B976C3" w:rsidP="00B03763">
      <w:pPr>
        <w:spacing w:after="165" w:line="240" w:lineRule="auto"/>
        <w:ind w:left="-15" w:right="-15" w:firstLine="410"/>
        <w:rPr>
          <w:sz w:val="20"/>
          <w:szCs w:val="20"/>
          <w:lang w:eastAsia="zh-CN"/>
        </w:rPr>
      </w:pPr>
      <w:r w:rsidRPr="00B976C3">
        <w:rPr>
          <w:rFonts w:ascii="宋体" w:eastAsia="宋体" w:hAnsi="宋体" w:cs="宋体" w:hint="eastAsia"/>
          <w:sz w:val="20"/>
          <w:szCs w:val="20"/>
          <w:lang w:eastAsia="zh-CN"/>
        </w:rPr>
        <w:t>商业网络取证包是指用于收集、分析和保存与网络犯罪相关的数字证据的专业化工具</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其核心目的是在合法合规的前提下，通过技术手段获取可用于法律诉讼或企业调查的关键证据。根据功能和应用范围，商业网络取证包可以分为通用型工具和专用型工具两类。通用型网络取证工具通常具备广泛的数据收集和分析能力，适用于多种网络环境，例如磁盘镜像、文件恢复和流量分析等场景。这类工具因其灵活性和适配性广泛受到用户青睐。而专用型取证工具则针对特定任务或场景设计，例如针对恶意软件检测、电子邮件取证或社交网络分析的工具。这些工具因其高效性</w:t>
      </w:r>
      <w:r w:rsidRPr="00B976C3">
        <w:rPr>
          <w:rFonts w:ascii="宋体" w:eastAsia="宋体" w:hAnsi="宋体" w:cs="宋体" w:hint="eastAsia"/>
          <w:sz w:val="20"/>
          <w:szCs w:val="20"/>
          <w:lang w:eastAsia="zh-CN"/>
        </w:rPr>
        <w:lastRenderedPageBreak/>
        <w:t>和专业性在特定领域表现出色。通过分类，可以更清晰地了解工具的适用范围与技术特长，为用户在选型时提供有价值的参考。</w:t>
      </w:r>
    </w:p>
    <w:p w14:paraId="3F7527F7" w14:textId="3094F058" w:rsidR="004829EA" w:rsidRDefault="00E13CA1">
      <w:pPr>
        <w:pStyle w:val="2"/>
        <w:spacing w:line="240" w:lineRule="auto"/>
        <w:ind w:left="477" w:hanging="492"/>
        <w:rPr>
          <w:lang w:eastAsia="zh-CN"/>
        </w:rPr>
      </w:pPr>
      <w:r w:rsidRPr="00E13CA1">
        <w:rPr>
          <w:rFonts w:ascii="黑体" w:eastAsia="黑体" w:hAnsi="黑体" w:cs="黑体" w:hint="eastAsia"/>
          <w:lang w:eastAsia="zh-CN"/>
        </w:rPr>
        <w:t>常见商业网络取证包</w:t>
      </w:r>
    </w:p>
    <w:p w14:paraId="0C8B04D4" w14:textId="71C323A7" w:rsidR="004829EA" w:rsidRDefault="00B976C3">
      <w:pPr>
        <w:spacing w:after="238" w:line="240" w:lineRule="auto"/>
        <w:ind w:left="-5" w:firstLine="482"/>
        <w:rPr>
          <w:rFonts w:ascii="宋体" w:eastAsia="宋体" w:hAnsi="宋体" w:cs="宋体"/>
          <w:sz w:val="20"/>
          <w:szCs w:val="20"/>
          <w:lang w:eastAsia="zh-CN"/>
        </w:rPr>
      </w:pPr>
      <w:r w:rsidRPr="00B976C3">
        <w:rPr>
          <w:rFonts w:ascii="宋体" w:eastAsia="宋体" w:hAnsi="宋体" w:cs="宋体" w:hint="eastAsia"/>
          <w:sz w:val="20"/>
          <w:szCs w:val="20"/>
          <w:lang w:eastAsia="zh-CN"/>
        </w:rPr>
        <w:t>商业网络取证包因其在网络安全和执法领域的重要作用而广受关注，其中一些工具已成为行业内的标杆产品。</w:t>
      </w:r>
      <w:r w:rsidRPr="00B976C3">
        <w:rPr>
          <w:rFonts w:ascii="宋体" w:eastAsia="宋体" w:hAnsi="宋体" w:cs="宋体"/>
          <w:sz w:val="20"/>
          <w:szCs w:val="20"/>
          <w:lang w:eastAsia="zh-CN"/>
        </w:rPr>
        <w:t>EnCase</w:t>
      </w:r>
      <w:r w:rsidRPr="00B976C3">
        <w:rPr>
          <w:rFonts w:ascii="宋体" w:eastAsia="宋体" w:hAnsi="宋体" w:cs="宋体" w:hint="eastAsia"/>
          <w:sz w:val="20"/>
          <w:szCs w:val="20"/>
          <w:lang w:eastAsia="zh-CN"/>
        </w:rPr>
        <w:t>是最为知名的取证工具之一，其功能全面，涵盖数据采集、分析、恢复和报告生成，广泛应用于执法机构和企业安全调查。</w:t>
      </w:r>
      <w:r w:rsidRPr="00B976C3">
        <w:rPr>
          <w:rFonts w:ascii="宋体" w:eastAsia="宋体" w:hAnsi="宋体" w:cs="宋体"/>
          <w:sz w:val="20"/>
          <w:szCs w:val="20"/>
          <w:lang w:eastAsia="zh-CN"/>
        </w:rPr>
        <w:t>FTK</w:t>
      </w:r>
      <w:r w:rsidRPr="00B976C3">
        <w:rPr>
          <w:rFonts w:ascii="宋体" w:eastAsia="宋体" w:hAnsi="宋体" w:cs="宋体" w:hint="eastAsia"/>
          <w:sz w:val="20"/>
          <w:szCs w:val="20"/>
          <w:lang w:eastAsia="zh-CN"/>
        </w:rPr>
        <w:t>以其快速索引和强大的搜索功能著称，能够高效处理大规模数据，特别适合需要快速响应的案件</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3</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w:t>
      </w:r>
      <w:r w:rsidRPr="00B976C3">
        <w:rPr>
          <w:rFonts w:ascii="宋体" w:eastAsia="宋体" w:hAnsi="宋体" w:cs="宋体"/>
          <w:sz w:val="20"/>
          <w:szCs w:val="20"/>
          <w:lang w:eastAsia="zh-CN"/>
        </w:rPr>
        <w:t>X-Ways Forensics</w:t>
      </w:r>
      <w:r w:rsidRPr="00B976C3">
        <w:rPr>
          <w:rFonts w:ascii="宋体" w:eastAsia="宋体" w:hAnsi="宋体" w:cs="宋体" w:hint="eastAsia"/>
          <w:sz w:val="20"/>
          <w:szCs w:val="20"/>
          <w:lang w:eastAsia="zh-CN"/>
        </w:rPr>
        <w:t>作为一款轻量化的工具，以其高性能和灵活性吸引了专业用户，特别是在磁盘分析和数据恢复领域表现出色。此外，</w:t>
      </w:r>
      <w:r w:rsidRPr="00B976C3">
        <w:rPr>
          <w:rFonts w:ascii="宋体" w:eastAsia="宋体" w:hAnsi="宋体" w:cs="宋体"/>
          <w:sz w:val="20"/>
          <w:szCs w:val="20"/>
          <w:lang w:eastAsia="zh-CN"/>
        </w:rPr>
        <w:t>Magnet AXIOM</w:t>
      </w:r>
      <w:r w:rsidRPr="00B976C3">
        <w:rPr>
          <w:rFonts w:ascii="宋体" w:eastAsia="宋体" w:hAnsi="宋体" w:cs="宋体" w:hint="eastAsia"/>
          <w:sz w:val="20"/>
          <w:szCs w:val="20"/>
          <w:lang w:eastAsia="zh-CN"/>
        </w:rPr>
        <w:t>则以强大的多平台支持和易用性脱颖而出，尤其适合分析移动设备、云存储和社交网络数据。这些常见的商业网络取证包各具特色，用户可根据其具体需求选择最合适的工具，以提升取证工作的效率和准确性。</w:t>
      </w:r>
    </w:p>
    <w:p w14:paraId="4C44E12D" w14:textId="27D3FB5D" w:rsidR="004829EA" w:rsidRDefault="00E13CA1">
      <w:pPr>
        <w:pStyle w:val="2"/>
        <w:spacing w:line="240" w:lineRule="auto"/>
        <w:ind w:left="477" w:hanging="492"/>
        <w:rPr>
          <w:rFonts w:ascii="黑体" w:eastAsia="黑体" w:hAnsi="黑体" w:cs="黑体"/>
          <w:lang w:eastAsia="zh-CN"/>
        </w:rPr>
      </w:pPr>
      <w:r w:rsidRPr="00E13CA1">
        <w:rPr>
          <w:rFonts w:ascii="黑体" w:eastAsia="黑体" w:hAnsi="黑体" w:cs="黑体" w:hint="eastAsia"/>
          <w:lang w:eastAsia="zh-CN"/>
        </w:rPr>
        <w:t>主要应用场景</w:t>
      </w:r>
    </w:p>
    <w:p w14:paraId="1E424006" w14:textId="2806EF80" w:rsidR="00B708D5" w:rsidRDefault="00B976C3" w:rsidP="00974091">
      <w:pPr>
        <w:spacing w:after="715" w:line="240" w:lineRule="auto"/>
        <w:ind w:left="-5" w:firstLine="415"/>
        <w:rPr>
          <w:rFonts w:ascii="宋体" w:eastAsia="宋体" w:hAnsi="宋体" w:cs="宋体"/>
          <w:sz w:val="20"/>
          <w:szCs w:val="20"/>
          <w:lang w:eastAsia="zh-CN"/>
        </w:rPr>
      </w:pPr>
      <w:r w:rsidRPr="00B976C3">
        <w:rPr>
          <w:rFonts w:ascii="宋体" w:eastAsia="宋体" w:hAnsi="宋体" w:cs="宋体" w:hint="eastAsia"/>
          <w:sz w:val="20"/>
          <w:szCs w:val="20"/>
          <w:lang w:eastAsia="zh-CN"/>
        </w:rPr>
        <w:t>商业网络取证包在网络安全、法律执法和企业风险管理等多个领域中具有广泛的应用场景。在法律执法领域，这些工具被用于调查网络犯罪案件，如数据泄露、黑客攻击和网络欺诈，帮助执法机构获取关键数字证据以支持法律诉讼。在企业内部，网络取证包主要用于安全审计和合规性检查，通过分析网络流量、设备日志和用户行为，识别潜在威胁并制定相应的防护措施</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此外，在信息技术和数据管理领域，这些工具被用来调查系统故障或数据丢失事件，恢复重要文件或日志，确保业务连续性。随着社交媒体和云计算的普及，商业网络取证包也逐渐扩展到社交网络分析和云数据取证的应用场景，帮助识别网络上的恶意行为或违规操作。通过在这些场景中的有效应用，商业网络取证包已成为保障网络安全的重要技术手段。</w:t>
      </w:r>
    </w:p>
    <w:p w14:paraId="7704CC4F" w14:textId="2D05F70F" w:rsidR="004829EA" w:rsidRDefault="00E13CA1">
      <w:pPr>
        <w:pStyle w:val="1"/>
        <w:spacing w:after="213" w:line="240" w:lineRule="auto"/>
        <w:ind w:left="410" w:hanging="425"/>
        <w:rPr>
          <w:lang w:eastAsia="zh-CN"/>
        </w:rPr>
      </w:pPr>
      <w:r w:rsidRPr="00E13CA1">
        <w:rPr>
          <w:rFonts w:hint="eastAsia"/>
          <w:lang w:eastAsia="zh-CN"/>
        </w:rPr>
        <w:t>商业网络取证包的优势分析</w:t>
      </w:r>
    </w:p>
    <w:p w14:paraId="0E1EFB72" w14:textId="4D22272C" w:rsidR="004829EA" w:rsidRDefault="00E13CA1">
      <w:pPr>
        <w:pStyle w:val="2"/>
        <w:spacing w:line="240" w:lineRule="auto"/>
        <w:ind w:left="477" w:hanging="492"/>
        <w:rPr>
          <w:lang w:eastAsia="zh-CN"/>
        </w:rPr>
      </w:pPr>
      <w:r w:rsidRPr="00E13CA1">
        <w:rPr>
          <w:rFonts w:ascii="黑体" w:eastAsia="黑体" w:hAnsi="黑体" w:cs="黑体" w:hint="eastAsia"/>
          <w:lang w:eastAsia="zh-CN"/>
        </w:rPr>
        <w:t>高效性与准确性</w:t>
      </w:r>
    </w:p>
    <w:p w14:paraId="55A10AEC" w14:textId="42BCE1DE" w:rsidR="004829EA" w:rsidRDefault="00B976C3" w:rsidP="00974091">
      <w:pPr>
        <w:spacing w:after="104" w:line="240" w:lineRule="auto"/>
        <w:ind w:left="-15" w:right="-15" w:firstLine="410"/>
        <w:rPr>
          <w:sz w:val="20"/>
          <w:szCs w:val="20"/>
          <w:lang w:eastAsia="zh-CN"/>
        </w:rPr>
      </w:pPr>
      <w:r w:rsidRPr="00B976C3">
        <w:rPr>
          <w:rFonts w:ascii="宋体" w:eastAsia="宋体" w:hAnsi="宋体" w:cs="宋体" w:hint="eastAsia"/>
          <w:sz w:val="20"/>
          <w:szCs w:val="20"/>
          <w:lang w:eastAsia="zh-CN"/>
        </w:rPr>
        <w:t>商业网络取证包以其高效性和准确性在取证领域占据重要地位。高效性体现在工具的自动化处理能力上，这些工具能够快速完成大规模数据的采集、筛选和分析，有效缩短案件调查的时间</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例如，通过自动索引技术和关键字搜索，取证工具可以迅速定位与案件相关的文件、通信记录或网络活动，避免了传统手动分析的繁琐过程。同时，其高效性能还减少了人力成本，提高了工作效率。准确性是商业网络取证包的另一大优势，这得益于其先进的算法和技术支持。许多工具采用尖端的数据恢复技术，能够从受损设备中提取关键证据，并通过校验机制确保数据完整性和可信性。这种高效性与准确性的结合，不仅提升了案件取证的质量，也为法律诉讼提供了强有力的证据支持，在执法机构、企业安全审计和网络犯罪调查中发挥了不可替代的作用。</w:t>
      </w:r>
    </w:p>
    <w:p w14:paraId="1E2CD6A7" w14:textId="0A1EF363" w:rsidR="004829EA" w:rsidRDefault="00B976C3">
      <w:pPr>
        <w:pStyle w:val="2"/>
        <w:spacing w:line="240" w:lineRule="auto"/>
        <w:ind w:left="477" w:hanging="492"/>
        <w:rPr>
          <w:lang w:eastAsia="zh-CN"/>
        </w:rPr>
      </w:pPr>
      <w:r w:rsidRPr="00B976C3">
        <w:rPr>
          <w:rFonts w:ascii="黑体" w:eastAsia="黑体" w:hAnsi="黑体" w:cs="黑体" w:hint="eastAsia"/>
          <w:lang w:eastAsia="zh-CN"/>
        </w:rPr>
        <w:t>功能全面性</w:t>
      </w:r>
    </w:p>
    <w:p w14:paraId="3A33A46A" w14:textId="453AA05F" w:rsidR="00D71B29" w:rsidRPr="00BB45A7" w:rsidRDefault="00B976C3" w:rsidP="00D71B29">
      <w:pPr>
        <w:spacing w:after="104" w:line="240" w:lineRule="auto"/>
        <w:ind w:left="-15" w:right="-15" w:firstLine="410"/>
        <w:rPr>
          <w:lang w:eastAsia="zh-CN"/>
        </w:rPr>
      </w:pPr>
      <w:r w:rsidRPr="00B976C3">
        <w:rPr>
          <w:rFonts w:ascii="宋体" w:eastAsia="宋体" w:hAnsi="宋体" w:cs="宋体" w:hint="eastAsia"/>
          <w:sz w:val="20"/>
          <w:szCs w:val="20"/>
          <w:lang w:eastAsia="zh-CN"/>
        </w:rPr>
        <w:t>商业网络取证包的功能全面性是其广泛应用的关键优势之一。这类工具通常集成了从数据采集到分析和报告生成的完整流程，提供了一站式解决方案</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数据采集方面，取证包能够处理多种来源的数据，包括硬盘、移动设备、网络流量、云存储和社交媒体数据等，确保了证据的多样性和完整性。在数据分析方面，这些工具配备了强大的搜索、过滤和模式识别功能，可帮助用户快速提取关键信息，识别潜在威胁或异常行为。此外，许多取证包还支持可视化分析，通过直观的图表或网络结构展示复杂数据关系，便于用户理解和解读。在报告生成方面，工具通常内置标准化的报告模板，能够自动生成专业报告，满足法律诉讼或内部审计的需求。这种功能的全面性不仅提升了工作效率，也扩展了工具的适用范围，使其在执法、企业合规和网络安全等多个领域中得到广泛应用。</w:t>
      </w:r>
    </w:p>
    <w:p w14:paraId="09C4482E" w14:textId="5402C659" w:rsidR="003C7B1C" w:rsidRDefault="00B976C3" w:rsidP="003C7B1C">
      <w:pPr>
        <w:pStyle w:val="2"/>
        <w:spacing w:line="240" w:lineRule="auto"/>
        <w:ind w:left="477" w:hanging="492"/>
        <w:rPr>
          <w:lang w:eastAsia="zh-CN"/>
        </w:rPr>
      </w:pPr>
      <w:r w:rsidRPr="00B976C3">
        <w:rPr>
          <w:rFonts w:ascii="黑体" w:eastAsia="黑体" w:hAnsi="黑体" w:cs="黑体" w:hint="eastAsia"/>
          <w:lang w:eastAsia="zh-CN"/>
        </w:rPr>
        <w:t>技术支持与更新迭代</w:t>
      </w:r>
    </w:p>
    <w:p w14:paraId="5C8B9906" w14:textId="1577EA48" w:rsidR="00D71B29" w:rsidRDefault="00B976C3" w:rsidP="00D71B29">
      <w:pPr>
        <w:spacing w:after="715" w:line="240" w:lineRule="auto"/>
        <w:ind w:left="-5" w:firstLine="415"/>
        <w:rPr>
          <w:rFonts w:ascii="宋体" w:eastAsia="宋体" w:hAnsi="宋体" w:cs="宋体"/>
          <w:sz w:val="20"/>
          <w:szCs w:val="20"/>
          <w:lang w:eastAsia="zh-CN"/>
        </w:rPr>
      </w:pPr>
      <w:r w:rsidRPr="00B976C3">
        <w:rPr>
          <w:rFonts w:ascii="宋体" w:eastAsia="宋体" w:hAnsi="宋体" w:cs="宋体" w:hint="eastAsia"/>
          <w:sz w:val="20"/>
          <w:szCs w:val="20"/>
          <w:lang w:eastAsia="zh-CN"/>
        </w:rPr>
        <w:t>商业网络取证包的技术支持与更新迭代是其保持市场竞争力的重要因素之一。大多数商业取证工具由专业厂商提供强大的技术支持，包括在线帮助文档、客户服务热线和定期的用户培训。这些支持服务能够帮助用户快速掌握工具使用方法，解决在实际操作中遇到的问题，提高工作效率</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此外，厂商还会根据用户反馈和市场需求，定期更新和优化取证工具的功能。这种持续的更新迭代，不仅修复了软件可能存在的漏洞，还增强了工具的性能与兼容性。例如，随着云计算、物联网和大数据技术的发展，许多商业网络取证包已经支持对云存储数据、物联网设备日志和大规</w:t>
      </w:r>
      <w:r w:rsidRPr="00B976C3">
        <w:rPr>
          <w:rFonts w:ascii="宋体" w:eastAsia="宋体" w:hAnsi="宋体" w:cs="宋体" w:hint="eastAsia"/>
          <w:sz w:val="20"/>
          <w:szCs w:val="20"/>
          <w:lang w:eastAsia="zh-CN"/>
        </w:rPr>
        <w:lastRenderedPageBreak/>
        <w:t>模分布式系统的取证分析，拓展了工具的应用场景。技术支持与更新迭代的结合，不仅提升了工具的用户体验，也确保其始终能够应对不断演变的网络安全挑战。</w:t>
      </w:r>
    </w:p>
    <w:p w14:paraId="0A9FC68F" w14:textId="0476FD07" w:rsidR="004829EA" w:rsidRDefault="00B976C3">
      <w:pPr>
        <w:pStyle w:val="1"/>
        <w:spacing w:line="240" w:lineRule="auto"/>
        <w:ind w:left="410" w:hanging="425"/>
        <w:rPr>
          <w:lang w:eastAsia="zh-CN"/>
        </w:rPr>
      </w:pPr>
      <w:r w:rsidRPr="00B976C3">
        <w:rPr>
          <w:rFonts w:hint="eastAsia"/>
          <w:lang w:eastAsia="zh-CN"/>
        </w:rPr>
        <w:t>商业网络取证包的劣势分析</w:t>
      </w:r>
    </w:p>
    <w:p w14:paraId="2E911B91" w14:textId="7B15E254" w:rsidR="004829EA" w:rsidRDefault="00B976C3">
      <w:pPr>
        <w:pStyle w:val="2"/>
        <w:spacing w:after="211" w:line="240" w:lineRule="auto"/>
        <w:ind w:left="477" w:hanging="492"/>
        <w:rPr>
          <w:lang w:eastAsia="zh-CN"/>
        </w:rPr>
      </w:pPr>
      <w:r w:rsidRPr="00B976C3">
        <w:rPr>
          <w:rFonts w:ascii="黑体" w:eastAsia="黑体" w:hAnsi="黑体" w:cs="黑体" w:hint="eastAsia"/>
          <w:lang w:eastAsia="zh-CN"/>
        </w:rPr>
        <w:t>成本问题</w:t>
      </w:r>
    </w:p>
    <w:p w14:paraId="0FDB4552" w14:textId="01A411C8" w:rsidR="004829EA" w:rsidRDefault="00B976C3" w:rsidP="00BB45A7">
      <w:pPr>
        <w:spacing w:after="104" w:line="240" w:lineRule="auto"/>
        <w:ind w:left="-15" w:right="-15" w:firstLine="410"/>
        <w:rPr>
          <w:sz w:val="20"/>
          <w:szCs w:val="20"/>
          <w:lang w:eastAsia="zh-CN"/>
        </w:rPr>
      </w:pPr>
      <w:r w:rsidRPr="00B976C3">
        <w:rPr>
          <w:rFonts w:ascii="宋体" w:eastAsia="宋体" w:hAnsi="宋体" w:cs="宋体" w:hint="eastAsia"/>
          <w:sz w:val="20"/>
          <w:szCs w:val="20"/>
          <w:lang w:eastAsia="zh-CN"/>
        </w:rPr>
        <w:t>商业网络取证包的高成本问题是其在应用推广中面临的一大挑战</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。首先，这类工具的初始采购费用通常较高，对于中小型企业和预算有限的执法机构而言，这可能构成较大的经济压力。尤其是功能全面、技术先进的工具，如</w:t>
      </w:r>
      <w:r w:rsidRPr="00B976C3">
        <w:rPr>
          <w:rFonts w:ascii="宋体" w:eastAsia="宋体" w:hAnsi="宋体" w:cs="宋体"/>
          <w:sz w:val="20"/>
          <w:szCs w:val="20"/>
          <w:lang w:eastAsia="zh-CN"/>
        </w:rPr>
        <w:t>FTK</w:t>
      </w:r>
      <w:r w:rsidRPr="00B976C3">
        <w:rPr>
          <w:rFonts w:ascii="宋体" w:eastAsia="宋体" w:hAnsi="宋体" w:cs="宋体" w:hint="eastAsia"/>
          <w:sz w:val="20"/>
          <w:szCs w:val="20"/>
          <w:lang w:eastAsia="zh-CN"/>
        </w:rPr>
        <w:t>，其商业授权费用可能高达数万美元。此外，除了采购成本，取证工具的使用还需要额外的软硬件支持和技术培训，这进一步增加了整体投入。例如，为了运行这些工具，可能需要高性能的计算机和存储设备，以及专业技术人员的长期维护。同时，许多商业取证工具采用按年订阅或更新付费的模式，使用户需要承担持续的费用支出。这种成本问题在某些情况下可能限制工具的使用范围，尤其是在中小型组织或发展中国家的网络安全应用中。因此，如何通过优化工具定价、推广开源替代方案或提供灵活的授权模式，已成为解决成本问题的重要方向。</w:t>
      </w:r>
    </w:p>
    <w:p w14:paraId="69FF24BE" w14:textId="0527F326" w:rsidR="004829EA" w:rsidRDefault="00B976C3">
      <w:pPr>
        <w:pStyle w:val="2"/>
        <w:spacing w:after="150" w:line="240" w:lineRule="auto"/>
        <w:ind w:left="477" w:hanging="492"/>
        <w:rPr>
          <w:lang w:eastAsia="zh-CN"/>
        </w:rPr>
      </w:pPr>
      <w:r w:rsidRPr="00B976C3">
        <w:rPr>
          <w:rFonts w:ascii="黑体" w:eastAsia="黑体" w:hAnsi="黑体" w:cs="黑体" w:hint="eastAsia"/>
          <w:lang w:eastAsia="zh-CN"/>
        </w:rPr>
        <w:t>技术壁垒</w:t>
      </w:r>
    </w:p>
    <w:p w14:paraId="6C03A7E8" w14:textId="5FD3CE09" w:rsidR="00D71B29" w:rsidRDefault="00B976C3" w:rsidP="006A4B77">
      <w:pPr>
        <w:spacing w:after="104" w:line="240" w:lineRule="auto"/>
        <w:ind w:left="-15" w:right="-15" w:firstLine="410"/>
        <w:rPr>
          <w:sz w:val="20"/>
          <w:szCs w:val="20"/>
          <w:lang w:eastAsia="zh-CN"/>
        </w:rPr>
      </w:pPr>
      <w:r w:rsidRPr="00B976C3">
        <w:rPr>
          <w:rFonts w:ascii="宋体" w:eastAsia="宋体" w:hAnsi="宋体" w:cs="宋体" w:hint="eastAsia"/>
          <w:sz w:val="20"/>
          <w:szCs w:val="20"/>
          <w:lang w:eastAsia="zh-CN"/>
        </w:rPr>
        <w:t>技术壁垒是商业网络取证包在实际应用中的另一个显著问题。尽管这些工具功能强大，但其复杂的操作和专业性要求使得许多用户在使用过程中面临困难。首先，大多数取证包需要用户具备一定的网络安全、数据分析和法律合规知识，这对缺乏技术背景的用户形成了较高的门槛。此外，这些工具通常具有复杂的界面和配置选项，例如设置过滤规则、解析日志文件或定制取证报告，这需要用户经过专业培训才能熟练掌握</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而在处理复杂案件或大规模数据时，用户还需要具备快速理解和运用高级功能的能力，这进一步增加了技术难度。另一方面，不同的工具可能对硬件和软件环境有特定要求，如操作系统版本或硬件性能，这也可能限制其在某些环境中的部署和使用。为降低技术壁垒，未来可以通过优化用户界面、提供自动化功能以及加强用户培训，帮助更多用户高效利用商业网络取证包。</w:t>
      </w:r>
    </w:p>
    <w:p w14:paraId="41528743" w14:textId="4001CA01" w:rsidR="00D71B29" w:rsidRDefault="00B976C3" w:rsidP="00D71B29">
      <w:pPr>
        <w:pStyle w:val="2"/>
        <w:spacing w:after="150" w:line="240" w:lineRule="auto"/>
        <w:ind w:left="477" w:hanging="492"/>
        <w:rPr>
          <w:lang w:eastAsia="zh-CN"/>
        </w:rPr>
      </w:pPr>
      <w:r w:rsidRPr="00B976C3">
        <w:rPr>
          <w:rFonts w:ascii="黑体" w:eastAsia="黑体" w:hAnsi="黑体" w:cs="黑体" w:hint="eastAsia"/>
          <w:lang w:eastAsia="zh-CN"/>
        </w:rPr>
        <w:t>兼容性与扩展性不足</w:t>
      </w:r>
    </w:p>
    <w:p w14:paraId="05C713E2" w14:textId="08F0836F" w:rsidR="00D71B29" w:rsidRDefault="00B976C3" w:rsidP="00D71B29">
      <w:pPr>
        <w:spacing w:after="867" w:line="240" w:lineRule="auto"/>
        <w:ind w:left="-5" w:firstLine="482"/>
        <w:rPr>
          <w:rFonts w:ascii="宋体" w:eastAsia="宋体" w:hAnsi="宋体" w:cs="宋体"/>
          <w:sz w:val="20"/>
          <w:szCs w:val="20"/>
          <w:lang w:eastAsia="zh-CN"/>
        </w:rPr>
      </w:pPr>
      <w:r w:rsidRPr="00B976C3">
        <w:rPr>
          <w:rFonts w:ascii="宋体" w:eastAsia="宋体" w:hAnsi="宋体" w:cs="宋体" w:hint="eastAsia"/>
          <w:sz w:val="20"/>
          <w:szCs w:val="20"/>
          <w:lang w:eastAsia="zh-CN"/>
        </w:rPr>
        <w:t>商业网络取证包的兼容性与扩展性不足是其在实际应用中的一大限制。许多工具由于由特定厂商开发，往往采用专有技术或格式，使得其在不同系统间的数据共享和操作协同面临困难。例如，不同取证包之间的分析结果可能无法直接导入或转换，导致用户需要额外开发接口或使用中间工具来实现数据整合。此外，这类工具的扩展性也受到一定限制，尤其是在面对新兴技术或多样化需求时。随着云计算、物联网和大数据的快速发展，现有的网络取证工具可能难以适应这些新场景。例如，传统工具可能无法有效处理分布式存储数据或物联网设备日志，限制了其应用范围。另一方面，由于缺乏开放性设计，用户在需要添加新功能或支持特定需求时，往往受到厂商技术和授权的限制。这种兼容性和扩展性不足的问题，制约了商业网络取证包在多元化环境中的全面应用。未来，通过采用开放标准、增强跨平台兼容性以及提供可定制模块，能够更好地满足用户需求，提升工具的实用性和灵活性。</w:t>
      </w:r>
    </w:p>
    <w:p w14:paraId="0FDF0B77" w14:textId="77777777" w:rsidR="004829EA" w:rsidRDefault="00000000">
      <w:pPr>
        <w:pStyle w:val="1"/>
        <w:spacing w:line="240" w:lineRule="auto"/>
        <w:ind w:left="410" w:hanging="425"/>
      </w:pPr>
      <w:r>
        <w:t>结语</w:t>
      </w:r>
    </w:p>
    <w:p w14:paraId="094AEBC9" w14:textId="4368A5CF" w:rsidR="004829EA" w:rsidRDefault="00B976C3" w:rsidP="006A4B77">
      <w:pPr>
        <w:spacing w:after="867" w:line="240" w:lineRule="auto"/>
        <w:ind w:left="-5" w:firstLine="482"/>
        <w:rPr>
          <w:rFonts w:ascii="宋体" w:eastAsia="宋体" w:hAnsi="宋体" w:cs="宋体"/>
          <w:sz w:val="20"/>
          <w:szCs w:val="20"/>
          <w:lang w:eastAsia="zh-CN"/>
        </w:rPr>
      </w:pPr>
      <w:r w:rsidRPr="00B976C3">
        <w:rPr>
          <w:rFonts w:ascii="宋体" w:eastAsia="宋体" w:hAnsi="宋体" w:cs="宋体" w:hint="eastAsia"/>
          <w:sz w:val="20"/>
          <w:szCs w:val="20"/>
          <w:lang w:eastAsia="zh-CN"/>
        </w:rPr>
        <w:t>综上所述，商业网络取证包作为现代网络安全和数字犯罪调查的重要工具，凭借其高效性、准确性和功能全面性，已在执法、企业合规和数据分析等领域发挥了关键作用</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等线" w:hAnsi="Times New Roman" w:cs="Times New Roman" w:hint="eastAsia"/>
          <w:sz w:val="20"/>
          <w:szCs w:val="20"/>
          <w:vertAlign w:val="superscript"/>
          <w:lang w:eastAsia="zh-CN"/>
        </w:rPr>
        <w:t>0</w:t>
      </w:r>
      <w:r>
        <w:rPr>
          <w:rFonts w:ascii="Times New Roman" w:eastAsia="Times New Roman" w:hAnsi="Times New Roman" w:cs="Times New Roman"/>
          <w:sz w:val="20"/>
          <w:szCs w:val="20"/>
          <w:vertAlign w:val="superscript"/>
          <w:lang w:eastAsia="zh-CN"/>
        </w:rPr>
        <w:t>]</w:t>
      </w:r>
      <w:r w:rsidRPr="00B976C3">
        <w:rPr>
          <w:rFonts w:ascii="宋体" w:eastAsia="宋体" w:hAnsi="宋体" w:cs="宋体" w:hint="eastAsia"/>
          <w:sz w:val="20"/>
          <w:szCs w:val="20"/>
          <w:lang w:eastAsia="zh-CN"/>
        </w:rPr>
        <w:t>。然而，这些工具在高成本、技术壁垒以及兼容性和扩展性不足方面仍面临显著挑战，限制了其更广泛的应用和普及。为解决这些问题，未来应在技术研发、用户培训和法律规范等方面持续改进。例如，通过优化用户体验、降低使用成本以及增强跨平台兼容性，商业网络取证包可以更好地适应复杂多变的网络环境。同时，加强对隐私保护和法律合规性的重视，能够在技术创新的基础上实现社会责任与效益的平衡。通过全面应对当前存在的问题，商业网络取证包将在数字化转型和网络安全保障中扮演更加重要的角色，为建设安全、可信的网络空间提供坚实支撑。</w:t>
      </w:r>
    </w:p>
    <w:p w14:paraId="0C6F44D0" w14:textId="77777777" w:rsidR="00B976C3" w:rsidRDefault="00B976C3" w:rsidP="006A4B77">
      <w:pPr>
        <w:spacing w:after="867" w:line="240" w:lineRule="auto"/>
        <w:ind w:left="-5" w:firstLine="482"/>
        <w:rPr>
          <w:rFonts w:ascii="宋体" w:eastAsia="宋体" w:hAnsi="宋体" w:cs="宋体" w:hint="eastAsia"/>
          <w:sz w:val="20"/>
          <w:szCs w:val="20"/>
          <w:lang w:eastAsia="zh-CN"/>
        </w:rPr>
      </w:pPr>
    </w:p>
    <w:p w14:paraId="1A442B6E" w14:textId="77777777" w:rsidR="004829EA" w:rsidRDefault="00000000">
      <w:pPr>
        <w:spacing w:after="151" w:line="240" w:lineRule="auto"/>
        <w:ind w:right="5"/>
        <w:jc w:val="center"/>
      </w:pPr>
      <w:r>
        <w:rPr>
          <w:rFonts w:ascii="黑体" w:eastAsia="黑体" w:hAnsi="黑体" w:cs="黑体"/>
          <w:sz w:val="21"/>
        </w:rPr>
        <w:lastRenderedPageBreak/>
        <w:t>参考文献</w:t>
      </w:r>
    </w:p>
    <w:p w14:paraId="39377728"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刘雪花</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丁丽萍</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郑涛</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吴敬征</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李彦峰</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面向网络取证的网络攻击追踪溯源技术分析</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软件学报</w:t>
      </w:r>
      <w:r w:rsidRPr="00C90DA9">
        <w:rPr>
          <w:rFonts w:ascii="宋体" w:eastAsia="宋体" w:hAnsi="宋体" w:cs="宋体"/>
          <w:sz w:val="20"/>
          <w:szCs w:val="20"/>
          <w:lang w:eastAsia="zh-CN"/>
        </w:rPr>
        <w:t>,2021,32(01):194-217.DOI:10.13328/j.cnki.jos.006105.</w:t>
      </w:r>
    </w:p>
    <w:p w14:paraId="1FE30FC7"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洪洋</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论网络取证的立法困境与出路</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上海公安学院学报</w:t>
      </w:r>
      <w:r w:rsidRPr="00C90DA9">
        <w:rPr>
          <w:rFonts w:ascii="宋体" w:eastAsia="宋体" w:hAnsi="宋体" w:cs="宋体"/>
          <w:sz w:val="20"/>
          <w:szCs w:val="20"/>
          <w:lang w:eastAsia="zh-CN"/>
        </w:rPr>
        <w:t>,2020,30(06):57-64.DOI:10.13643/j.cnki.issn2096-7039.2020.06.008.</w:t>
      </w:r>
    </w:p>
    <w:p w14:paraId="64E0FB64"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林鹭</w:t>
      </w:r>
      <w:r w:rsidRPr="00C90DA9">
        <w:rPr>
          <w:rFonts w:ascii="宋体" w:eastAsia="宋体" w:hAnsi="宋体" w:cs="宋体"/>
          <w:sz w:val="20"/>
          <w:szCs w:val="20"/>
          <w:lang w:eastAsia="zh-CN"/>
        </w:rPr>
        <w:t xml:space="preserve">. </w:t>
      </w:r>
      <w:r w:rsidRPr="00C90DA9">
        <w:rPr>
          <w:rFonts w:ascii="宋体" w:eastAsia="宋体" w:hAnsi="宋体" w:cs="宋体" w:hint="eastAsia"/>
          <w:sz w:val="20"/>
          <w:szCs w:val="20"/>
          <w:lang w:eastAsia="zh-CN"/>
        </w:rPr>
        <w:t>基于网络表示学习的社交网络取证分析模型</w:t>
      </w:r>
      <w:r w:rsidRPr="00C90DA9">
        <w:rPr>
          <w:rFonts w:ascii="宋体" w:eastAsia="宋体" w:hAnsi="宋体" w:cs="宋体"/>
          <w:sz w:val="20"/>
          <w:szCs w:val="20"/>
          <w:lang w:eastAsia="zh-CN"/>
        </w:rPr>
        <w:t>[D].</w:t>
      </w:r>
      <w:r w:rsidRPr="00C90DA9">
        <w:rPr>
          <w:rFonts w:ascii="宋体" w:eastAsia="宋体" w:hAnsi="宋体" w:cs="宋体" w:hint="eastAsia"/>
          <w:sz w:val="20"/>
          <w:szCs w:val="20"/>
          <w:lang w:eastAsia="zh-CN"/>
        </w:rPr>
        <w:t>吉林大学</w:t>
      </w:r>
      <w:r w:rsidRPr="00C90DA9">
        <w:rPr>
          <w:rFonts w:ascii="宋体" w:eastAsia="宋体" w:hAnsi="宋体" w:cs="宋体"/>
          <w:sz w:val="20"/>
          <w:szCs w:val="20"/>
          <w:lang w:eastAsia="zh-CN"/>
        </w:rPr>
        <w:t>,2020.DOI:10.27162/d.cnki.gjlin.2020.004923.</w:t>
      </w:r>
    </w:p>
    <w:p w14:paraId="26190AB7"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黄士超</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数据挖掘在网络取证中的应用与研究</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网络安全技术与应用</w:t>
      </w:r>
      <w:r w:rsidRPr="00C90DA9">
        <w:rPr>
          <w:rFonts w:ascii="宋体" w:eastAsia="宋体" w:hAnsi="宋体" w:cs="宋体"/>
          <w:sz w:val="20"/>
          <w:szCs w:val="20"/>
          <w:lang w:eastAsia="zh-CN"/>
        </w:rPr>
        <w:t>,2020(01):146-147.</w:t>
      </w:r>
    </w:p>
    <w:p w14:paraId="29BCCAB9"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张建凤</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公证制度在网络取证中的适用分析</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法制博览</w:t>
      </w:r>
      <w:r w:rsidRPr="00C90DA9">
        <w:rPr>
          <w:rFonts w:ascii="宋体" w:eastAsia="宋体" w:hAnsi="宋体" w:cs="宋体"/>
          <w:sz w:val="20"/>
          <w:szCs w:val="20"/>
          <w:lang w:eastAsia="zh-CN"/>
        </w:rPr>
        <w:t>,2019(32):135-136.</w:t>
      </w:r>
    </w:p>
    <w:p w14:paraId="4AB9F68B"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刘向华</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基于证据图技术的网络取证方法研究</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电脑知识与技术</w:t>
      </w:r>
      <w:r w:rsidRPr="00C90DA9">
        <w:rPr>
          <w:rFonts w:ascii="宋体" w:eastAsia="宋体" w:hAnsi="宋体" w:cs="宋体"/>
          <w:sz w:val="20"/>
          <w:szCs w:val="20"/>
          <w:lang w:eastAsia="zh-CN"/>
        </w:rPr>
        <w:t>,2020,16(07):19-22.DOI:10.14004/j.cnki.ckt.2020.0744.</w:t>
      </w:r>
    </w:p>
    <w:p w14:paraId="5B341C72"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彭英杰</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总线网络取证信息自动检索风险控制系统设计</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计算机测量与控制</w:t>
      </w:r>
      <w:r w:rsidRPr="00C90DA9">
        <w:rPr>
          <w:rFonts w:ascii="宋体" w:eastAsia="宋体" w:hAnsi="宋体" w:cs="宋体"/>
          <w:sz w:val="20"/>
          <w:szCs w:val="20"/>
          <w:lang w:eastAsia="zh-CN"/>
        </w:rPr>
        <w:t>,2018,26(09):108-112.DOI:10.16526/j.cnki.11-4762/tp.2018.09.023.</w:t>
      </w:r>
    </w:p>
    <w:p w14:paraId="7934151B"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李亚轩</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信息化警务模式下网络取证技术完善的研究</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网络安全技术与应用</w:t>
      </w:r>
      <w:r w:rsidRPr="00C90DA9">
        <w:rPr>
          <w:rFonts w:ascii="宋体" w:eastAsia="宋体" w:hAnsi="宋体" w:cs="宋体"/>
          <w:sz w:val="20"/>
          <w:szCs w:val="20"/>
          <w:lang w:eastAsia="zh-CN"/>
        </w:rPr>
        <w:t>,2018(05):100-101.</w:t>
      </w:r>
    </w:p>
    <w:p w14:paraId="5E1AA8E3" w14:textId="77777777" w:rsidR="00C90DA9" w:rsidRPr="00C90DA9"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薛伟</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公证制度在网络取证中的适用分析</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法制博览</w:t>
      </w:r>
      <w:r w:rsidRPr="00C90DA9">
        <w:rPr>
          <w:rFonts w:ascii="宋体" w:eastAsia="宋体" w:hAnsi="宋体" w:cs="宋体"/>
          <w:sz w:val="20"/>
          <w:szCs w:val="20"/>
          <w:lang w:eastAsia="zh-CN"/>
        </w:rPr>
        <w:t>,2018(17):135.</w:t>
      </w:r>
    </w:p>
    <w:p w14:paraId="22BFFB6E" w14:textId="3FCE04E0" w:rsidR="004829EA" w:rsidRDefault="00C90DA9" w:rsidP="00C90DA9">
      <w:pPr>
        <w:numPr>
          <w:ilvl w:val="0"/>
          <w:numId w:val="2"/>
        </w:numPr>
        <w:spacing w:after="40" w:line="240" w:lineRule="auto"/>
        <w:rPr>
          <w:rFonts w:ascii="宋体" w:eastAsia="宋体" w:hAnsi="宋体" w:cs="宋体"/>
          <w:sz w:val="20"/>
          <w:szCs w:val="20"/>
          <w:lang w:eastAsia="zh-CN"/>
        </w:rPr>
      </w:pPr>
      <w:r w:rsidRPr="00C90DA9">
        <w:rPr>
          <w:rFonts w:ascii="宋体" w:eastAsia="宋体" w:hAnsi="宋体" w:cs="宋体" w:hint="eastAsia"/>
          <w:sz w:val="20"/>
          <w:szCs w:val="20"/>
          <w:lang w:eastAsia="zh-CN"/>
        </w:rPr>
        <w:t>王钧玉</w:t>
      </w:r>
      <w:r w:rsidRPr="00C90DA9">
        <w:rPr>
          <w:rFonts w:ascii="宋体" w:eastAsia="宋体" w:hAnsi="宋体" w:cs="宋体"/>
          <w:sz w:val="20"/>
          <w:szCs w:val="20"/>
          <w:lang w:eastAsia="zh-CN"/>
        </w:rPr>
        <w:t>.</w:t>
      </w:r>
      <w:r w:rsidRPr="00C90DA9">
        <w:rPr>
          <w:rFonts w:ascii="宋体" w:eastAsia="宋体" w:hAnsi="宋体" w:cs="宋体" w:hint="eastAsia"/>
          <w:sz w:val="20"/>
          <w:szCs w:val="20"/>
          <w:lang w:eastAsia="zh-CN"/>
        </w:rPr>
        <w:t>基于</w:t>
      </w:r>
      <w:r w:rsidRPr="00C90DA9">
        <w:rPr>
          <w:rFonts w:ascii="宋体" w:eastAsia="宋体" w:hAnsi="宋体" w:cs="宋体"/>
          <w:sz w:val="20"/>
          <w:szCs w:val="20"/>
          <w:lang w:eastAsia="zh-CN"/>
        </w:rPr>
        <w:t>HTTP</w:t>
      </w:r>
      <w:r w:rsidRPr="00C90DA9">
        <w:rPr>
          <w:rFonts w:ascii="宋体" w:eastAsia="宋体" w:hAnsi="宋体" w:cs="宋体" w:hint="eastAsia"/>
          <w:sz w:val="20"/>
          <w:szCs w:val="20"/>
          <w:lang w:eastAsia="zh-CN"/>
        </w:rPr>
        <w:t>协议报文分析的计算机网络取证方法</w:t>
      </w:r>
      <w:r w:rsidRPr="00C90DA9">
        <w:rPr>
          <w:rFonts w:ascii="宋体" w:eastAsia="宋体" w:hAnsi="宋体" w:cs="宋体"/>
          <w:sz w:val="20"/>
          <w:szCs w:val="20"/>
          <w:lang w:eastAsia="zh-CN"/>
        </w:rPr>
        <w:t>[J].</w:t>
      </w:r>
      <w:r w:rsidRPr="00C90DA9">
        <w:rPr>
          <w:rFonts w:ascii="宋体" w:eastAsia="宋体" w:hAnsi="宋体" w:cs="宋体" w:hint="eastAsia"/>
          <w:sz w:val="20"/>
          <w:szCs w:val="20"/>
          <w:lang w:eastAsia="zh-CN"/>
        </w:rPr>
        <w:t>佳木斯职业学院学报</w:t>
      </w:r>
      <w:r w:rsidRPr="00C90DA9">
        <w:rPr>
          <w:rFonts w:ascii="宋体" w:eastAsia="宋体" w:hAnsi="宋体" w:cs="宋体"/>
          <w:sz w:val="20"/>
          <w:szCs w:val="20"/>
          <w:lang w:eastAsia="zh-CN"/>
        </w:rPr>
        <w:t>,2018(08):152+154.</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2F8C4" w14:textId="77777777" w:rsidR="004F3010" w:rsidRDefault="004F3010">
      <w:pPr>
        <w:spacing w:line="240" w:lineRule="auto"/>
      </w:pPr>
      <w:r>
        <w:separator/>
      </w:r>
    </w:p>
  </w:endnote>
  <w:endnote w:type="continuationSeparator" w:id="0">
    <w:p w14:paraId="25447E05" w14:textId="77777777" w:rsidR="004F3010" w:rsidRDefault="004F3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6D47F0E3"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w:t>
    </w:r>
    <w:r w:rsidR="00EA6A67">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EA6A67">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B5C03" w14:textId="77777777" w:rsidR="004F3010" w:rsidRDefault="004F3010">
      <w:pPr>
        <w:spacing w:after="0"/>
      </w:pPr>
      <w:r>
        <w:separator/>
      </w:r>
    </w:p>
  </w:footnote>
  <w:footnote w:type="continuationSeparator" w:id="0">
    <w:p w14:paraId="0BCD86D5" w14:textId="77777777" w:rsidR="004F3010" w:rsidRDefault="004F30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6F15B33E"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EA6A67">
      <w:rPr>
        <w:rFonts w:ascii="等线" w:eastAsia="等线" w:hAnsi="等线" w:cs="Arial" w:hint="eastAsia"/>
        <w:b/>
        <w:sz w:val="18"/>
        <w:lang w:eastAsia="zh-CN"/>
      </w:rPr>
      <w:t>3</w:t>
    </w:r>
    <w:r>
      <w:rPr>
        <w:rFonts w:ascii="Arial" w:eastAsia="Arial" w:hAnsi="Arial" w:cs="Arial"/>
        <w:b/>
        <w:sz w:val="18"/>
      </w:rPr>
      <w:t>-</w:t>
    </w:r>
    <w:r w:rsidR="00EA6A67">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 w:numId="4" w16cid:durableId="615063970">
    <w:abstractNumId w:val="1"/>
  </w:num>
  <w:num w:numId="5" w16cid:durableId="1634822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A52EC"/>
    <w:rsid w:val="00227091"/>
    <w:rsid w:val="00280D89"/>
    <w:rsid w:val="002820A4"/>
    <w:rsid w:val="002908F2"/>
    <w:rsid w:val="00357BED"/>
    <w:rsid w:val="00386472"/>
    <w:rsid w:val="00387AD3"/>
    <w:rsid w:val="003A5ABA"/>
    <w:rsid w:val="003B6638"/>
    <w:rsid w:val="003C7B1C"/>
    <w:rsid w:val="003F377D"/>
    <w:rsid w:val="0044778B"/>
    <w:rsid w:val="004750FF"/>
    <w:rsid w:val="004829EA"/>
    <w:rsid w:val="004F3010"/>
    <w:rsid w:val="005464F3"/>
    <w:rsid w:val="00546620"/>
    <w:rsid w:val="00556C72"/>
    <w:rsid w:val="00586665"/>
    <w:rsid w:val="00615BB0"/>
    <w:rsid w:val="006A4B77"/>
    <w:rsid w:val="006A7970"/>
    <w:rsid w:val="007217A0"/>
    <w:rsid w:val="00731A83"/>
    <w:rsid w:val="007362BA"/>
    <w:rsid w:val="007644C5"/>
    <w:rsid w:val="00772F7F"/>
    <w:rsid w:val="007737DA"/>
    <w:rsid w:val="00774781"/>
    <w:rsid w:val="007A76DA"/>
    <w:rsid w:val="007B7992"/>
    <w:rsid w:val="007C7E04"/>
    <w:rsid w:val="007E29B1"/>
    <w:rsid w:val="00825AB7"/>
    <w:rsid w:val="00827986"/>
    <w:rsid w:val="0084272D"/>
    <w:rsid w:val="00865625"/>
    <w:rsid w:val="008E5F92"/>
    <w:rsid w:val="009337E1"/>
    <w:rsid w:val="00965320"/>
    <w:rsid w:val="00974091"/>
    <w:rsid w:val="009946CF"/>
    <w:rsid w:val="009A03DF"/>
    <w:rsid w:val="00A26627"/>
    <w:rsid w:val="00A46EC0"/>
    <w:rsid w:val="00A772F6"/>
    <w:rsid w:val="00AA7CA6"/>
    <w:rsid w:val="00B03763"/>
    <w:rsid w:val="00B602C7"/>
    <w:rsid w:val="00B708D5"/>
    <w:rsid w:val="00B953B7"/>
    <w:rsid w:val="00B976C3"/>
    <w:rsid w:val="00BA0E64"/>
    <w:rsid w:val="00BA66D9"/>
    <w:rsid w:val="00BB45A7"/>
    <w:rsid w:val="00BB5716"/>
    <w:rsid w:val="00BD366A"/>
    <w:rsid w:val="00BD7389"/>
    <w:rsid w:val="00BF55CA"/>
    <w:rsid w:val="00C24387"/>
    <w:rsid w:val="00C3045F"/>
    <w:rsid w:val="00C46666"/>
    <w:rsid w:val="00C503E6"/>
    <w:rsid w:val="00C54506"/>
    <w:rsid w:val="00C6630B"/>
    <w:rsid w:val="00C816DA"/>
    <w:rsid w:val="00C90DA9"/>
    <w:rsid w:val="00C94B5F"/>
    <w:rsid w:val="00C97E9A"/>
    <w:rsid w:val="00CA0132"/>
    <w:rsid w:val="00D07CB1"/>
    <w:rsid w:val="00D12112"/>
    <w:rsid w:val="00D26438"/>
    <w:rsid w:val="00D36D09"/>
    <w:rsid w:val="00D6065E"/>
    <w:rsid w:val="00D66E61"/>
    <w:rsid w:val="00D71B29"/>
    <w:rsid w:val="00D74067"/>
    <w:rsid w:val="00D95CFC"/>
    <w:rsid w:val="00E136F2"/>
    <w:rsid w:val="00E13CA1"/>
    <w:rsid w:val="00E36502"/>
    <w:rsid w:val="00E669FA"/>
    <w:rsid w:val="00EA6A67"/>
    <w:rsid w:val="00EA73E2"/>
    <w:rsid w:val="00EB18D5"/>
    <w:rsid w:val="00EE7FE3"/>
    <w:rsid w:val="00F25B78"/>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CA1"/>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40192542">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95656713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809</Words>
  <Characters>4612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17</cp:revision>
  <cp:lastPrinted>2024-12-11T13:32:00Z</cp:lastPrinted>
  <dcterms:created xsi:type="dcterms:W3CDTF">2024-08-29T11:53:00Z</dcterms:created>
  <dcterms:modified xsi:type="dcterms:W3CDTF">2024-12-11T13:35:00Z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