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VIGIX:</w:t>
      </w:r>
      <w:r>
        <w:t xml:space="preserve"> </w:t>
      </w:r>
      <w:r>
        <w:t xml:space="preserve">แพลตฟอร์มสนับสนุนการตอบสนองต่อเหตุการณ์ด้วยแบบจำลองภาษาขนาดใหญ่ภายใต้การตัดสินใจของผู้ปฏิบัติงาน</w:t>
      </w:r>
    </w:p>
    <w:p>
      <w:pPr>
        <w:pStyle w:val="Subtitle"/>
      </w:pPr>
      <w:r>
        <w:t xml:space="preserve">VIGIX:</w:t>
      </w:r>
      <w:r>
        <w:t xml:space="preserve"> </w:t>
      </w:r>
      <w:r>
        <w:t xml:space="preserve">AI-Powered</w:t>
      </w:r>
      <w:r>
        <w:t xml:space="preserve"> </w:t>
      </w:r>
      <w:r>
        <w:t xml:space="preserve">SOC</w:t>
      </w:r>
      <w:r>
        <w:t xml:space="preserve"> </w:t>
      </w:r>
      <w:r>
        <w:t xml:space="preserve">Automation</w:t>
      </w:r>
      <w:r>
        <w:t xml:space="preserve"> </w:t>
      </w:r>
      <w:r>
        <w:t xml:space="preserve">Platform</w:t>
      </w:r>
    </w:p>
    <w:p>
      <w:pPr>
        <w:pStyle w:val="FirstParagraph"/>
      </w:pPr>
      <w:r>
        <w:rPr>
          <w:bCs/>
          <w:b/>
        </w:rPr>
        <w:t xml:space="preserve">Kanoknipha Panset¹, Chakchai So-In¹</w:t>
      </w:r>
      <w:r>
        <w:t xml:space="preserve"> </w:t>
      </w:r>
      <w:r>
        <w:t xml:space="preserve">[ต้องยืนยัน: รูปแบบชื่อ ตำแหน่งวิชาการ และหมายเลขสังกัดตามข้อกำหนดของเวที]</w:t>
      </w:r>
    </w:p>
    <w:p>
      <w:pPr>
        <w:pStyle w:val="BodyText"/>
      </w:pPr>
      <w:r>
        <w:t xml:space="preserve">¹College of Computing, Khon Kaen University, Thailand</w:t>
      </w:r>
      <w:r>
        <w:t xml:space="preserve"> </w:t>
      </w:r>
      <w:r>
        <w:t xml:space="preserve">kanoknipha.p@kkumail.com [ต้องยืนยัน: อีเมลผู้เขียนร่วม]</w:t>
      </w:r>
    </w:p>
    <w:bookmarkStart w:id="20" w:name="บทคดยอ"/>
    <w:p>
      <w:pPr>
        <w:sectPr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Heading2"/>
      </w:pPr>
      <w:r>
        <w:t xml:space="preserve">บทคัดย่อ</w:t>
      </w:r>
    </w:p>
    <w:p>
      <w:pPr>
        <w:pStyle w:val="FirstParagraph"/>
      </w:pPr>
      <w:r>
        <w:t xml:space="preserve">ศูนย์ปฏิบัติการความมั่นคงปลอดภัยไซเบอร์ (Security Operations Center: SOC) ต้องเปลี่ยนการแจ้งเตือนจำนวนมากให้เป็นการตอบสนองที่ตรวจสอบย้อนกลับได้ งานนี้พัฒนา VIGIX ซึ่งเป็นระบบต้นแบบที่เชื่อมการรับการแจ้งเตือนจาก Wazuh การสืบสวน การสร้างคำแนะนำการตอบสนองด้วยแบบจำลองภาษาขนาดใหญ่ (Large Language Model: LLM) ร่วมกับการค้นคืนความรู้ การตรวจสอบคำแนะนำด้วยกฎของระบบ การตัดสินใจของทีมตอบสนองต่อเหตุการณ์ (Incident Response: IR) และการตรวจสอบผลหลังการตอบสนองด้วยการค้นหาซ้ำ (re-hunt) บน Wazuh โดยแบบจำลองภาษาไม่มีสิทธิ์อนุมัติ ดำเนินการตอบสนอง หรือเปลี่ยนสถานะเหตุการณ์ การประเมินใช้กรณีทดสอบ 10 กรณีในห้องปฏิบัติการ ด้วย Wazuh 4.9.2 เครื่องปลายทาง Linux และเครื่องปลายทาง Windows 10 ที่ติดตั้ง Sysmon สำหรับกรณี PowerShell โดยตรึงคำตอบอ้างอิงแบบคู่การดำเนินการ–เป้าหมายไว้ก่อนการทดลอง ภายใต้เกณฑ์ตรงกันทั้งชุด (strict exact-match) คำแนะนำตรงกับคำตอบอ้างอิง 4 จาก 10 กรณี (ร้อยละ 40.00) กรณีที่ไม่ตรงส่วนใหญ่มีการดำเนินการที่จำเป็นครบแต่เสนอการดำเนินการเพิ่มเติม และกรณี PowerShell ไม่สามารถสร้างคำแนะนำที่ผ่านการตรวจสอบของระบบได้ คำแนะนำทั้ง 9 รายการที่สร้างได้ผ่านเกณฑ์การปฏิบัติตามกฎ 7 ด้าน ซึ่งไม่ใช่ตัวชี้วัดความถูกต้อง กระบวนการดำเนินจนถึงการตรวจสอบผลและได้ผลไม่พบเหตุการณ์ซ้ำ (RESOLVED) 7 จาก 10 กรณี ระบบสกัดตัวบ่งชี้การบุกรุก (IOC) ได้ 21 จาก 23 รายการ (ร้อยละ 91.30) และใช้เวลาตั้งแต่เริ่มสืบสวนจนได้คำแนะนำเฉลี่ย 95.86 วินาที (มัธยฐาน 77.77 วินาที, n = 9) การทดลองเสริมที่รายงานแยกพบว่า เมื่อสร้างคำแนะนำซ้ำ 15 ครั้งต่อกรณีบนหลักฐานชุดเดิม ชุดคำแนะนำตรงกับชุดที่พบบ่อยที่สุด 33 จาก 44 ครั้ง (ร้อยละ 75.00) ระบบเปลี่ยนสถานะเป็น escalated หลังการค้นหาซ้ำไม่ยืนยันผลครบ 3 รอบ และไม่ดำเนินการตอบสนองเองเมื่อ IR ปฏิเสธคำแนะนำ ผลทั้งหมดมาจากการทดลองหนึ่งรอบ แบบจำลองภาษาหนึ่งแบบจำลอง และการอนุมัติด้วยสคริปต์ จึงใช้ระบุพฤติกรรมของระบบต้นแบบในสถานการณ์ที่ทดสอบ แต่ยังไม่เพียงพอสำหรับสรุปประสิทธิผลในศูนย์ปฏิบัติการจริง</w:t>
      </w:r>
    </w:p>
    <w:p>
      <w:pPr>
        <w:pStyle w:val="BodyText"/>
      </w:pPr>
      <w:r>
        <w:rPr>
          <w:bCs/>
          <w:b/>
        </w:rPr>
        <w:t xml:space="preserve">คำสำคัญ</w:t>
      </w:r>
      <w:r>
        <w:t xml:space="preserve"> </w:t>
      </w:r>
      <w:r>
        <w:t xml:space="preserve">— ศูนย์ปฏิบัติการความมั่นคงปลอดภัยไซเบอร์, การตอบสนองต่อเหตุการณ์, แบบจำลองภาษาขนาดใหญ่, การทำงานร่วมกับมนุษย์, การค้นหาซ้ำ, Wazuh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Security operations centers (SOCs) must turn large volumes of alerts into responses that can be traced and checked. This paper presents VIGIX, a prototype that connects Wazuh alert ingestion, investigation, response recommendation by a large language model (LLM) with knowledge retrieval, rule-based validation of each recommendation, decisions by an incident response (IR) team, and post-response verification by re-hunting in Wazuh. The LLM cannot approve or execute a response or change an incident’s status. The evaluation used ten laboratory test cases with Wazuh 4.9.2, a Linux endpoint, and a Windows 10 endpoint with Sysmon for the PowerShell case; action–target ground truth was frozen before the run. Under strict exact-match scoring, the recommendation matched the ground truth in 4 of 10 cases (40.00%). Most mismatches contained all required actions plus additional ones, and the PowerShell case produced no recommendation that passed the system’s validation. All nine recommendations that were produced satisfied a seven-criterion rule-compliance check, which is not a measure of correctness. The workflow reached verification with a RESOLVED result in 7 of 10 cases, IOC recall was 91.30% (21/23), and the mean time from investigation start to recommendation was 95.86 s (median 77.77 s, n = 9). Supplementary tests, reported separately, showed that 33 of 44 valid repeated generations (75.00%; 15 repetitions per case on a fixed evidence snapshot) matched the modal recommendation set, that the incident was escalated after three unresolved re-hunt rounds, and that no response was executed automatically after an IR rejection. All results come from one run, one LLM, and scripted approval; they describe the prototype’s behavior in the tested scenarios and do not establish effectiveness in an operational SOC.</w:t>
      </w:r>
    </w:p>
    <w:p>
      <w:pPr>
        <w:pStyle w:val="BodyText"/>
      </w:pPr>
      <w:r>
        <w:rPr>
          <w:bCs/>
          <w:b/>
        </w:rPr>
        <w:t xml:space="preserve">Keywords</w:t>
      </w:r>
      <w:r>
        <w:t xml:space="preserve"> </w:t>
      </w:r>
      <w:r>
        <w:t xml:space="preserve">— security operations center (SOC); incident response; large language model; human-in-the-loop; re-hunting; Wazuh</w:t>
      </w:r>
    </w:p>
    <w:bookmarkEnd w:id="21"/>
    <w:bookmarkStart w:id="22" w:name="บทนำ"/>
    <w:p>
      <w:pPr>
        <w:pStyle w:val="Heading2"/>
      </w:pPr>
      <w:r>
        <w:t xml:space="preserve">1. บทนำ</w:t>
      </w:r>
    </w:p>
    <w:p>
      <w:pPr>
        <w:pStyle w:val="FirstParagraph"/>
      </w:pPr>
      <w:r>
        <w:t xml:space="preserve">ศูนย์ปฏิบัติการความมั่นคงปลอดภัยไซเบอร์ (SOC) ต้องคัดกรองการแจ้งเตือน (alert) รวบรวมหลักฐาน วิเคราะห์เหตุการณ์ และกำหนดการตอบสนองภายในเวลาจำกัด เมื่อมีการแจ้งเตือนจำนวนมากพร้อมกัน ภาระงานของนักวิเคราะห์จะเพิ่มขึ้นและอาจกระทบคุณภาพของการตัดสินใจ [1], [5] แนวทางของ NIST จัดการตอบสนองต่อเหตุการณ์ไว้เป็นส่วนหนึ่งของการบริหารความเสี่ยงที่ต่อเนื่องตั้งแต่การตรวจพบ การตอบสนอง จนถึงการฟื้นฟู [8] ดังนั้นการตอบสนองจึงไม่ควรสิ้นสุดเมื่อดำเนินการเสร็จ แต่ควรมีการตรวจสอบว่าผลที่ได้ตรงกับที่คาดไว้หรือไม่</w:t>
      </w:r>
    </w:p>
    <w:p>
      <w:pPr>
        <w:pStyle w:val="BodyText"/>
      </w:pPr>
      <w:r>
        <w:t xml:space="preserve">งานที่ผ่านมานำแบบจำลองภาษาขนาดใหญ่ (LLM) มาช่วยเพิ่มบริบทของการแจ้งเตือน สร้างแนวทางการตอบสนอง และสนับสนุนนักวิเคราะห์ [1], [3]–[7] อย่างไรก็ตาม คำแนะนำจาก LLM อาจอ้างเป้าหมายที่ไม่มีในหลักฐาน หรือเสนอการดำเนินการที่ไม่สอดคล้องกับนโยบายขององค์กร จึงต้องตรวจสอบก่อนนำไปใช้ [2] และผู้ปฏิบัติงานควรเป็นผู้ตัดสินใจขั้นสุดท้าย [5]</w:t>
      </w:r>
    </w:p>
    <w:p>
      <w:pPr>
        <w:pStyle w:val="BodyText"/>
      </w:pPr>
      <w:r>
        <w:t xml:space="preserve">งานที่ทบทวนในหัวข้อที่ 2 รายงานองค์ประกอบเหล่านี้แยกกัน ได้แก่ การเพิ่มบริบทและสร้างแนวทางการตอบสนอง [1], [3], [4] การตรวจสอบแผนการตอบสนองกับนโยบายก่อนส่งให้นักวิเคราะห์ [2] และการศึกษาการทำงานร่วมกันระหว่างนักวิเคราะห์กับ LLM [5] แต่ไม่ได้รายงานการเชื่อมคำแนะนำที่ผ่านการตรวจสอบ การตัดสินใจของผู้ปฏิบัติงาน และการตรวจสอบผลหลังการตอบสนองด้วยหลักฐานจากระบบเฝ้าระวังไว้ในกระบวนการเดียวกัน งานนี้จึงศึกษาว่าองค์ประกอบดังกล่าวทำงานร่วมกันอย่างไรในระบบต้นแบบ และมีจุดใดที่ยังทำงานไม่สำเร็จ</w:t>
      </w:r>
    </w:p>
    <w:p>
      <w:pPr>
        <w:pStyle w:val="BodyText"/>
      </w:pPr>
      <w:r>
        <w:t xml:space="preserve">งานนี้มีวัตถุประสงค์ 2 ข้อ ได้แก่ (1) พัฒนา VIGIX ให้รับการแจ้งเตือนจาก Wazuh สร้างคำแนะนำการตอบสนองด้วย LLM ร่วมกับการค้นคืนความรู้ (Retrieval-Augmented Generation: RAG) ตรวจสอบคำแนะนำด้วยกฎของระบบก่อนส่งให้ทีม IR ตัดสินใจ และตรวจสอบผลหลังการตอบสนองด้วยการค้นหาซ้ำ และ (2) ประเมินระบบในห้องปฏิบัติการโดยแยกตัวชี้วัด 3 กลุ่ม คือ ความตรงของคำแนะนำกับคำตอบอ้างอิง การปฏิบัติตามกฎของระบบ และความครบถ้วนของกระบวนการ พร้อมระบุกรณีที่ระบบทำงานไม่สำเร็จ</w:t>
      </w:r>
    </w:p>
    <w:p>
      <w:pPr>
        <w:pStyle w:val="BodyText"/>
      </w:pPr>
      <w:r>
        <w:t xml:space="preserve">ขอบเขตของงานจำกัดอยู่ที่การตอบสนองระยะสั้น (short-term containment) ในสภาพแวดล้อมห้องปฏิบัติการ ใช้กรณีทดสอบ 10 กรณี แบบจำลองภาษาหนึ่งแบบจำลอง และการอนุมัติด้วยสคริปต์แทนผู้ปฏิบัติงานจริง งานนี้ไม่ได้วัดภาระงานหรือเวลาที่นักวิเคราะห์ใช้ตัดสินใจ</w:t>
      </w:r>
    </w:p>
    <w:p>
      <w:pPr>
        <w:pStyle w:val="BodyText"/>
      </w:pPr>
      <w:r>
        <w:t xml:space="preserve">[ต้องยืนยัน: หากเวทีกำหนดให้ระบุบริบทสหกิจศึกษาหรือองค์กร ให้เพิ่มย่อหน้าสั้นที่ระบุองค์กร ช่วงเวลา และส่วนที่ผู้เขียนพัฒนาเอง โดยใช้ข้อมูลจริงจากผู้เขียนเท่านั้น]</w:t>
      </w:r>
    </w:p>
    <w:bookmarkEnd w:id="22"/>
    <w:bookmarkStart w:id="26" w:name="งานทเกยวของ"/>
    <w:p>
      <w:pPr>
        <w:pStyle w:val="Heading2"/>
      </w:pPr>
      <w:r>
        <w:t xml:space="preserve">2. งานที่เกี่ยวข้อง</w:t>
      </w:r>
    </w:p>
    <w:bookmarkStart w:id="23" w:name="llm-สำหรบงาน-soc-และการตอบสนองตอเหตการณ"/>
    <w:p>
      <w:pPr>
        <w:pStyle w:val="Heading3"/>
      </w:pPr>
      <w:r>
        <w:t xml:space="preserve">2.1 LLM สำหรับงาน SOC และการตอบสนองต่อเหตุการณ์</w:t>
      </w:r>
    </w:p>
    <w:p>
      <w:pPr>
        <w:pStyle w:val="FirstParagraph"/>
      </w:pPr>
      <w:r>
        <w:t xml:space="preserve">Singh et al. ศึกษาการใช้ LLM ของนักวิเคราะห์ใน SOC และพบว่านักวิเคราะห์ใช้ LLM ช่วยทำความเข้าใจเหตุการณ์และข้อมูลทางเทคนิค โดยนักวิเคราะห์ยังเป็นผู้ตรวจสอบและตัดสินใจ [5] Sheikhi et al. ใช้ LLM หลายเอเจนต์สร้างคำอธิบายเหตุการณ์ที่อ้างอิงหลักฐาน [6] ส่วน Rieger et al. รายงานว่า LLM จำแนกการแจ้งเตือนได้ดีกว่าการจัดลำดับความสำคัญ ซึ่งยังมีความแม่นยำต่ำในทุกแบบจำลองที่ทดสอบ [7] งานกลุ่มนี้มุ่งที่การวิเคราะห์และคัดกรอง ไม่ได้ครอบคลุมการตรวจสอบผลหลังการตอบสนอง</w:t>
      </w:r>
    </w:p>
    <w:bookmarkEnd w:id="23"/>
    <w:bookmarkStart w:id="24" w:name="X7a5697e79bf607653eee299fe1fc634295c0185"/>
    <w:p>
      <w:pPr>
        <w:pStyle w:val="Heading3"/>
      </w:pPr>
      <w:r>
        <w:t xml:space="preserve">2.2 RAG และข่าวกรองภัยคุกคามสำหรับการวิเคราะห์เหตุการณ์</w:t>
      </w:r>
    </w:p>
    <w:p>
      <w:pPr>
        <w:pStyle w:val="FirstParagraph"/>
      </w:pPr>
      <w:r>
        <w:t xml:space="preserve">Ismail et al. ใช้ Wazuh ร่วมกับ RAG และ LLM สร้างแนวทางการตอบสนองต่อเหตุการณ์ความปลอดภัย [1] Tellache et al. ใช้ RAG ร่วมกับข้อมูลข่าวกรองภัยคุกคาม (Cyber Threat Intelligence: CTI) เพื่อเพิ่มบริบทของการแจ้งเตือนและสร้างกลยุทธ์การตอบสนอง [3] และ Liu and Anwar ใช้ RAG เป็นแหล่งความรู้ของเอเจนต์หลายตัวในการจำลองการตอบสนองต่อเหตุการณ์ [4] งานกลุ่มนี้รายงานคุณภาพของแนวทางที่สร้างขึ้น แต่ไม่ได้รายงานการตรวจสอบคำแนะนำกับนโยบายขององค์กรหรือการติดตามผลหลังดำเนินการ</w:t>
      </w:r>
    </w:p>
    <w:bookmarkEnd w:id="24"/>
    <w:bookmarkStart w:id="25" w:name="การตรวจสอบนโยบายและการทำงานรวมกบมนษย"/>
    <w:p>
      <w:pPr>
        <w:pStyle w:val="Heading3"/>
      </w:pPr>
      <w:r>
        <w:t xml:space="preserve">2.3 การตรวจสอบนโยบายและการทำงานร่วมกับมนุษย์</w:t>
      </w:r>
    </w:p>
    <w:p>
      <w:pPr>
        <w:pStyle w:val="FirstParagraph"/>
      </w:pPr>
      <w:r>
        <w:t xml:space="preserve">Barbieri et al. พัฒนา SOCpilot ซึ่งตรวจสอบแผนการตอบสนองที่ LLM สร้างกับขั้นตอนบังคับ ลำดับขั้นตอน และจุดอนุมัติ ก่อนส่งให้นักวิเคราะห์ [2] งานนี้ตรวจสอบที่ขอบเขตของแผนก่อนการตัดสินใจ ส่วน VIGIX ตรวจสอบคำแนะนำกับหลักฐาน แคตตาล็อกการดำเนินการ นโยบาย และ playbook ก่อนส่งให้ทีม IR และเพิ่มการค้นหาซ้ำหลังการตอบสนอง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w:r>
        <w:rPr>
          <w:bCs/>
          <w:b/>
        </w:rPr>
        <w:t xml:space="preserve">ตารางที่ 1</w:t>
      </w:r>
      <w:r>
        <w:t xml:space="preserve"> </w:t>
      </w:r>
      <w:r>
        <w:t xml:space="preserve">เปรียบเทียบจุดเน้นของงานที่เกี่ยวข้อง (สรุปจากสิ่งที่แต่ละงานรายงาน)</w:t>
      </w:r>
    </w:p>
    <w:tbl>
      <w:tblPr>
        <w:tblW w:w="83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1413"/>
        <w:gridCol w:w="2244"/>
        <w:gridCol w:w="1496"/>
        <w:gridCol w:w="1579"/>
        <w:gridCol w:w="1581"/>
      </w:tblGrid>
      <w:tr>
        <w:trPr>
          <w:cantSplit/>
          <w:tblHeader/>
        </w:trPr>
        <w:tc>
          <w:tcPr>
            <w:tcW w:w="1413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งาน</w:t>
            </w:r>
          </w:p>
        </w:tc>
        <w:tc>
          <w:tcPr>
            <w:tcW w:w="2244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แนวทาง</w:t>
            </w:r>
          </w:p>
        </w:tc>
        <w:tc>
          <w:tcPr>
            <w:tcW w:w="1496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ตรวจคำแนะนำกับนโยบาย</w:t>
            </w:r>
          </w:p>
        </w:tc>
        <w:tc>
          <w:tcPr>
            <w:tcW w:w="1579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ผู้ปฏิบัติงานตัดสินใจ</w:t>
            </w:r>
          </w:p>
        </w:tc>
        <w:tc>
          <w:tcPr>
            <w:tcW w:w="1581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ตรวจผลหลังตอบสนอง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Ismail et al. [1]</w:t>
            </w:r>
          </w:p>
        </w:tc>
        <w:tc>
          <w:tcPr>
            <w:tcW w:w="22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Wazuh + RAG + LLM สร้างแนวทางการตอบสนอง</w:t>
            </w:r>
          </w:p>
        </w:tc>
        <w:tc>
          <w:tcPr>
            <w:tcW w:w="14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  <w:tc>
          <w:tcPr>
            <w:tcW w:w="1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  <w:tc>
          <w:tcPr>
            <w:tcW w:w="15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Barbieri et al. [2]</w:t>
            </w:r>
          </w:p>
        </w:tc>
        <w:tc>
          <w:tcPr>
            <w:tcW w:w="22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LLM + ตัวตรวจนโยบาย</w:t>
            </w:r>
          </w:p>
        </w:tc>
        <w:tc>
          <w:tcPr>
            <w:tcW w:w="14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รายงาน</w:t>
            </w:r>
          </w:p>
        </w:tc>
        <w:tc>
          <w:tcPr>
            <w:tcW w:w="1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รายงาน (จุดอนุมัติ)</w:t>
            </w:r>
          </w:p>
        </w:tc>
        <w:tc>
          <w:tcPr>
            <w:tcW w:w="15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Tellache et al. [3]</w:t>
            </w:r>
          </w:p>
        </w:tc>
        <w:tc>
          <w:tcPr>
            <w:tcW w:w="22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CTI + RAG + LLM</w:t>
            </w:r>
          </w:p>
        </w:tc>
        <w:tc>
          <w:tcPr>
            <w:tcW w:w="14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  <w:tc>
          <w:tcPr>
            <w:tcW w:w="1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  <w:tc>
          <w:tcPr>
            <w:tcW w:w="15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Liu and Anwar [4]</w:t>
            </w:r>
          </w:p>
        </w:tc>
        <w:tc>
          <w:tcPr>
            <w:tcW w:w="22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เอเจนต์หลายตัว + RAG (จำลองสถานการณ์)</w:t>
            </w:r>
          </w:p>
        </w:tc>
        <w:tc>
          <w:tcPr>
            <w:tcW w:w="14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  <w:tc>
          <w:tcPr>
            <w:tcW w:w="1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  <w:tc>
          <w:tcPr>
            <w:tcW w:w="15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ไม่ได้รายงาน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Singh et al. [5]</w:t>
            </w:r>
          </w:p>
        </w:tc>
        <w:tc>
          <w:tcPr>
            <w:tcW w:w="22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การศึกษาการใช้งาน LLM ของนักวิเคราะห์</w:t>
            </w:r>
          </w:p>
        </w:tc>
        <w:tc>
          <w:tcPr>
            <w:tcW w:w="14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ไม่ใช่ประเด็นของงาน</w:t>
            </w:r>
          </w:p>
        </w:tc>
        <w:tc>
          <w:tcPr>
            <w:tcW w:w="1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รายงาน</w:t>
            </w:r>
          </w:p>
        </w:tc>
        <w:tc>
          <w:tcPr>
            <w:tcW w:w="15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ไม่ใช่ประเด็นของงาน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VIGIX (งานนี้)</w:t>
            </w:r>
          </w:p>
        </w:tc>
        <w:tc>
          <w:tcPr>
            <w:tcW w:w="224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Wazuh + RAG + LLM + ตัวตรวจกฎ + ทีม IR + re-hunt</w:t>
            </w:r>
          </w:p>
        </w:tc>
        <w:tc>
          <w:tcPr>
            <w:tcW w:w="14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มี</w:t>
            </w:r>
          </w:p>
        </w:tc>
        <w:tc>
          <w:tcPr>
            <w:tcW w:w="157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มี (สคริปต์ในการทดลอง)</w:t>
            </w:r>
          </w:p>
        </w:tc>
        <w:tc>
          <w:tcPr>
            <w:tcW w:w="15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มี (ค้นหาซ้ำบน Wazuh)</w:t>
            </w:r>
          </w:p>
        </w:tc>
      </w:tr>
    </w:tbl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BodyText"/>
      </w:pPr>
      <w:r>
        <w:t xml:space="preserve">[ต้องยืนยัน: ตรวจข้อความในตารางที่ 1 กับต้นฉบับของงาน [1], [3], [4] อีกครั้ง โดยเฉพาะคำว่า</w:t>
      </w:r>
      <w:r>
        <w:t xml:space="preserve"> </w:t>
      </w:r>
      <w:r>
        <w:t xml:space="preserve">“</w:t>
      </w:r>
      <w:r>
        <w:t xml:space="preserve">ไม่ได้รายงาน</w:t>
      </w:r>
      <w:r>
        <w:t xml:space="preserve">”</w:t>
      </w:r>
      <w:r>
        <w:t xml:space="preserve"> </w:t>
      </w:r>
      <w:r>
        <w:t xml:space="preserve">ดู revision_matrix.md ประเด็น R-21]</w:t>
      </w:r>
    </w:p>
    <w:bookmarkEnd w:id="25"/>
    <w:bookmarkEnd w:id="26"/>
    <w:bookmarkStart w:id="35" w:name="วธดำเนนงาน"/>
    <w:p>
      <w:pPr>
        <w:pStyle w:val="Heading2"/>
      </w:pPr>
      <w:r>
        <w:t xml:space="preserve">3. วิธีดำเนินงาน</w:t>
      </w:r>
    </w:p>
    <w:bookmarkStart w:id="30" w:name="สถาปตยกรรมและบทบาท"/>
    <w:p>
      <w:pPr>
        <w:pStyle w:val="Heading3"/>
      </w:pPr>
      <w:r>
        <w:t xml:space="preserve">3.1 สถาปัตยกรรมและบทบาท</w:t>
      </w:r>
    </w:p>
    <w:p>
      <w:pPr>
        <w:pStyle w:val="FirstParagraph"/>
      </w:pPr>
      <w:r>
        <w:t xml:space="preserve">VIGIX แบ่งการทำงานเป็น 4 ระยะ (ภาพที่ 1) ได้แก่ (1) รับการแจ้งเตือนและจัดการเหตุการณ์ (2) สืบสวนและสร้างคำแนะนำ (3) ตรวจสอบคำแนะนำและให้ทีม IR ตัดสินใจ และ (4) ตรวจสอบผลด้วยการค้นหาซ้ำ ตัวควบคุมลำดับงานพัฒนาด้วย LangGraph ระบบจัดเก็บเวกเตอร์ความรู้ใน Qdrant และเก็บข้อมูลนโยบาย playbook runbook และแคตตาล็อกการดำเนินการผ่าน Prisma [ต้องยืนยัน: รุ่นของ LangGraph, Qdrant, Prisma และฐานข้อมูล]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CaptionedFigure"/>
      </w:pPr>
      <w:r>
        <w:drawing>
          <wp:inline>
            <wp:extent cx="5334000" cy="1616138"/>
            <wp:effectExtent b="0" l="0" r="0" t="0"/>
            <wp:docPr descr="ภาพที่ 1 ลำดับการทำงานของ VIGIX ตั้งแต่การแจ้งเตือนจนถึงการค้นหาซ้ำ" title="" id="28" name="Picture"/>
            <a:graphic>
              <a:graphicData uri="http://schemas.openxmlformats.org/drawingml/2006/picture">
                <pic:pic>
                  <pic:nvPicPr>
                    <pic:cNvPr descr="fig3_1_workflow_origin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 ลำดับการทำงานของ VIGIX ตั้งแต่การแจ้งเตือนจนถึงการค้นหาซ้ำ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BodyText"/>
      </w:pPr>
      <w:r>
        <w:t xml:space="preserve">[ต้องยืนยัน: ภาพที่ 1 มีเส้นทาง</w:t>
      </w:r>
      <w:r>
        <w:t xml:space="preserve"> </w:t>
      </w:r>
      <w:r>
        <w:t xml:space="preserve">“</w:t>
      </w:r>
      <w:r>
        <w:t xml:space="preserve">SOC Validation → Reject → Close Incident</w:t>
      </w:r>
      <w:r>
        <w:t xml:space="preserve">”</w:t>
      </w:r>
      <w:r>
        <w:t xml:space="preserve"> </w:t>
      </w:r>
      <w:r>
        <w:t xml:space="preserve">ซึ่งเนื้อหาไม่ได้อธิบาย ให้ยืนยันว่าเส้นทางนี้มีอยู่ในระบบรุ่นที่ทดสอบหรือไม่ และควรแยกภาพเป็นภาพรวม 4 ระยะกับภาพวงรอบการตรวจสอบผล เพื่อให้อ่านตัวอักษรได้]</w:t>
      </w:r>
    </w:p>
    <w:p>
      <w:pPr>
        <w:pStyle w:val="BodyText"/>
      </w:pPr>
      <w:r>
        <w:t xml:space="preserve">ตารางที่ 2 แยกบทบาทของแต่ละองค์ประกอบ เพื่อให้ชัดว่าใครเปลี่ยนสถานะของเหตุการณ์ได้ บทบาทนี้ยืนยันจากโค้ดรุ่น 245b536 ที่ใช้ในการทดลอง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w:r>
        <w:rPr>
          <w:bCs/>
          <w:b/>
        </w:rPr>
        <w:t xml:space="preserve">ตารางที่ 2</w:t>
      </w:r>
      <w:r>
        <w:t xml:space="preserve"> </w:t>
      </w:r>
      <w:r>
        <w:t xml:space="preserve">บทบาทและสิทธิ์ขององค์ประกอบ</w:t>
      </w:r>
    </w:p>
    <w:tbl>
      <w:tblPr>
        <w:tblW w:w="83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1781"/>
        <w:gridCol w:w="3265"/>
        <w:gridCol w:w="3267"/>
      </w:tblGrid>
      <w:tr>
        <w:trPr>
          <w:cantSplit/>
          <w:tblHeader/>
        </w:trPr>
        <w:tc>
          <w:tcPr>
            <w:tcW w:w="1781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องค์ประกอบ</w:t>
            </w:r>
          </w:p>
        </w:tc>
        <w:tc>
          <w:tcPr>
            <w:tcW w:w="3265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ทำได้</w:t>
            </w:r>
          </w:p>
        </w:tc>
        <w:tc>
          <w:tcPr>
            <w:tcW w:w="3267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ทำไม่ได้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LLM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วิเคราะห์หลักฐาน เสนอคำแนะนำพร้อมเหตุผล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อนุมัติ ดำเนินการตอบสนอง เปลี่ยนความรุนแรง เปลี่ยนสถานะเหตุการณ์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ระบบหลังบ้าน (backend)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กำหนดความรุนแรงจาก rule level ตรวจคำแนะนำ ประเมินนโยบาย ค้นหาซ้ำ และเปลี่ยนสถานะตามผลตรวจสอบ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ดำเนินการตอบสนองแทนทีม IR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นักวิเคราะห์ SOC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คัดกรองการแจ้งเตือนระดับ medium ยืนยัน IOC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อนุมัติแทนทีม IR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ทีม IR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อนุมัติหรือปฏิเสธคำแนะนำ บันทึกการตัดสินใจและผลการตอบสนอง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กำหนดผล RESOLVED โดยไม่มีหลักฐานจากการค้นหาซ้ำ</w:t>
            </w:r>
          </w:p>
        </w:tc>
      </w:tr>
    </w:tbl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bookmarkEnd w:id="30"/>
    <w:bookmarkStart w:id="31" w:name="ระยะท-1-รบการแจงเตอนและจดการเหตการณ"/>
    <w:p>
      <w:pPr>
        <w:pStyle w:val="Heading3"/>
      </w:pPr>
      <w:r>
        <w:t xml:space="preserve">3.2 ระยะที่ 1: รับการแจ้งเตือนและจัดการเหตุการณ์</w:t>
      </w:r>
    </w:p>
    <w:p>
      <w:pPr>
        <w:pStyle w:val="FirstParagraph"/>
      </w:pPr>
      <w:r>
        <w:t xml:space="preserve">ระบบรับการแจ้งเตือนจาก Wazuh พร้อมข้อมูล Rule ID, rule level, agent, เวลา, IP ต้นทางและปลายทาง และข้อมูลเหตุการณ์ แล้วกำหนดความรุนแรงเริ่มต้นจาก rule level ด้วยการแปลงค่าที่กำหนดไว้ (สมการที่ 1) โดย LLM ไม่มีส่วนในการกำหนดค่านี้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v</m:t>
          </m:r>
          <m:r>
            <m:t>e</m:t>
          </m:r>
          <m:r>
            <m:t>r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l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z</m:t>
                  </m:r>
                  <m:r>
                    <m:t>u</m:t>
                  </m:r>
                  <m:r>
                    <m:t>h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t>e</m:t>
          </m:r>
          <m:r>
            <m:t>v</m:t>
          </m:r>
          <m:r>
            <m:t>e</m:t>
          </m:r>
          <m:r>
            <m:t>r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L</m:t>
          </m:r>
          <m:r>
            <m:t>O</m:t>
          </m:r>
          <m:r>
            <m:t>W</m:t>
          </m:r>
          <m:r>
            <m:rPr>
              <m:sty m:val="p"/>
            </m:rPr>
            <m:t>,</m:t>
          </m:r>
          <m:r>
            <m:t>M</m:t>
          </m:r>
          <m:r>
            <m:t>E</m:t>
          </m:r>
          <m:r>
            <m:t>D</m:t>
          </m:r>
          <m:r>
            <m:t>I</m:t>
          </m:r>
          <m:r>
            <m:t>U</m:t>
          </m:r>
          <m:r>
            <m:t>M</m:t>
          </m:r>
          <m:r>
            <m:rPr>
              <m:sty m:val="p"/>
            </m:rPr>
            <m:t>,</m:t>
          </m:r>
          <m:r>
            <m:t>H</m:t>
          </m:r>
          <m:r>
            <m:t>I</m:t>
          </m:r>
          <m:r>
            <m:t>G</m:t>
          </m:r>
          <m:r>
            <m:t>H</m:t>
          </m:r>
          <m:r>
            <m:rPr>
              <m:sty m:val="p"/>
            </m:rPr>
            <m:t>,</m:t>
          </m:r>
          <m:r>
            <m:t>C</m:t>
          </m:r>
          <m:r>
            <m:t>R</m:t>
          </m:r>
          <m:r>
            <m:t>I</m:t>
          </m:r>
          <m:r>
            <m:t>T</m:t>
          </m:r>
          <m:r>
            <m:t>I</m:t>
          </m:r>
          <m:r>
            <m:t>C</m:t>
          </m:r>
          <m:r>
            <m:t>A</m:t>
          </m:r>
          <m:r>
            <m:t>L</m:t>
          </m:r>
          <m:r>
            <m:rPr>
              <m:sty m:val="p"/>
            </m:rPr>
            <m:t>}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t xml:space="preserve">การแจ้งเตือนระดับ LOW จะถูกเก็บไว้แต่ไม่เข้าสู่กระบวนการ SOC ระดับ MEDIUM จะรอนักวิเคราะห์ SOC คัดกรองว่าจะปิดหรือเปิดเหตุการณ์ ส่วนระดับ HIGH และ CRITICAL ระบบเปิดเหตุการณ์อัตโนมัติ [ต้องยืนยัน: ช่วง rule level ของแต่ละระดับในโค้ด; ในการทดลองพบ level 7 และ 10 → medium, 12–13 → high, 14 → critical]</w:t>
      </w:r>
    </w:p>
    <w:bookmarkEnd w:id="31"/>
    <w:bookmarkStart w:id="32" w:name="ระยะท-2-สบสวนและสรางคำแนะนำ"/>
    <w:p>
      <w:pPr>
        <w:pStyle w:val="Heading3"/>
      </w:pPr>
      <w:r>
        <w:t xml:space="preserve">3.3 ระยะที่ 2: สืบสวนและสร้างคำแนะนำ</w:t>
      </w:r>
    </w:p>
    <w:p>
      <w:pPr>
        <w:pStyle w:val="FirstParagraph"/>
      </w:pPr>
      <w:r>
        <w:t xml:space="preserve">ระบบรวบรวมหลักฐาน IOC ข้อมูลข่าวกรอง เทคนิค MITRE ATT&amp;CK และฐานความรู้ขององค์กร (นโยบาย playbook runbook และแคตตาล็อกการดำเนินการ) แล้วค้นคืนความรู้ที่เกี่ยวข้องเป็นบริบทให้ LLM สร้างคำแนะนำ คำแนะนำหนึ่งชุดประกอบด้วยขั้นตอนตั้งแต่หนึ่งขั้นขึ้นไป แต่ละขั้นมีการดำเนินการ เป้าหมาย เหตุผล และหลักฐานอ้างอิง (สมการที่ 2)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</m:e>
          </m:d>
          <m:sSubSup>
            <m:e>
              <m:r>
                <m:rPr>
                  <m:sty m:val="p"/>
                </m:rPr>
                <m:t>}</m:t>
              </m:r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</m:sSub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t xml:space="preserve">ก่อนส่งให้ทีม IR ตัวตรวจคำแนะนำ (validator) ตรวจทุกขั้นตอนด้วยกฎ 5 กลุ่ม (สมการที่ 3) ได้แก่ หลักฐาน (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E</w:t>
      </w:r>
      <w:r>
        <w:t xml:space="preserve">) การดำเนินการ (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A</w:t>
      </w:r>
      <w:r>
        <w:t xml:space="preserve">) เป้าหมาย (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T</w:t>
      </w:r>
      <w:r>
        <w:t xml:space="preserve">) นโยบาย (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P</w:t>
      </w:r>
      <w:r>
        <w:t xml:space="preserve">) และ playbook (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PB</w:t>
      </w:r>
      <w:r>
        <w:t xml:space="preserve">) ตารางที่ 3 แสดงรหัสข้อผิดพลาดในโค้ดที่อยู่ในแต่ละกลุ่ม คำแนะนำผ่านการตรวจเมื่อไม่มีข้อผิดพลาดในทุกกลุ่ม หากไม่ผ่าน ระบบให้ LLM แก้ไขอัตโนมัติได้ 1 ครั้งภายในการเรียกแต่ละครั้ง และบันทึกผลการตรวจไว้ในบันทึกตรวจสอบ (audit log)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rPr>
              <m:sty m:val="i"/>
            </m:rPr>
            <m:t>V</m:t>
          </m:r>
          <m:r>
            <m:rPr>
              <m:sty m:val="i"/>
            </m:rPr>
            <m:t>a</m:t>
          </m:r>
          <m:r>
            <m:rPr>
              <m:sty m:val="i"/>
            </m:rPr>
            <m:t>l</m:t>
          </m:r>
          <m:r>
            <m:rPr>
              <m:sty m:val="i"/>
            </m:rPr>
            <m:t>i</m:t>
          </m:r>
          <m:r>
            <m:rPr>
              <m:sty m:val="i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∧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∧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∧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∧</m:t>
          </m:r>
          <m:sSub>
            <m:e>
              <m:r>
                <m:t>V</m:t>
              </m:r>
            </m:e>
            <m:sub>
              <m:r>
                <m:t>P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ตารางที่ 3</w:t>
      </w:r>
      <w:r>
        <w:t xml:space="preserve"> </w:t>
      </w:r>
      <w:r>
        <w:t xml:space="preserve">กลุ่มกฎของตัวตรวจคำแนะนำกับรหัสข้อผิดพลาดในโค้ด</w:t>
      </w:r>
    </w:p>
    <w:tbl>
      <w:tblPr>
        <w:tblW w:w="83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1781"/>
        <w:gridCol w:w="3265"/>
        <w:gridCol w:w="3267"/>
      </w:tblGrid>
      <w:tr>
        <w:trPr>
          <w:cantSplit/>
          <w:tblHeader/>
        </w:trPr>
        <w:tc>
          <w:tcPr>
            <w:tcW w:w="1781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กลุ่ม</w:t>
            </w:r>
          </w:p>
        </w:tc>
        <w:tc>
          <w:tcPr>
            <w:tcW w:w="3265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ตรวจอะไร</w:t>
            </w:r>
          </w:p>
        </w:tc>
        <w:tc>
          <w:tcPr>
            <w:tcW w:w="3267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รหัสข้อผิดพลาด (ตัวอย่าง)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iCs/>
                <w:i/>
                <w:sz w:val="22"/>
                <w:szCs w:val="22"/>
              </w:rPr>
              <w:t xml:space="preserve">V</w:t>
            </w:r>
            <w:r>
              <w:rPr>
                <w:vertAlign w:val="subscript"/>
                <w:iCs/>
                <w:i/>
                <w:sz w:val="22"/>
                <w:szCs w:val="22"/>
              </w:rPr>
              <w:t xml:space="preserve">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หลักฐาน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หลักฐานที่อ้างมีอยู่จริง และเป้าหมายมีหลักฐานที่การดำเนินการนั้นต้องใช้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INVENTED_EVIDENCE, INSUFFICIENT_EVIDENCE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iCs/>
                <w:i/>
                <w:sz w:val="22"/>
                <w:szCs w:val="22"/>
              </w:rPr>
              <w:t xml:space="preserve">V</w:t>
            </w:r>
            <w:r>
              <w:rPr>
                <w:vertAlign w:val="subscript"/>
                <w:iCs/>
                <w:i/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การดำเนินการ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การดำเนินการมีอยู่และเปิดใช้งานในแคตตาล็อก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INVENTED_ACTION, DISABLED_ACTION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iCs/>
                <w:i/>
                <w:sz w:val="22"/>
                <w:szCs w:val="22"/>
              </w:rPr>
              <w:t xml:space="preserve">V</w:t>
            </w:r>
            <w:r>
              <w:rPr>
                <w:vertAlign w:val="subscript"/>
                <w:iCs/>
                <w:i/>
                <w:sz w:val="22"/>
                <w:szCs w:val="22"/>
              </w:rPr>
              <w:t xml:space="preserve">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เป้าหมาย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เป้าหมายเป็น IOC หรือโฮสต์ที่บันทึกไว้ในเหตุการณ์ และเป็นชนิดที่การดำเนินการรองรับ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INVENTED_TARGET, TARGET_TYPE_MISMATCH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iCs/>
                <w:i/>
                <w:sz w:val="22"/>
                <w:szCs w:val="22"/>
              </w:rPr>
              <w:t xml:space="preserve">V</w:t>
            </w:r>
            <w:r>
              <w:rPr>
                <w:vertAlign w:val="subscript"/>
                <w:iCs/>
                <w:i/>
                <w:sz w:val="22"/>
                <w:szCs w:val="22"/>
              </w:rPr>
              <w:t xml:space="preserve">P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นโยบาย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บทบาทผู้รับผิดชอบและการต้องอนุมัติตรงกับนโยบาย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WRONG_RESPONSIBLE_ROLE, POLICY_BYPASS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iCs/>
                <w:i/>
                <w:sz w:val="22"/>
                <w:szCs w:val="22"/>
              </w:rPr>
              <w:t xml:space="preserve">V</w:t>
            </w:r>
            <w:r>
              <w:rPr>
                <w:vertAlign w:val="subscript"/>
                <w:iCs/>
                <w:i/>
                <w:sz w:val="22"/>
                <w:szCs w:val="22"/>
              </w:rPr>
              <w:t xml:space="preserve">PB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playbook</w:t>
            </w:r>
          </w:p>
        </w:tc>
        <w:tc>
          <w:tcPr>
            <w:tcW w:w="32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การดำเนินการอยู่ใน playbook ที่เลือกจากเทคนิค ATT&amp;CK ของเหตุการณ์</w:t>
            </w:r>
          </w:p>
        </w:tc>
        <w:tc>
          <w:tcPr>
            <w:tcW w:w="326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NO_PLAYBOOK, ACTION_NOT_IN_PLAYBOOK, PLAYBOOK_MISMATCH</w:t>
            </w:r>
          </w:p>
        </w:tc>
      </w:tr>
    </w:tbl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bookmarkEnd w:id="32"/>
    <w:bookmarkStart w:id="33" w:name="ระยะท-3-การตดสนใจของทม-ir"/>
    <w:p>
      <w:pPr>
        <w:pStyle w:val="Heading3"/>
      </w:pPr>
      <w:r>
        <w:t xml:space="preserve">3.4 ระยะที่ 3: การตัดสินใจของทีม IR</w:t>
      </w:r>
    </w:p>
    <w:p>
      <w:pPr>
        <w:pStyle w:val="FirstParagraph"/>
      </w:pPr>
      <w:r>
        <w:t xml:space="preserve">คำแนะนำที่ผ่านการตรวจจะถูกส่งให้ทีม IR พิจารณา ทีม IR เลือกอนุมัติหรือปฏิเสธ (สมการที่ 4) หากอนุมัติ ระบบสร้างใบงานตอบสนอง (response ticket) ให้ทีม IR ดำเนินการและบันทึกผล หากปฏิเสธ ระบบไม่ดำเนินการตามคำแนะนำ ไม่สร้างคำแนะนำใหม่ และไม่ปิดเหตุการณ์ ทีม IR ต้องบันทึกการตัดสินใจเองพร้อมเหตุผลก่อนดำเนินการตอบสนองด้วยตนเอง ระบบบันทึกรหัสเหตุการณ์ รหัสคำแนะนำ การดำเนินการ เป้าหมาย การตัดสินใจ หมายเหตุ ผลการตอบสนอง และเวลา ไว้ในบันทึกตรวจสอบ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i</m:t>
          </m:r>
          <m:r>
            <m:rPr>
              <m:sty m:val="i"/>
            </m:rPr>
            <m:t>s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A</m:t>
          </m:r>
          <m:r>
            <m:t>P</m:t>
          </m:r>
          <m:r>
            <m:t>P</m:t>
          </m:r>
          <m:r>
            <m:t>R</m:t>
          </m:r>
          <m:r>
            <m:t>O</m:t>
          </m:r>
          <m:r>
            <m:t>V</m:t>
          </m:r>
          <m:r>
            <m:t>E</m:t>
          </m:r>
          <m:r>
            <m:rPr>
              <m:sty m:val="p"/>
            </m:rPr>
            <m:t>,</m:t>
          </m:r>
          <m:r>
            <m:t>R</m:t>
          </m:r>
          <m:r>
            <m:t>E</m:t>
          </m:r>
          <m:r>
            <m:t>J</m:t>
          </m:r>
          <m:r>
            <m:t>E</m:t>
          </m:r>
          <m:r>
            <m:t>C</m:t>
          </m:r>
          <m:r>
            <m:t>T</m:t>
          </m:r>
          <m:r>
            <m:rPr>
              <m:sty m:val="p"/>
            </m:rPr>
            <m:t>}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bookmarkEnd w:id="33"/>
    <w:bookmarkStart w:id="34" w:name="ระยะท-4-ตรวจสอบผลดวยการคนหาซำ"/>
    <w:p>
      <w:pPr>
        <w:pStyle w:val="Heading3"/>
      </w:pPr>
      <w:r>
        <w:t xml:space="preserve">3.5 ระยะที่ 4: ตรวจสอบผลด้วยการค้นหาซ้ำ</w:t>
      </w:r>
    </w:p>
    <w:p>
      <w:pPr>
        <w:pStyle w:val="FirstParagraph"/>
      </w:pPr>
      <w:r>
        <w:t xml:space="preserve">หลังทีม IR บันทึกว่าดำเนินการตอบสนองเสร็จ ระบบสร้างเงื่อนไขค้นหาจาก IOC ของเหตุการณ์ แล้วค้นหาเหตุการณ์ที่เกี่ยวข้องใน Wazuh Indexer ภายในช่วงเวลาที่กำหนด ผลการตรวจสอบมี 2 ค่า (สมการที่ 5) โดยค่า RESOLVED ต้องเป็นไปตามเงื่อนไขทั้งหมด ได้แก่ ควบคุมภัยได้ ไม่พบการแพร่กระจาย ไม่พบ IOC ซ้ำ และไม่พบเหตุการณ์ที่ตรงเงื่อนไข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RESOLVED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p"/>
                      </m:rPr>
                      <m:t>∧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p"/>
                      </m:rPr>
                      <m:t>∧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u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NOT_RESOLVED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t xml:space="preserve">โดย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คือจำนวนเหตุการณ์ที่ตรงเงื่อนไขค้นหา ค่า RESOLVED หมายถึงไม่พบเหตุการณ์ที่เกี่ยวข้องภายในขอบเขตและช่วงเวลาที่ค้นหาเท่านั้น ไม่ได้ยืนยันว่ากำจัดภัยคุกคามออกจากระบบได้ทั้งหมด หากเหตุการณ์ไม่มี IOC ชนิดที่ค้นหาได้ (เช่น มีเพียงชื่อผู้ใช้) ระบบจะไม่ค้นหาและบันทึกผลเป็น REHUNT_INSUFFICIENT_CRITERIA ซึ่งต่างจาก NOT_RESOLVED และเหตุการณ์จะยังเปิดอยู่</w:t>
      </w:r>
    </w:p>
    <w:p>
      <w:pPr>
        <w:pStyle w:val="BodyText"/>
      </w:pPr>
      <w:r>
        <w:t xml:space="preserve">ให้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คือลำดับรอบการสืบสวนของเหตุการณ์ (เริ่มที่ 1) และ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max</w:t>
      </w:r>
      <w:r>
        <w:rPr>
          <w:iCs/>
          <w:i/>
        </w:rPr>
        <w:t xml:space="preserve"> </w:t>
      </w:r>
      <w:r>
        <w:rPr>
          <w:iCs/>
          <w:i/>
        </w:rPr>
        <w:t xml:space="preserve">= 3</w:t>
      </w:r>
      <w:r>
        <w:t xml:space="preserve"> </w:t>
      </w:r>
      <w:r>
        <w:t xml:space="preserve">สถานะถัดไปกำหนดตามสมการที่ 6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rPr>
              <m:sty m:val="i"/>
            </m:rPr>
            <m:t>N</m:t>
          </m:r>
          <m:r>
            <m:rPr>
              <m:sty m:val="i"/>
            </m:rPr>
            <m:t>e</m:t>
          </m:r>
          <m:r>
            <m:rPr>
              <m:sty m:val="i"/>
            </m:rPr>
            <m:t>x</m:t>
          </m:r>
          <m:r>
            <m:rPr>
              <m:sty m:val="i"/>
            </m:rPr>
            <m:t>t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t>e</m:t>
                    </m:r>
                    <m:r>
                      <m:t>s</m:t>
                    </m:r>
                    <m:r>
                      <m:t>o</m:t>
                    </m:r>
                    <m:r>
                      <m:t>l</m:t>
                    </m:r>
                    <m:r>
                      <m:t>v</m:t>
                    </m:r>
                    <m:r>
                      <m:t>e</m:t>
                    </m:r>
                    <m:r>
                      <m:t>d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RESOLVED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เปิดรอบ </m:t>
                    </m:r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NOT_RESOLVED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r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t>e</m:t>
                    </m:r>
                    <m:r>
                      <m:t>s</m:t>
                    </m:r>
                    <m:r>
                      <m:t>c</m:t>
                    </m:r>
                    <m:r>
                      <m:t>a</m:t>
                    </m:r>
                    <m:r>
                      <m:t>l</m:t>
                    </m:r>
                    <m:r>
                      <m:t>a</m:t>
                    </m:r>
                    <m:r>
                      <m:t>t</m:t>
                    </m:r>
                    <m:r>
                      <m:t>e</m:t>
                    </m:r>
                    <m:r>
                      <m:t>d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NOT_RESOLVED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t xml:space="preserve">เมื่อผลเป็น NOT_RESOLVED และยังไม่ครบ 3 รอบ ระบบเปิดการสืบสวนรอบใหม่ นำผลการค้นหาเข้าเป็นหลักฐาน และพยายามสร้างคำแนะนำใหม่เพื่อส่งให้ทีม IR พิจารณา เมื่อครบ 3 รอบแล้วยังไม่เป็น RESOLVED ระบบเปลี่ยนสถานะเป็น escalated หยุดกระบวนการอัตโนมัติ และส่งต่อให้ SOC และทีม IR โดยเหตุการณ์ยังไม่ถูกปิด สถานะ resolved กำหนดได้จากผลการค้นหาซ้ำเท่านั้น ผู้ใช้ไม่สามารถเปลี่ยนเป็น resolved โดยตรง</w:t>
      </w:r>
    </w:p>
    <w:p>
      <w:pPr>
        <w:pStyle w:val="BodyText"/>
      </w:pPr>
      <w:r>
        <w:t xml:space="preserve">Algorithm 1 สรุปลำดับการทำงานทั้งหมด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w:r>
        <w:rPr>
          <w:bCs/>
          <w:b/>
        </w:rPr>
        <w:t xml:space="preserve">Algorithm 1</w:t>
      </w:r>
      <w:r>
        <w:t xml:space="preserve"> </w:t>
      </w:r>
      <w:r>
        <w:t xml:space="preserve">กระบวนการตอบสนองต่อเหตุการณ์ของ VIGIX</w:t>
      </w:r>
    </w:p>
    <w:p>
      <w:pPr>
        <w:pStyle w:val="SourceCode"/>
      </w:pPr>
      <w:r>
        <w:rPr>
          <w:rStyle w:val="VerbatimChar"/>
          <w:sz w:val="15"/>
          <w:szCs w:val="15"/>
        </w:rPr>
        <w:t xml:space="preserve">Input : alert a from Wazuh; R_max = 3; K = max recommendation calls (K = 5 in the experiment)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Output: final incident status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1: sev ← MapSeverity(a.rule_level)                       ▷ Eq. (1), deterministic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2: if sev = LOW then store a; return NOT_IN_WORKFLOW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3: if sev = MEDIUM and SOC_Triage(a) = CLOSE then return CLOSED_ALERT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4: I ← CreateIncident(a, sev); r ← 1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5: loop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6:   E, IOC ← CollectEvidence(I)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7:   C ← Context(E, IOC, TI, ATT&amp;CK); Kn ← RAG_Retrieve(C)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8:   ρ ← ∅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 9:   for k ← 1 to K do                                   ▷ each call allows one auto-correction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10:     ρ̂ ← LLM_Recommend(C, Kn)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11:     if Valid(ρ̂) then ρ ← ρ̂; break                    ▷ Eq. (3)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12:   if ρ = ∅ then log NO_VALID_RECOMMENDATION; return OPEN   ▷ left to SOC/IR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13:   d ← IR_Decision(ρ)                                 ▷ Eq. (4); LLM cannot decide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14:   if d = APPROVE then IR executes ρ and records the result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15:   else IR records a manual decision with a note, then a manual response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16:   q ← BuildRehuntQuery(IOC)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17:   if q = ∅ then log REHUNT_INSUFFICIENT_CRITERIA; return OPEN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18:   v ← Verify(q, time window)                          ▷ Eq. (5)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19:   if v = \text{RESOLVED} then return RESOLVED                 ▷ set by backend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20:   if r ≥ R_max then return ESCALATED                   ▷ handed to SOC and IR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21:   r ← r + 1; add re-hunt results to E                  ▷ reopen investigation</w:t>
      </w:r>
      <w:r>
        <w:rPr>
          <w:sz w:val="15"/>
          <w:szCs w:val="15"/>
        </w:rPr>
        <w:br/>
      </w:r>
      <w:r>
        <w:rPr>
          <w:rStyle w:val="VerbatimChar"/>
          <w:sz w:val="15"/>
          <w:szCs w:val="15"/>
        </w:rPr>
        <w:t xml:space="preserve">22: end loop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t xml:space="preserve">[ต้องยืนยัน: บรรทัดที่ 9 และ 12 อธิบายพฤติกรรมที่พบในการทดลอง (ชุดทดสอบเรียกได้ไม่เกิน 5 ครั้ง) ให้ยืนยันว่าระบบจริงมีขีดจำกัดจำนวนครั้งเท่าใด และมีเส้นทางให้ทีม IR ตัดสินใจเองเมื่อไม่มีคำแนะนำที่ผ่านการตรวจหรือไม่]</w:t>
      </w:r>
    </w:p>
    <w:bookmarkEnd w:id="34"/>
    <w:bookmarkEnd w:id="35"/>
    <w:bookmarkStart w:id="41" w:name="วธประเมน"/>
    <w:p>
      <w:pPr>
        <w:pStyle w:val="Heading2"/>
      </w:pPr>
      <w:r>
        <w:t xml:space="preserve">4. วิธีประเมิน</w:t>
      </w:r>
    </w:p>
    <w:bookmarkStart w:id="36" w:name="สภาพแวดลอม"/>
    <w:p>
      <w:pPr>
        <w:pStyle w:val="Heading3"/>
      </w:pPr>
      <w:r>
        <w:t xml:space="preserve">4.1 สภาพแวดล้อม</w:t>
      </w:r>
    </w:p>
    <w:p>
      <w:pPr>
        <w:pStyle w:val="FirstParagraph"/>
      </w:pPr>
      <w:r>
        <w:t xml:space="preserve">การทดลองหลัก (run</w:t>
      </w:r>
      <w:r>
        <w:t xml:space="preserve"> </w:t>
      </w:r>
      <w:r>
        <w:rPr>
          <w:rStyle w:val="VerbatimChar"/>
        </w:rPr>
        <w:t xml:space="preserve">final-evaluation-v3.3</w:t>
      </w:r>
      <w:r>
        <w:t xml:space="preserve">) ดำเนินการวันที่ 3 ตุลาคม 2569 เวลา 11:38–12:04 UTC ด้วยโค้ด commit 245b536 ซึ่งไม่มีการแก้ไขระหว่างรัน ใช้ Wazuh 4.9.2 (manager บน Docker) เครื่องปลายทาง Linux (agent</w:t>
      </w:r>
      <w:r>
        <w:t xml:space="preserve"> </w:t>
      </w:r>
      <w:r>
        <w:rPr>
          <w:rStyle w:val="VerbatimChar"/>
        </w:rPr>
        <w:t xml:space="preserve">attack-endpoint</w:t>
      </w:r>
      <w:r>
        <w:t xml:space="preserve">) และเครื่องปลายทาง Windows 10 ที่ติดตั้ง Wazuh agent 4.9.2 และ Sysmon 15.22 (agent</w:t>
      </w:r>
      <w:r>
        <w:t xml:space="preserve"> </w:t>
      </w:r>
      <w:r>
        <w:rPr>
          <w:rStyle w:val="VerbatimChar"/>
        </w:rPr>
        <w:t xml:space="preserve">vigix-win10-ps</w:t>
      </w:r>
      <w:r>
        <w:t xml:space="preserve">) สำหรับกรณี PowerShell แบบจำลองภาษาคือ</w:t>
      </w:r>
      <w:r>
        <w:t xml:space="preserve"> </w:t>
      </w:r>
      <w:r>
        <w:rPr>
          <w:rStyle w:val="VerbatimChar"/>
        </w:rPr>
        <w:t xml:space="preserve">gemma4-26b-uncensored</w:t>
      </w:r>
      <w:r>
        <w:t xml:space="preserve"> </w:t>
      </w:r>
      <w:r>
        <w:t xml:space="preserve">ผ่านเครื่องให้บริการ vLLM (</w:t>
      </w:r>
      <w:r>
        <w:rPr>
          <w:rStyle w:val="VerbatimChar"/>
        </w:rPr>
        <w:t xml:space="preserve">vllm-spark-01</w:t>
      </w:r>
      <w:r>
        <w:t xml:space="preserve">) [ต้องยืนยัน: ผู้ดูแลและที่ตั้งของเครื่องให้บริการ ค่า temperature และ seed] ฐานข้อมูลสำหรับการประเมินแยกจากระบบอื่นและว่างก่อนเริ่มรัน ชุดทดสอบอัตโนมัติ 12 ชุด (210 รายการ) ผ่านทั้งหมดก่อนรัน</w:t>
      </w:r>
    </w:p>
    <w:p>
      <w:pPr>
        <w:pStyle w:val="BodyText"/>
      </w:pPr>
      <w:r>
        <w:t xml:space="preserve">การตัดสินใจของทีม IR ใช้สคริปต์อนุมัติทุกคำแนะนำ (scripted approval) จึงทดสอบได้เพียงว่าระบบบังคับให้มีการอนุมัติและบันทึกการตัดสินใจหรือไม่ ไม่ได้ประเมินคุณภาพหรือเวลาการตัดสินใจของคน การตอบสนองในการทดลองเป็นการบันทึกผลจำลอง ไม่มีการปิดกั้นหรือแยกเครื่องจริง</w:t>
      </w:r>
    </w:p>
    <w:bookmarkEnd w:id="36"/>
    <w:bookmarkStart w:id="37" w:name="กรณทดสอบ"/>
    <w:p>
      <w:pPr>
        <w:pStyle w:val="Heading3"/>
      </w:pPr>
      <w:r>
        <w:t xml:space="preserve">4.2 กรณีทดสอบ</w:t>
      </w:r>
    </w:p>
    <w:p>
      <w:pPr>
        <w:pStyle w:val="FirstParagraph"/>
      </w:pPr>
      <w:r>
        <w:t xml:space="preserve">ตารางที่ 4 แสดงกรณีทดสอบ 10 กรณี ซึ่งสร้างการแจ้งเตือนจริงใน Wazuh ด้วย 3 วิธี ได้แก่ กฎมาตรฐานของ Wazuh (TC-01, 04, 06) กฎที่เขียนเพิ่มร่วมกับกิจกรรมจริงบนเครื่องปลายทาง (TC-02, 05, 10) และกฎที่เขียนเพิ่มร่วมกับข้อมูลเหตุการณ์ที่ควบคุม (TC-03, 07, 08, 09) กฎที่เขียนเพิ่มออกแบบให้ตรงกับชื่อหรือค่าที่ใช้ในห้องปฏิบัติการ ผลการตรวจจับจึงไม่ได้แสดงความสามารถตรวจจับของ Wazuh ในสภาพจริง สำหรับ TC-05 ผู้ทดลองสั่ง PowerShell ให้ค้นหาชื่อโดเมนทดสอบบนเครื่อง Windows ซึ่ง Sysmon บันทึกเป็น Event ID 22 และ Wazuh ตรวจจับด้วยกฎ 100300 (level 12, T1059.001) ทุกกรณีถูกประเมินและไม่มีกรณีใดถูกตัดออก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w:r>
        <w:rPr>
          <w:bCs/>
          <w:b/>
        </w:rPr>
        <w:t xml:space="preserve">ตารางที่ 4</w:t>
      </w:r>
      <w:r>
        <w:t xml:space="preserve"> </w:t>
      </w:r>
      <w:r>
        <w:t xml:space="preserve">กรณีทดสอบและวิธีสร้างการแจ้งเตือน</w:t>
      </w:r>
    </w:p>
    <w:tbl>
      <w:tblPr>
        <w:tblW w:w="83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773"/>
        <w:gridCol w:w="1933"/>
        <w:gridCol w:w="1353"/>
        <w:gridCol w:w="2706"/>
        <w:gridCol w:w="1548"/>
      </w:tblGrid>
      <w:tr>
        <w:trPr>
          <w:cantSplit/>
          <w:tblHeader/>
        </w:trPr>
        <w:tc>
          <w:tcPr>
            <w:tcW w:w="773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กรณี</w:t>
            </w:r>
          </w:p>
        </w:tc>
        <w:tc>
          <w:tcPr>
            <w:tcW w:w="1933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สถานการณ์</w:t>
            </w:r>
          </w:p>
        </w:tc>
        <w:tc>
          <w:tcPr>
            <w:tcW w:w="1353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 Wazuh (level)</w:t>
            </w:r>
          </w:p>
        </w:tc>
        <w:tc>
          <w:tcPr>
            <w:tcW w:w="2706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วิธีสร้างการแจ้งเตือน</w:t>
            </w:r>
          </w:p>
        </w:tc>
        <w:tc>
          <w:tcPr>
            <w:tcW w:w="1548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ความรุนแรงที่ระบบกำหนด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TC-01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Brute force (SSH)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5712 (10)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กฎมาตรฐาน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TC-02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Malware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100301 (12)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กฎเพิ่ม + กิจกรรมจริง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TC-03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Phishing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100310 (10)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กฎเพิ่ม + ข้อมูลควบคุม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TC-04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Account compromise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40112 (12)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กฎมาตรฐาน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TC-05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PowerShell (Windows)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100300 (12)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กฎเพิ่ม + กิจกรรมจริง (ผู้ทดลองสั่ง)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TC-06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SQL injection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31103 (7)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กฎมาตรฐาน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TC-07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Command and control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100320 (13)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กฎเพิ่ม + ข้อมูลควบคุม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TC-08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Suspicious process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100330 (10)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กฎเพิ่ม + ข้อมูลควบคุม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TC-09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Data exfiltration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100340 (13)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กฎเพิ่ม + ข้อมูลควบคุม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TC-10</w:t>
            </w:r>
          </w:p>
        </w:tc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Privilege escalation</w:t>
            </w:r>
          </w:p>
        </w:tc>
        <w:tc>
          <w:tcPr>
            <w:tcW w:w="135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100350 (14)</w:t>
            </w:r>
          </w:p>
        </w:tc>
        <w:tc>
          <w:tcPr>
            <w:tcW w:w="27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กฎเพิ่ม + กิจกรรมจริง</w:t>
            </w:r>
          </w:p>
        </w:tc>
        <w:tc>
          <w:tcPr>
            <w:tcW w:w="15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critical</w:t>
            </w:r>
          </w:p>
        </w:tc>
      </w:tr>
    </w:tbl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bookmarkEnd w:id="37"/>
    <w:bookmarkStart w:id="38" w:name="คำตอบอางอง-ground-truth"/>
    <w:p>
      <w:pPr>
        <w:pStyle w:val="Heading3"/>
      </w:pPr>
      <w:r>
        <w:t xml:space="preserve">4.3 คำตอบอ้างอิง (Ground Truth)</w:t>
      </w:r>
    </w:p>
    <w:p>
      <w:pPr>
        <w:pStyle w:val="FirstParagraph"/>
      </w:pPr>
      <w:r>
        <w:t xml:space="preserve">คำตอบอ้างอิงของแต่ละกรณีประกอบด้วย playbook ที่คาดหวัง ชุดคู่การดำเนินการ–เป้าหมายที่ต้องมี (รวม 20 คู่ใน 10 กรณี ไม่มีคู่ที่เป็นทางเลือก) และรายการ IOC ที่คาดหวัง (รวม 23 รายการ) ผู้พัฒนาระบบเป็นผู้กำหนดคำตอบอ้างอิงจากข้อมูลของการแจ้งเตือน คำตอบอ้างอิงรุ่นที่ใช้ (</w:t>
      </w:r>
      <w:r>
        <w:rPr>
          <w:rStyle w:val="VerbatimChar"/>
        </w:rPr>
        <w:t xml:space="preserve">correctness-gt-v3.3</w:t>
      </w:r>
      <w:r>
        <w:t xml:space="preserve">) ถูกตรึงไว้ที่ commit 444fed9 ก่อนรัน และค่า SHA-256 ก่อนและหลังรันตรงกัน</w:t>
      </w:r>
    </w:p>
    <w:p>
      <w:pPr>
        <w:pStyle w:val="BodyText"/>
      </w:pPr>
      <w:r>
        <w:t xml:space="preserve">ข้อจำกัดที่ต้องเปิดเผยคือ คำตอบอ้างอิงรุ่น 3.1–3.3 ถูกปรับหลังจากผู้พัฒนาเห็นผลของการทดลองรุ่นก่อน และกรณีทดสอบทั้ง 10 กรณีถูกใช้ระหว่างการพัฒนาระบบด้วย ชุดทดสอบนี้จึงไม่ใช่ชุดประเมินที่แยกจากชุดพัฒนา และยังไม่มีผู้เชี่ยวชาญอิสระตรวจคำตอบอ้างอิง ตัวอย่างเช่น คำตอบอ้างอิงของ TC-05 กำหนดเพียงการปิดกั้นโดเมน (ACT-BLOCK-DOMAIN) และไม่รวมการแยกเครื่อง เพราะสถานการณ์แสดงเพียงการใช้งาน PowerShell และการค้นหาโดเมน ไม่ได้แสดงว่าเครื่องถูกยึดครอง ขณะที่ขั้นตอนแรกของ playbook PowerShell ในฐานความรู้คือการแยกเครื่อง</w:t>
      </w:r>
    </w:p>
    <w:bookmarkEnd w:id="38"/>
    <w:bookmarkStart w:id="39" w:name="ตวชวด"/>
    <w:p>
      <w:pPr>
        <w:pStyle w:val="Heading3"/>
      </w:pPr>
      <w:r>
        <w:t xml:space="preserve">4.4 ตัวชี้วัด</w:t>
      </w:r>
    </w:p>
    <w:p>
      <w:pPr>
        <w:pStyle w:val="FirstParagraph"/>
      </w:pPr>
      <w:r>
        <w:t xml:space="preserve">ให้</w:t>
      </w:r>
      <w:r>
        <w:t xml:space="preserve"> </w:t>
      </w:r>
      <w:r>
        <w:rPr>
          <w:iCs/>
          <w:i/>
        </w:rPr>
        <w:t xml:space="preserve">N = 10</w:t>
      </w:r>
      <w:r>
        <w:t xml:space="preserve"> </w:t>
      </w:r>
      <w:r>
        <w:t xml:space="preserve">คือจำนวนกรณีทั้งหมด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คือชุดคู่การดำเนินการ–เป้าหมายที่ระบบเสนอในกรณี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และ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i</w:t>
      </w:r>
      <w:r>
        <w:t xml:space="preserve">* คือชุดในคำตอบอ้างอิง การเทียบคู่ไม่สนใจลำดับ ตัดช่องว่าง เทียบแบบไม่สนตัวพิมพ์ และนับคู่ซ้ำครั้งเดียว ตัวชี้วัดแบ่งเป็น 3 กลุ่ม</w:t>
      </w:r>
    </w:p>
    <w:p>
      <w:pPr>
        <w:pStyle w:val="BodyText"/>
      </w:pPr>
      <w:r>
        <w:rPr>
          <w:bCs/>
          <w:b/>
        </w:rPr>
        <w:t xml:space="preserve">(ก) ความตรงกับคำตอบอ้างอิง</w:t>
      </w:r>
      <w:r>
        <w:t xml:space="preserve"> </w:t>
      </w:r>
      <w:r>
        <w:t xml:space="preserve">ตัวชี้วัดหลักคือ Correct Recommendation (CR) ซึ่งกรณีหนึ่งนับว่าถูกเมื่อ playbook ตรงและชุดคู่ตรงกันทั้งชุด โดยไม่มีคู่ขาดหรือเกิน (สมการที่ 7) กรณีที่ไม่มีคำแนะนำนับว่าไม่ถูก นอกจากนี้รายงานสัดส่วนคู่ที่จำเป็นที่ระบบเสนอ (Required Action Coverage: RAC) และสัดส่วนคู่ที่เกินจากคำตอบอ้างอิง (Unexpected Action Rate: UAR) เพื่ออธิบายลักษณะของความไม่ตรง (สมการที่ 8)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t>P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t> </m:t>
                  </m:r>
                  <m:r>
                    <m:rPr>
                      <m:sty m:val="p"/>
                    </m:rPr>
                    <m:t>∧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t> </m:t>
                  </m:r>
                </m:e>
              </m:d>
            </m:e>
          </m:nary>
          <m:r>
            <m:rPr>
              <m:sty m:val="p"/>
            </m:rPr>
            <m:t>×</m:t>
          </m:r>
          <m:r>
            <m:t>100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</m:e>
                  </m:d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t>A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\</m:t>
                      </m:r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rPr>
          <w:bCs/>
          <w:b/>
        </w:rPr>
        <w:t xml:space="preserve">(ข) การปฏิบัติตามกฎ</w:t>
      </w:r>
      <w:r>
        <w:t xml:space="preserve"> </w:t>
      </w:r>
      <w:r>
        <w:t xml:space="preserve">Recommendation Compliance (RC) ตรวจคำแนะนำสุดท้ายที่ผ่านตัวตรวจแล้วด้วยเกณฑ์ 7 ด้านหลังการทดลอง ได้แก่ การดำเนินการอยู่ในชุดที่อนุญาตสำหรับการโจมตีนั้น (attackAlignment) เป้าหมายเชื่อมกับหลักฐาน (evidenceSupport) การดำเนินการอยู่ในแคตตาล็อก (knowledgeValidity) การต้องอนุมัติและบทบาทตรงนโยบาย (policyCompliance) playbook ตรงกับที่คาดหวัง (playbookAlignment) การอนุมัติทำโดยบทบาทที่ถูกต้อง (approvalCorrectness) และ IP ที่ปิดกั้นเป็นฝั่งต้นทางหรือปลายทางถูกต้อง (targetRole) ตัวหารคือจำนวนกรณีที่มีคำแนะนำ</w:t>
      </w:r>
      <w:r>
        <w:t xml:space="preserve"> </w:t>
      </w:r>
      <w:r>
        <w:rPr>
          <w:iCs/>
          <w:i/>
        </w:rPr>
        <w:t xml:space="preserve">N</w:t>
      </w:r>
      <w:r>
        <w:rPr>
          <w:vertAlign w:val="subscript"/>
          <w:iCs/>
          <w:i/>
        </w:rPr>
        <w:t xml:space="preserve">rec</w:t>
      </w:r>
      <w:r>
        <w:t xml:space="preserve"> </w:t>
      </w:r>
      <w:r>
        <w:t xml:space="preserve">(สมการที่ 9) การให้คะแนนทำโดยสคริปต์แบบกำหนดแน่นอน ไม่ได้ใช้ LLM หรือผู้ประเมินที่เป็นคน และเกณฑ์ 3 ด้าน (evidenceSupport, knowledgeValidity, policyCompliance) ซ้อนกับกฎของตัวตรวจคำแนะนำ ส่วน attackAlignment และ playbookAlignment ใช้ข้อมูลจากคำตอบอ้างอิง ดังนั้น RC จึงเป็นการตรวจซ้ำว่าคำแนะนำอยู่ภายในกรอบกฎของระบบ ไม่ใช่การวัดความถูกต้อง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sup>
            <m:e>
              <m:sSub>
                <m:e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l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⋀</m:t>
                  </m:r>
                </m:e>
                <m:lim>
                  <m:r>
                    <m:t>7</m:t>
                  </m:r>
                </m:lim>
              </m:limUpp>
            </m:e>
            <m:lim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rPr>
          <w:bCs/>
          <w:b/>
        </w:rPr>
        <w:t xml:space="preserve">(ค) ความครบถ้วนของกระบวนการและเวลา</w:t>
      </w:r>
      <w:r>
        <w:t xml:space="preserve"> </w:t>
      </w:r>
      <w:r>
        <w:t xml:space="preserve">Workflow Completion (WC) คือสัดส่วนกรณีที่ผ่านครบทุกขั้นจนถึงการค้นหาซ้ำ Verification Rate (VR) คือสัดส่วนกรณีที่ได้ผล RESOLVED (สมการที่ 10) ตัวหารของทั้งสองค่าคือ</w:t>
      </w:r>
      <w:r>
        <w:t xml:space="preserve"> </w:t>
      </w:r>
      <w:r>
        <w:rPr>
          <w:iCs/>
          <w:i/>
        </w:rPr>
        <w:t xml:space="preserve">N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t xml:space="preserve">IOC Recall คือสัดส่วน IOC ที่คาดหวังซึ่งปรากฏในชุด IOC ที่ระบบเก็บไว้หลังการวิเคราะห์และก่อนนักวิเคราะห์แก้ไขใดๆ (สมการที่ 11) การจับคู่เทียบค่าทั้งสตริงแบบไม่สนตัวพิมพ์ ตัวหารรวมทุกกรณี รวมถึงกรณีที่สร้างคำแนะนำไม่สำเร็จ เพราะขั้นสกัด IOC เกิดก่อนขั้นสร้างคำแนะนำ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c</m:t>
          </m:r>
          <m:r>
            <m:t>a</m:t>
          </m:r>
          <m:r>
            <m:t>l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  <m:r>
                        <m:t>O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f</m:t>
                      </m:r>
                      <m:r>
                        <m:t>o</m:t>
                      </m:r>
                      <m:r>
                        <m:t>u</m:t>
                      </m:r>
                      <m:r>
                        <m:t>n</m:t>
                      </m:r>
                      <m:r>
                        <m:t>d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  <m:r>
                        <m:t>O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e</m:t>
                      </m:r>
                      <m:r>
                        <m:t>x</m:t>
                      </m:r>
                      <m:r>
                        <m:t>p</m:t>
                      </m:r>
                      <m:r>
                        <m:t>e</m:t>
                      </m:r>
                      <m:r>
                        <m:t>c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d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</m:e>
          </m:d>
        </m:oMath>
      </m:oMathPara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FirstParagraph"/>
      </w:pPr>
      <w:r>
        <w:t xml:space="preserve">เวลาการสืบสวน (Investigation Time) คือเวลาตั้งแต่เริ่มสืบสวนจนระบบบันทึกคำแนะนำที่ผ่านการตรวจ (สมการที่ 12) คำนวณเฉพาะกรณีที่มีคำแนะนำ และรายงานค่าเฉลี่ย มัธยฐาน ส่วนเบี่ยงเบนมาตรฐานแบบตัวอย่าง ค่าต่ำสุด และค่าสูงสุด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r</m:t>
              </m:r>
              <m:r>
                <m:t>e</m:t>
              </m:r>
              <m:r>
                <m:t>c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_</m:t>
              </m:r>
              <m:r>
                <m:t>s</m:t>
              </m:r>
              <m:r>
                <m:t>t</m:t>
              </m:r>
              <m:r>
                <m:t>a</m:t>
              </m:r>
              <m:r>
                <m:t>r</m:t>
              </m:r>
              <m:r>
                <m:t>t</m:t>
              </m:r>
            </m:sup>
          </m:sSub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12</m:t>
              </m:r>
            </m:e>
          </m:d>
        </m:oMath>
      </m:oMathPara>
    </w:p>
    <w:p>
      <w:pPr>
        <w:pStyle w:val="FirstParagraph"/>
      </w:pPr>
      <w:r>
        <w:t xml:space="preserve">ตัวชี้วัดประกอบ ได้แก่ First-pass Rate (สัดส่วนกรณีที่การเรียกครั้งแรกได้คำแนะนำที่ผ่านการตรวจ) Retry Rate (สัดส่วนกรณีที่ต้องเรียกมากกว่า 1 ครั้ง) Intervention Rate (สัดส่วนกรณีที่นักวิเคราะห์ต้องยืนยัน IOC เพื่อให้ใช้เป็นเป้าหมายได้) Decision Recording Latency (เวลาที่ระบบใช้บันทึกการตัดสินใจแบบสคริปต์ ไม่ใช่เวลาที่คนใช้ตัดสินใจ) และ Escalation Rate (สัดส่วนเหตุการณ์ที่ถูก escalate ต่อจำนวนเหตุการณ์ที่มีการค้นหาซ้ำ)</w:t>
      </w:r>
    </w:p>
    <w:bookmarkEnd w:id="39"/>
    <w:bookmarkStart w:id="40" w:name="การทดลองเสรม"/>
    <w:p>
      <w:pPr>
        <w:pStyle w:val="Heading3"/>
      </w:pPr>
      <w:r>
        <w:t xml:space="preserve">4.5 การทดลองเสริม</w:t>
      </w:r>
    </w:p>
    <w:p>
      <w:pPr>
        <w:pStyle w:val="FirstParagraph"/>
      </w:pPr>
      <w:r>
        <w:t xml:space="preserve">การทดลองเสริม 3 ชุดรันแยกจากการทดลองหลักด้วยโค้ดรุ่นเดียวกัน และไม่ได้นำผลไปรวมกับตัวชี้วัดหลัก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ความสม่ำเสมอของคำแนะนำ</w:t>
      </w:r>
      <w:r>
        <w:t xml:space="preserve"> </w:t>
      </w:r>
      <w:r>
        <w:t xml:space="preserve">สร้างคำแนะนำซ้ำ 15 ครั้งต่อกรณีสำหรับ TC-03, TC-08 และ TC-10 (รวม 45 ครั้ง) บนเหตุการณ์และหลักฐานชุดเดิมจากการทดลองหลัก โดยไม่สร้างการโจมตีใหม่ เปรียบเทียบชุดคู่การดำเนินการ–เป้าหมายแบบตรงทั้งชุดกับชุดที่พบบ่อยที่สุดของกรณีนั้น (สมการที่ 13) ตัวหารคือจำนวนครั้งที่ได้คำแนะนำที่ผ่านการตรวจ การทดลองนี้วัดความสม่ำเสมอ ไม่ได้วัดความถูกต้อง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C</m:t>
          </m:r>
          <m:r>
            <m:t>o</m:t>
          </m:r>
          <m:r>
            <m:t>n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d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13</m:t>
              </m:r>
            </m:e>
          </m:d>
        </m:oMath>
      </m:oMathPara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การ escalate</w:t>
      </w:r>
      <w:r>
        <w:t xml:space="preserve"> </w:t>
      </w:r>
      <w:r>
        <w:t xml:space="preserve">ใช้ข้อมูลเหตุการณ์ C2 ของ TC-07 และสร้างเหตุการณ์ซ้ำหลังการตอบสนองแต่ละรอบ เพื่อตรวจว่าระบบเปลี่ยนสถานะเป็น escalated หลังผล NOT_RESOLVED ครบ 3 รอบและไม่เริ่มรอบที่ 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การปฏิเสธโดยทีม IR</w:t>
      </w:r>
      <w:r>
        <w:t xml:space="preserve"> </w:t>
      </w:r>
      <w:r>
        <w:t xml:space="preserve">ใช้ TC-01 และให้สคริปต์ปฏิเสธคำแนะนำ เพื่อตรวจว่าระบบไม่ดำเนินการเอง ไม่สร้างคำแนะนำใหม่ ไม่ปิดเหตุการณ์ และบันทึกการตัดสินใจครบ</w:t>
      </w:r>
    </w:p>
    <w:bookmarkEnd w:id="40"/>
    <w:bookmarkEnd w:id="41"/>
    <w:bookmarkStart w:id="47" w:name="ผลการทดลอง"/>
    <w:p>
      <w:pPr>
        <w:pStyle w:val="Heading2"/>
      </w:pPr>
      <w:r>
        <w:t xml:space="preserve">5. ผลการทดลอง</w:t>
      </w:r>
    </w:p>
    <w:bookmarkStart w:id="42" w:name="ผลรายกรณ"/>
    <w:p>
      <w:pPr>
        <w:pStyle w:val="Heading3"/>
      </w:pPr>
      <w:r>
        <w:t xml:space="preserve">5.1 ผลรายกรณี</w:t>
      </w:r>
    </w:p>
    <w:p>
      <w:pPr>
        <w:pStyle w:val="FirstParagraph"/>
      </w:pPr>
      <w:r>
        <w:t xml:space="preserve">ตารางที่ 5 แสดงผลรายกรณีของการทดลองหลัก ทุกค่าอ่านจากไฟล์ผลรายกรณีของ run</w:t>
      </w:r>
      <w:r>
        <w:t xml:space="preserve"> </w:t>
      </w:r>
      <w:r>
        <w:rPr>
          <w:rStyle w:val="VerbatimChar"/>
        </w:rPr>
        <w:t xml:space="preserve">final-evaluation-v3.3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BodyText"/>
      </w:pPr>
      <w:r>
        <w:rPr>
          <w:bCs/>
          <w:b/>
        </w:rPr>
        <w:t xml:space="preserve">ตารางที่ 5</w:t>
      </w:r>
      <w:r>
        <w:t xml:space="preserve"> </w:t>
      </w:r>
      <w:r>
        <w:t xml:space="preserve">ผลรายกรณีของการทดลองหลัก</w:t>
      </w:r>
    </w:p>
    <w:tbl>
      <w:tblPr>
        <w:tblW w:w="83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755"/>
        <w:gridCol w:w="850"/>
        <w:gridCol w:w="1794"/>
        <w:gridCol w:w="850"/>
        <w:gridCol w:w="850"/>
        <w:gridCol w:w="661"/>
        <w:gridCol w:w="1605"/>
        <w:gridCol w:w="948"/>
      </w:tblGrid>
      <w:tr>
        <w:trPr>
          <w:cantSplit/>
          <w:tblHeader/>
        </w:trPr>
        <w:tc>
          <w:tcPr>
            <w:tcW w:w="755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กรณี</w:t>
            </w:r>
          </w:p>
        </w:tc>
        <w:tc>
          <w:tcPr>
            <w:tcW w:w="850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ตรงคำตอบอ้างอิง</w:t>
            </w:r>
          </w:p>
        </w:tc>
        <w:tc>
          <w:tcPr>
            <w:tcW w:w="1794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ความไม่ตรง</w:t>
            </w:r>
          </w:p>
        </w:tc>
        <w:tc>
          <w:tcPr>
            <w:tcW w:w="850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Compliance</w:t>
            </w:r>
          </w:p>
        </w:tc>
        <w:tc>
          <w:tcPr>
            <w:tcW w:w="850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การเรียก (ไม่ผ่าน)</w:t>
            </w:r>
          </w:p>
        </w:tc>
        <w:tc>
          <w:tcPr>
            <w:tcW w:w="661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IOC</w:t>
            </w:r>
          </w:p>
        </w:tc>
        <w:tc>
          <w:tcPr>
            <w:tcW w:w="1605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ค้นหาซ้ำ</w:t>
            </w:r>
          </w:p>
        </w:tc>
        <w:tc>
          <w:tcPr>
            <w:tcW w:w="948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เวลา (วินาที)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TC-01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2/2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54.74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TC-02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ขาด QUARANTINE-FILE, BLOCK-HASH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0/2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ค้นหาไม่ได้*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75.44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TC-03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3 (2)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4/4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243.43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TC-04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เกิน REVOKE-SESSION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2/2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93.32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TC-05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ไม่มีคำแนะนำที่ผ่านการตรวจ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5 (5)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1/1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ไม่ถึงขั้นนี้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TC-06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1/1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47.10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TC-07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เกิน BLOCK-URL, ISOLATE-ENDPOINT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3/3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83.99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TC-08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4/4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115.56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TC-09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เกิน BLOCK-URL, ISOLATE-ENDPOINT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3/3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77.77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TC-10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ไม่ตรง</w:t>
            </w:r>
          </w:p>
        </w:tc>
        <w:tc>
          <w:tcPr>
            <w:tcW w:w="179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เกิน REVOKE-SESSION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ผ่าน</w:t>
            </w:r>
          </w:p>
        </w:tc>
        <w:tc>
          <w:tcPr>
            <w:tcW w:w="85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 (0)</w:t>
            </w:r>
          </w:p>
        </w:tc>
        <w:tc>
          <w:tcPr>
            <w:tcW w:w="66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1/1</w:t>
            </w:r>
          </w:p>
        </w:tc>
        <w:tc>
          <w:tcPr>
            <w:tcW w:w="16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ค้นหาไม่ได้*</w:t>
            </w:r>
          </w:p>
        </w:tc>
        <w:tc>
          <w:tcPr>
            <w:tcW w:w="94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71.42</w:t>
            </w:r>
          </w:p>
        </w:tc>
      </w:tr>
    </w:tbl>
    <w:p>
      <w:pPr>
        <w:pStyle w:val="BodyText"/>
      </w:pPr>
      <w:r>
        <w:t xml:space="preserve">* REHUNT_INSUFFICIENT_CRITERIA: ไม่มี IOC ชนิดที่ค้นหาซ้ำได้ ไม่ใช่ NOT_RESOLVED</w:t>
      </w:r>
      <w:r>
        <w:t xml:space="preserve"> </w:t>
      </w:r>
      <w:r>
        <w:t xml:space="preserve">“</w:t>
      </w:r>
      <w:r>
        <w:t xml:space="preserve">การเรียก</w:t>
      </w:r>
      <w:r>
        <w:t xml:space="preserve">”</w:t>
      </w:r>
      <w:r>
        <w:t xml:space="preserve"> </w:t>
      </w:r>
      <w:r>
        <w:t xml:space="preserve">คือจำนวนครั้งที่ชุดทดสอบเรียกการสร้างคำแนะนำ ซึ่งแต่ละครั้งมีการแก้ไขอัตโนมัติได้ 1 ครั้ง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bookmarkEnd w:id="42"/>
    <w:bookmarkStart w:id="43" w:name="ตวชวดรวม"/>
    <w:p>
      <w:pPr>
        <w:pStyle w:val="Heading3"/>
      </w:pPr>
      <w:r>
        <w:t xml:space="preserve">5.2 ตัวชี้วัดรวม</w:t>
      </w:r>
    </w:p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2"/>
        </w:sectPr>
      </w:pPr>
    </w:p>
    <w:p>
      <w:pPr>
        <w:pStyle w:val="FirstParagraph"/>
      </w:pPr>
      <w:r>
        <w:rPr>
          <w:bCs/>
          <w:b/>
        </w:rPr>
        <w:t xml:space="preserve">ตารางที่ 6</w:t>
      </w:r>
      <w:r>
        <w:t xml:space="preserve"> </w:t>
      </w:r>
      <w:r>
        <w:t xml:space="preserve">ตัวชี้วัดของการทดลองหลัก</w:t>
      </w:r>
    </w:p>
    <w:tbl>
      <w:tblPr>
        <w:tblW w:w="83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2375"/>
        <w:gridCol w:w="1187"/>
        <w:gridCol w:w="1847"/>
        <w:gridCol w:w="2904"/>
      </w:tblGrid>
      <w:tr>
        <w:trPr>
          <w:cantSplit/>
          <w:tblHeader/>
        </w:trPr>
        <w:tc>
          <w:tcPr>
            <w:tcW w:w="2375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ตัวชี้วัด</w:t>
            </w:r>
          </w:p>
        </w:tc>
        <w:tc>
          <w:tcPr>
            <w:tcW w:w="1187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ผล</w:t>
            </w:r>
          </w:p>
        </w:tc>
        <w:tc>
          <w:tcPr>
            <w:tcW w:w="1847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ตัวตั้ง/ตัวหาร</w:t>
            </w:r>
          </w:p>
        </w:tc>
        <w:tc>
          <w:tcPr>
            <w:tcW w:w="2904" w:type="dxa"/>
            <w:shd w:val="clear" w:color="auto" w:fill="E7E6E6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Correct Recommendation (หลัก)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40.00%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4/10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ถ้านับเฉพาะกรณีที่มีคำแนะนำ 4/9 = 44.44%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Required Action Coverage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85.00%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17/20 คู่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ขาดใน TC-02 (2 คู่) และ TC-05 (1 คู่)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Unexpected Action Rate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26.09%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6/23 คู่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อยู่ใน TC-04, 07, 09, 10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Recommendation Compliance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9/9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TC-05 ไม่มีคำแนะนำให้ประเมิน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สร้างคำแนะนำสำเร็จ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90.00%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9/10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First-pass Rate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80.00%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8/10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การเรียกทั้งหมด 16 ครั้ง ไม่ผ่าน 7 ครั้ง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Workflow Completion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70.00%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7/10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ไม่ครบ: TC-02, TC-05, TC-10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Verification (RESOLVED)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70.00%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7/10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ค้นหาซ้ำได้ 7 กรณี และได้ RESOLVED ทั้ง 7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IOC Recall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91.30%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21/23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ก่อนนักวิเคราะห์แก้ไข; ขาดทั้งหมดใน TC-02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Investigation Time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เฉลี่ย 95.86 วินาที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n = 9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มัธยฐาน 77.77, SD 58.87, ต่ำสุด 47.10, สูงสุด 243.43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Decision Recording Latency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0.05–0.06 วินาที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n = 9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อนุมัติด้วยสคริปต์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Intervention Rate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20.00%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2/10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TC-03, TC-05: ยืนยัน IOC ที่มีอยู่แล้ว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Retry Rate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20.00%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2/10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TC-03, TC-05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Escalation Rate</w:t>
            </w:r>
          </w:p>
        </w:tc>
        <w:tc>
          <w:tcPr>
            <w:tcW w:w="118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0%</w:t>
            </w:r>
          </w:p>
        </w:tc>
        <w:tc>
          <w:tcPr>
            <w:tcW w:w="184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0/7</w:t>
            </w:r>
          </w:p>
        </w:tc>
        <w:tc>
          <w:tcPr>
            <w:tcW w:w="29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ค้นหาซ้ำทุกครั้งได้ RESOLVED ในรอบแรก</w:t>
            </w:r>
          </w:p>
        </w:tc>
      </w:tr>
    </w:tbl>
    <w:p>
      <w:pPr>
        <w:sectPr>
          <w:type w:val="continuous"/>
          <w:pgSz w:w="11907" w:h="16840" w:code="9"/>
          <w:pgMar w:top="1701" w:right="1797" w:bottom="1418" w:left="1797" w:header="561" w:footer="561" w:gutter="0"/>
          <w:cols w:space="340" w:num="1"/>
        </w:sectPr>
      </w:pPr>
    </w:p>
    <w:p>
      <w:pPr>
        <w:pStyle w:val="BodyText"/>
      </w:pPr>
      <w:r>
        <w:t xml:space="preserve">คำแนะนำตรงกับคำตอบอ้างอิงทั้งชุด 4 จาก 10 กรณี จาก 6 กรณีที่ไม่ตรง มี 4 กรณี (TC-04, 07, 09, 10) ที่มีคู่ที่จำเป็นครบแต่เสนอการดำเนินการเพิ่ม TC-02 เสนอเพียงการแยกเครื่องและขาดการกักกันไฟล์กับการปิดกั้นค่าแฮช ส่วน TC-05 ไม่มีคำแนะนำ คำแนะนำทั้ง 9 รายการผ่านเกณฑ์ Compliance แต่ 5 รายการในนั้นไม่ตรงคำตอบอ้างอิง ผลนี้แสดงว่าการผ่านกฎของระบบไม่ได้หมายความว่าคำแนะนำตรงกับคำตอบอ้างอิง</w:t>
      </w:r>
    </w:p>
    <w:p>
      <w:pPr>
        <w:pStyle w:val="BodyText"/>
      </w:pPr>
      <w:r>
        <w:t xml:space="preserve">IOC ที่ขาดทั้งสองรายการอยู่ใน TC-02 (ค่าแฮชและเส้นทางไฟล์) เนื่องจากข้อมูลทั้งสองอยู่ในฟิลด์</w:t>
      </w:r>
      <w:r>
        <w:t xml:space="preserve"> </w:t>
      </w:r>
      <w:r>
        <w:rPr>
          <w:rStyle w:val="VerbatimChar"/>
        </w:rPr>
        <w:t xml:space="preserve">syscheck.*</w:t>
      </w:r>
      <w:r>
        <w:t xml:space="preserve"> </w:t>
      </w:r>
      <w:r>
        <w:t xml:space="preserve">ของการแจ้งเตือน ขณะที่ตัวสกัด IOC ของระบบรุ่นที่ทดสอบอ่านจากฟิลด์</w:t>
      </w:r>
      <w:r>
        <w:t xml:space="preserve"> </w:t>
      </w:r>
      <w:r>
        <w:rPr>
          <w:rStyle w:val="VerbatimChar"/>
        </w:rPr>
        <w:t xml:space="preserve">data.*</w:t>
      </w:r>
      <w:r>
        <w:t xml:space="preserve"> </w:t>
      </w:r>
      <w:r>
        <w:t xml:space="preserve">เป็นหลัก การขาด IOC ทั้งสองยังทำให้ระบบไม่มีเป้าหมายสำหรับการกักกันไฟล์และการปิดกั้นแฮช และไม่มีเงื่อนไขสำหรับค้นหาซ้ำ</w:t>
      </w:r>
    </w:p>
    <w:p>
      <w:pPr>
        <w:pStyle w:val="BodyText"/>
      </w:pPr>
      <w:r>
        <w:t xml:space="preserve">เวลาเฉลี่ยสูงกว่ามัธยฐานเพราะ TC-03 ใช้เวลา 243.43 วินาที โดยการเรียกสองครั้งแรกไม่ผ่านการตรวจ (เป้าหมายของการกักกันอีเมลไม่ใช่ IOC ที่บันทึกไว้ และเป็นชื่อโฮสต์แทนที่อยู่อีเมล) ก่อนที่นักวิเคราะห์จะยืนยัน IOC ที่มีอยู่แล้วให้ใช้เป็นเป้าหมายได้ และการเรียกครั้งที่สามผ่านการตรวจ</w:t>
      </w:r>
    </w:p>
    <w:bookmarkEnd w:id="43"/>
    <w:bookmarkStart w:id="44" w:name="กรณทระบบทำงานไมสำเรจ"/>
    <w:p>
      <w:pPr>
        <w:pStyle w:val="Heading3"/>
      </w:pPr>
      <w:r>
        <w:t xml:space="preserve">5.3 กรณีที่ระบบทำงานไม่สำเร็จ</w:t>
      </w:r>
    </w:p>
    <w:p>
      <w:pPr>
        <w:pStyle w:val="FirstParagraph"/>
      </w:pPr>
      <w:r>
        <w:rPr>
          <w:bCs/>
          <w:b/>
        </w:rPr>
        <w:t xml:space="preserve">TC-05 (PowerShell)</w:t>
      </w:r>
      <w:r>
        <w:t xml:space="preserve"> </w:t>
      </w:r>
      <w:r>
        <w:t xml:space="preserve">การแจ้งเตือน ความรุนแรง (high) เทคนิค T1059.001 และ IOC ชนิดโดเมนถูกต้อง แต่การเรียกสร้างคำแนะนำทั้ง 5 ครั้งไม่ผ่านการตรวจ ข้อผิดพลาดที่พบคือ INVENTED_TARGET เช่น เสนอปิดบัญชีผู้ใช้ที่ไม่ได้บันทึกเป็น IOC และ INSUFFICIENT_EVIDENCE เช่น เสนอหยุดโปรเซส powershell.exe โดยไม่มีหลักฐาน command line ตัวตรวจจึงไม่ส่งคำแนะนำใดให้ทีม IR และเหตุการณ์ยังเปิดอยู่ ในการรันแยกของ TC-05 ก่อนหน้านี้ (N = 1 ด้วยโค้ดที่ยังไม่ได้ commit) ระบบสร้างคำแนะนำที่ผ่านการตรวจได้ในการเรียกครั้งที่สอง แต่มีการแยกเครื่องเกินจากคำตอบอ้างอิง ผลที่ต่างกันระหว่างสองรันแสดงความแปรผันของผลลัพธ์ในกรณีนี้ และไม่ได้นำมารวมกับผลหลัก</w:t>
      </w:r>
    </w:p>
    <w:p>
      <w:pPr>
        <w:pStyle w:val="BodyText"/>
      </w:pPr>
      <w:r>
        <w:rPr>
          <w:bCs/>
          <w:b/>
        </w:rPr>
        <w:t xml:space="preserve">TC-02 และ TC-10</w:t>
      </w:r>
      <w:r>
        <w:t xml:space="preserve"> </w:t>
      </w:r>
      <w:r>
        <w:t xml:space="preserve">ทั้งสองกรณีค้นหาซ้ำไม่ได้ TC-02 เพราะขาด IOC ดังที่กล่าวข้างต้น ส่วน TC-10 มีเพียง IOC ชนิดชื่อผู้ใช้ ซึ่งกลไกค้นหาซ้ำของระบบรุ่นที่ทดสอบยังไม่รองรับเป็นเงื่อนไขค้นหาเพียงอย่างเดียว เหตุการณ์ทั้งสองจึงยังเปิดอยู่ ข้อจำกัดนี้เป็นของการ implement ในระบบรุ่นที่ทดสอบ ไม่ใช่ข้อจำกัดของ Wazuh</w:t>
      </w:r>
    </w:p>
    <w:bookmarkEnd w:id="44"/>
    <w:bookmarkStart w:id="45" w:name="การควบคมการทำงานรวมกบมนษย"/>
    <w:p>
      <w:pPr>
        <w:pStyle w:val="Heading3"/>
      </w:pPr>
      <w:r>
        <w:t xml:space="preserve">5.4 การควบคุมการทำงานร่วมกับมนุษย์</w:t>
      </w:r>
    </w:p>
    <w:p>
      <w:pPr>
        <w:pStyle w:val="FirstParagraph"/>
      </w:pPr>
      <w:r>
        <w:t xml:space="preserve">ในการทดลองหลัก ความรุนแรงของทุกเหตุการณ์มาจาก rule level ของ Wazuh ไม่พบการตอบสนองที่ดำเนินการโดยไม่ผ่านการอนุมัติของทีม IR และไม่พบการเปลี่ยนสถานะเหตุการณ์โดย LLM คำแนะนำทั้ง 9 รายการผ่านการอนุมัติด้วยสคริปต์ในบทบาท IR_TEAM ส่วน TC-05 ไม่ถึงขั้นอนุมัติ ผลเหล่านี้ยืนยันกลไกควบคุมในสถานการณ์ที่ทดสอบ แต่ไม่ใช่หลักฐานเกี่ยวกับคุณภาพการตัดสินใจของผู้ปฏิบัติงานจริง</w:t>
      </w:r>
    </w:p>
    <w:bookmarkEnd w:id="45"/>
    <w:bookmarkStart w:id="46" w:name="ผลการทดลองเสรม"/>
    <w:p>
      <w:pPr>
        <w:pStyle w:val="Heading3"/>
      </w:pPr>
      <w:r>
        <w:t xml:space="preserve">5.5 ผลการทดลองเสริม</w:t>
      </w:r>
    </w:p>
    <w:p>
      <w:pPr>
        <w:pStyle w:val="FirstParagraph"/>
      </w:pPr>
      <w:r>
        <w:rPr>
          <w:bCs/>
          <w:b/>
        </w:rPr>
        <w:t xml:space="preserve">ความสม่ำเสมอ</w:t>
      </w:r>
      <w:r>
        <w:t xml:space="preserve"> </w:t>
      </w:r>
      <w:r>
        <w:t xml:space="preserve">ระบบสร้างคำแนะนำที่ผ่านการตรวจได้ 44 จาก 45 ครั้ง (ร้อยละ 97.78) ชุดคำแนะนำตรงกับชุดที่พบบ่อยที่สุด 33 จาก 44 ครั้ง (ร้อยละ 75.00; ถ้านับทุกครั้ง 33/45 = ร้อยละ 73.33) แยกเป็น TC-03 12/15 (ร้อยละ 80.00) TC-08 13/14 (ร้อยละ 92.86) และ TC-10 8/15 (ร้อยละ 53.33) playbook เหมือนเดิมทุกครั้ง และเป้าหมายของการดำเนินการแต่ละชนิดเหมือนเดิมทุกคู่ (128/128) ความแปรผันทั้งหมดเป็นการเพิ่มการดำเนินการจากชุดที่พบบ่อย เช่น การแยกเครื่อง ไม่พบครั้งใดที่ตัดการดำเนินการในชุดนั้นออก ชุดที่พบบ่อยของ TC-03 และ TC-08 ตรงกับคำตอบอ้างอิง ส่วนของ TC-10 ไม่ตรง ซึ่งแสดงว่าความสม่ำเสมอกับความถูกต้องเป็นคนละเรื่องกัน</w:t>
      </w:r>
    </w:p>
    <w:p>
      <w:pPr>
        <w:pStyle w:val="BodyText"/>
      </w:pPr>
      <w:r>
        <w:rPr>
          <w:bCs/>
          <w:b/>
        </w:rPr>
        <w:t xml:space="preserve">การ escalate</w:t>
      </w:r>
      <w:r>
        <w:t xml:space="preserve"> </w:t>
      </w:r>
      <w:r>
        <w:t xml:space="preserve">การค้นหาซ้ำได้ผล NOT_RESOLVED ทั้ง 3 รอบจากหลักฐานใน Wazuh Indexer ระบบเปลี่ยนสถานะเป็น escalated ด้วยเหตุผล MAX_INVESTIGATION_ROUNDS_REACHED ไม่เริ่มรอบที่ 4 และการตรวจของชุดทดสอบผ่าน 15/15 รายการ อย่างไรก็ตาม ในรอบที่ 2 และ 3 ระบบสร้างคำแนะนำใหม่ไม่สำเร็จ ชุดทดสอบจึงส่งขั้นตอนที่ยังไม่ดำเนินการจากคำแนะนำแรกให้ทีม IR แทน การทดลองนี้จึงยืนยันกลไกการ escalate แต่ไม่ได้แสดงการสร้างคำแนะนำใหม่ในแต่ละรอบ</w:t>
      </w:r>
    </w:p>
    <w:p>
      <w:pPr>
        <w:pStyle w:val="BodyText"/>
      </w:pPr>
      <w:r>
        <w:rPr>
          <w:bCs/>
          <w:b/>
        </w:rPr>
        <w:t xml:space="preserve">การปฏิเสธโดยทีม IR</w:t>
      </w:r>
      <w:r>
        <w:t xml:space="preserve"> </w:t>
      </w:r>
      <w:r>
        <w:t xml:space="preserve">หลังสคริปต์ปฏิเสธคำแนะนำ ระบบไม่เริ่มการตอบสนอง ปฏิเสธคำขอเริ่มการตอบสนอง ไม่สร้างคำแนะนำใหม่ และไม่ปิดเหตุการณ์ การตรวจของชุดทดสอบผ่าน 12/12 รายการ หลังจากนั้นสคริปต์บันทึกการตัดสินใจเองพร้อมเหตุผลและบันทึกการตอบสนองจำลอง ซึ่งใช้การดำเนินการเดียวกับคำแนะนำที่ถูกปฏิเสธ การทดลองนี้จึงยังไม่ได้แสดงการตอบสนองที่ทีม IR เลือกต่างจากคำแนะนำ</w:t>
      </w:r>
    </w:p>
    <w:bookmarkEnd w:id="46"/>
    <w:bookmarkEnd w:id="47"/>
    <w:bookmarkStart w:id="50" w:name="อภปรายผลและขอจำกด"/>
    <w:p>
      <w:pPr>
        <w:pStyle w:val="Heading2"/>
      </w:pPr>
      <w:r>
        <w:t xml:space="preserve">6. อภิปรายผลและข้อจำกัด</w:t>
      </w:r>
    </w:p>
    <w:bookmarkStart w:id="48" w:name="อภปรายผล"/>
    <w:p>
      <w:pPr>
        <w:pStyle w:val="Heading3"/>
      </w:pPr>
      <w:r>
        <w:t xml:space="preserve">6.1 อภิปรายผล</w:t>
      </w:r>
    </w:p>
    <w:p>
      <w:pPr>
        <w:pStyle w:val="FirstParagraph"/>
      </w:pPr>
      <w:r>
        <w:t xml:space="preserve">ผลหลักแสดงว่าองค์ประกอบของ VIGIX ทำงานร่วมกันได้ตั้งแต่การแจ้งเตือนจนถึงการค้นหาซ้ำใน 7 จาก 10 กรณี แต่ความตรงของคำแนะนำกับคำตอบอ้างอิงยังต่ำ (4/10) ลักษณะความไม่ตรงที่พบมากที่สุดคือการเสนอการดำเนินการเพิ่ม (6 จาก 23 คู่) ซึ่งการดำเนินการเหล่านี้อยู่ใน playbook และผ่านกฎของระบบ ส่วนหนึ่งเป็นเพราะ playbook ในฐานความรู้อนุญาตการดำเนินการกว้างกว่าคำตอบอ้างอิง เช่น playbook ของ C2 และ PowerShell มีการแยกเครื่องเป็นขั้นตอนหนึ่ง ขณะที่คำตอบอ้างอิงไม่รวมไว้ ความไม่สอดคล้องระหว่าง playbook กับคำตอบอ้างอิงนี้ควรได้รับการทบทวนโดยผู้เชี่ยวชาญก่อนสรุปว่าการดำเนินการที่เกินนั้นผิดหรือไม่</w:t>
      </w:r>
    </w:p>
    <w:p>
      <w:pPr>
        <w:pStyle w:val="BodyText"/>
      </w:pPr>
      <w:r>
        <w:t xml:space="preserve">ตัวตรวจคำแนะนำปฏิเสธการเรียก 7 จาก 16 ครั้ง เพราะอ้างเป้าหมายที่ไม่ได้บันทึกเป็น IOC ใช้เป้าหมายผิดชนิด หรือขาดหลักฐานที่การดำเนินการต้องใช้ แต่ตัวตรวจก็ยอมรับบางขั้นตอนที่หลักฐานรองรับเพียงบางส่วน เช่น การยกเลิกเซสชันใน TC-10 ซึ่งไม่มีหลักฐานการเข้าสู่ระบบ และใน TC-05 การปฏิเสธซ้ำทำให้ไม่มีคำแนะนำเลย ผลนี้ชี้ว่าตัวตรวจช่วยกันคำแนะนำที่อ้างเป้าหมายนอกหลักฐานได้ในกรณีที่พบ แต่ไม่ได้รับประกันว่าคำแนะนำที่ผ่านจะเหมาะสม และระบบยังต้องมีเส้นทางให้ผู้ปฏิบัติงานดำเนินการต่อเมื่อ LLM สร้างคำแนะนำที่ผ่านการตรวจไม่ได้ ข้อสรุปนี้มาจากกรณีที่สังเกตได้ ยังไม่ได้เปรียบเทียบกับระบบที่ไม่มีตัวตรวจ</w:t>
      </w:r>
    </w:p>
    <w:p>
      <w:pPr>
        <w:pStyle w:val="BodyText"/>
      </w:pPr>
      <w:r>
        <w:t xml:space="preserve">ขั้นการค้นหาซ้ำขึ้นกับชนิดของ IOC ที่ระบบสกัดได้ กรณีที่มีเพียงชื่อผู้ใช้หรือมี IOC อยู่ในฟิลด์ที่ตัวสกัดไม่ได้อ่าน จะไม่สามารถตรวจผลหลังการตอบสนองได้ และผล RESOLVED ทั้ง 7 กรณีได้ในรอบแรก จึงยังไม่ได้ทดสอบความสามารถของการค้นหาซ้ำในการตรวจพบเหตุการณ์ที่ยังไม่ถูกควบคุมในการทดลองหลัก</w:t>
      </w:r>
    </w:p>
    <w:bookmarkEnd w:id="48"/>
    <w:bookmarkStart w:id="49" w:name="ขอจำกด"/>
    <w:p>
      <w:pPr>
        <w:pStyle w:val="Heading3"/>
      </w:pPr>
      <w:r>
        <w:t xml:space="preserve">6.2 ข้อจำกัด</w:t>
      </w:r>
    </w:p>
    <w:p>
      <w:pPr>
        <w:numPr>
          <w:ilvl w:val="0"/>
          <w:numId w:val="1003"/>
        </w:numPr>
        <w:pStyle w:val="Compact"/>
      </w:pPr>
      <w:r>
        <w:t xml:space="preserve">ผลหลักมาจากการรัน 10 กรณีเพียงครั้งเดียว ด้วยแบบจำลองภาษาเดียว จึงไม่มีช่วงความเชื่อมั่นหรือการกระจายของผล และการทดลองเสริมแสดงว่าผลของบางกรณีแปรผันระหว่างรัน</w:t>
      </w:r>
    </w:p>
    <w:p>
      <w:pPr>
        <w:numPr>
          <w:ilvl w:val="0"/>
          <w:numId w:val="1003"/>
        </w:numPr>
        <w:pStyle w:val="Compact"/>
      </w:pPr>
      <w:r>
        <w:t xml:space="preserve">คำตอบอ้างอิงกำหนดโดยผู้พัฒนา ปรับหลังเห็นผลรุ่นก่อน และใช้กรณีเดียวกับที่ใช้พัฒนาระบบ ยังไม่มีผู้เชี่ยวชาญอิสระตรวจ และยังไม่ได้แยกชุดพัฒนากับชุดประเมิน</w:t>
      </w:r>
    </w:p>
    <w:p>
      <w:pPr>
        <w:numPr>
          <w:ilvl w:val="0"/>
          <w:numId w:val="1003"/>
        </w:numPr>
        <w:pStyle w:val="Compact"/>
      </w:pPr>
      <w:r>
        <w:t xml:space="preserve">การแจ้งเตือน 7 จาก 10 กรณีเกิดจากกฎที่เขียนให้ตรงกับค่าที่ใช้ในห้องปฏิบัติการ และ 4 กรณีใช้ข้อมูลเหตุการณ์ที่ควบคุม</w:t>
      </w:r>
    </w:p>
    <w:p>
      <w:pPr>
        <w:numPr>
          <w:ilvl w:val="0"/>
          <w:numId w:val="1003"/>
        </w:numPr>
        <w:pStyle w:val="Compact"/>
      </w:pPr>
      <w:r>
        <w:t xml:space="preserve">การอนุมัติและการตอบสนองเป็นสคริปต์และการบันทึกผลจำลอง จึงไม่ได้วัดภาระงาน เวลาตัดสินใจ หรือคุณภาพการตัดสินใจของผู้ปฏิบัติงาน</w:t>
      </w:r>
    </w:p>
    <w:p>
      <w:pPr>
        <w:numPr>
          <w:ilvl w:val="0"/>
          <w:numId w:val="1003"/>
        </w:numPr>
        <w:pStyle w:val="Compact"/>
      </w:pPr>
      <w:r>
        <w:t xml:space="preserve">เกณฑ์ Compliance ให้คะแนนด้วยสคริปต์ที่ใช้กฎซ้อนกับตัวตรวจคำแนะนำบางส่วน จึงไม่ใช่การประเมินอิสระ</w:t>
      </w:r>
    </w:p>
    <w:p>
      <w:pPr>
        <w:numPr>
          <w:ilvl w:val="0"/>
          <w:numId w:val="1003"/>
        </w:numPr>
        <w:pStyle w:val="Compact"/>
      </w:pPr>
      <w:r>
        <w:t xml:space="preserve">การทดลองยังไม่มีระบบเปรียบเทียบ เช่น LLM ร่วมกับ RAG โดยไม่มีตัวตรวจ จึงยังไม่สามารถระบุผลขององค์ประกอบแต่ละส่วนได้</w:t>
      </w:r>
    </w:p>
    <w:bookmarkEnd w:id="49"/>
    <w:bookmarkEnd w:id="50"/>
    <w:bookmarkStart w:id="51" w:name="สรปและงานตอไป"/>
    <w:p>
      <w:pPr>
        <w:pStyle w:val="Heading2"/>
      </w:pPr>
      <w:r>
        <w:t xml:space="preserve">7. สรุปและงานต่อไป</w:t>
      </w:r>
    </w:p>
    <w:p>
      <w:pPr>
        <w:pStyle w:val="FirstParagraph"/>
      </w:pPr>
      <w:r>
        <w:t xml:space="preserve">งานนี้พัฒนา VIGIX ซึ่งเชื่อมการแจ้งเตือนจาก Wazuh การสร้างคำแนะนำด้วย LLM ร่วมกับ RAG การตรวจคำแนะนำด้วยกฎของระบบ การตัดสินใจของทีม IR และการตรวจสอบผลด้วยการค้นหาซ้ำ โดย LLM ไม่มีสิทธิ์อนุมัติ ดำเนินการตอบสนอง หรือเปลี่ยนสถานะเหตุการณ์ ในการทดลองหลัก 10 กรณี คำแนะนำตรงกับคำตอบอ้างอิงทั้งชุด 4 กรณี คำแนะนำที่สร้างได้ทั้ง 9 รายการผ่านเกณฑ์การปฏิบัติตามกฎ กระบวนการดำเนินจนได้ผล RESOLVED 7 กรณี และ IOC Recall เท่ากับร้อยละ 91.30 กรณีที่ไม่สำเร็จมาจาก 3 สาเหตุ คือ LLM เสนอการดำเนินการเกินหรือขาดจากคำตอบอ้างอิง LLM สร้างคำแนะนำที่ผ่านการตรวจไม่ได้ในกรณี PowerShell และระบบไม่มี IOC ที่ใช้ค้นหาซ้ำได้ การทดลองเสริมยืนยันกลไกการ escalate และการไม่ดำเนินการเองหลังการปฏิเสธ ในสถานการณ์ที่ทดสอบ</w:t>
      </w:r>
    </w:p>
    <w:p>
      <w:pPr>
        <w:pStyle w:val="BodyText"/>
      </w:pPr>
      <w:r>
        <w:t xml:space="preserve">งานต่อไปที่จำเป็นต่อการสรุปผลที่หนักแน่นขึ้น ได้แก่ (1) ให้ผู้เชี่ยวชาญ SOC อิสระทบทวนคำตอบอ้างอิงและ playbook แล้วตรึงไว้ก่อนการทดลองใหม่บนชุดกรณีที่ไม่ได้ใช้พัฒนา (2) เปรียบเทียบระบบที่มีและไม่มีตัวตรวจคำแนะนำภายใต้ข้อมูลนำเข้าเดียวกัน (3) ทดลองซ้ำทุกกรณีหลายรอบและกับหลายแบบจำลอง (4) ขยายการสกัด IOC จากฟิลด์</w:t>
      </w:r>
      <w:r>
        <w:t xml:space="preserve"> </w:t>
      </w:r>
      <w:r>
        <w:rPr>
          <w:rStyle w:val="VerbatimChar"/>
        </w:rPr>
        <w:t xml:space="preserve">syscheck.*</w:t>
      </w:r>
      <w:r>
        <w:t xml:space="preserve"> </w:t>
      </w:r>
      <w:r>
        <w:t xml:space="preserve">และการค้นหาซ้ำด้วยชื่อผู้ใช้ร่วมกับเงื่อนไขอื่น และ (5) ทดลองกับผู้ปฏิบัติงาน IR จริงเพื่อประเมินการตัดสินใจและภาระงาน</w:t>
      </w:r>
    </w:p>
    <w:bookmarkEnd w:id="51"/>
    <w:bookmarkStart w:id="52" w:name="การเปดเผยการใชปญญาประดษฐและขอมล"/>
    <w:p>
      <w:pPr>
        <w:pStyle w:val="Heading2"/>
      </w:pPr>
      <w:r>
        <w:t xml:space="preserve">การเปิดเผยการใช้ปัญญาประดิษฐ์และข้อมูล</w:t>
      </w:r>
    </w:p>
    <w:p>
      <w:pPr>
        <w:pStyle w:val="FirstParagraph"/>
      </w:pPr>
      <w:r>
        <w:t xml:space="preserve">ระบบที่ศึกษาใช้ LLM (</w:t>
      </w:r>
      <w:r>
        <w:rPr>
          <w:rStyle w:val="VerbatimChar"/>
        </w:rPr>
        <w:t xml:space="preserve">gemma4-26b-uncensored</w:t>
      </w:r>
      <w:r>
        <w:t xml:space="preserve">) สร้างคำแนะนำจากการแจ้งเตือนในห้องปฏิบัติการ [ต้องยืนยัน: ผู้ให้บริการและที่ตั้งของเครื่องให้บริการ LLM และข้อมูลใดถูกส่งไปยังเครื่องให้บริการ]</w:t>
      </w:r>
    </w:p>
    <w:p>
      <w:pPr>
        <w:pStyle w:val="BodyText"/>
      </w:pPr>
      <w:r>
        <w:t xml:space="preserve">[ต้องยืนยัน: ข้อความเปิดเผยการใช้ GenAI ในการพัฒนาโค้ด วิเคราะห์ผล และเขียนบทความ ตามที่ผู้เขียนใช้จริงและตามนโยบายของเวที ห้ามใช้ข้อความนี้แทนคำรับรองของผู้เขียน]</w:t>
      </w:r>
    </w:p>
    <w:p>
      <w:pPr>
        <w:pStyle w:val="BodyText"/>
      </w:pPr>
      <w:r>
        <w:t xml:space="preserve">[ต้องยืนยัน: ที่มาของนโยบาย playbook และ runbook ในฐานความรู้ (สร้างขึ้นเพื่อการทดลองหรือมาจากองค์กร) และสิทธิ์ในการใช้]</w:t>
      </w:r>
    </w:p>
    <w:p>
      <w:pPr>
        <w:pStyle w:val="BodyText"/>
      </w:pPr>
      <w:r>
        <w:t xml:space="preserve">ข้อมูลผลการทดลองรายกรณี บันทึกการรัน และค่า hash ของคำตอบอ้างอิงเก็บไว้ในที่เก็บโค้ดของโครงการ [ต้องยืนยัน: ช่องทางและเงื่อนไขการเข้าถึงสำหรับผู้ตรวจ]</w:t>
      </w:r>
    </w:p>
    <w:bookmarkEnd w:id="52"/>
    <w:bookmarkStart w:id="53" w:name="เอกสารอางอง"/>
    <w:p>
      <w:pPr>
        <w:pStyle w:val="Heading2"/>
      </w:pPr>
      <w:r>
        <w:t xml:space="preserve">เอกสารอ้างอิง</w:t>
      </w:r>
    </w:p>
    <w:p>
      <w:pPr>
        <w:pStyle w:val="FirstParagraph"/>
      </w:pPr>
      <w:r>
        <w:t xml:space="preserve">[1] R. Ismail, K. R. Kurnia, F. Widyatama, I. M. Wibawa, Z. A. Brata, Ukasyah, G. A. Nelistiani, and H. Kim,</w:t>
      </w:r>
      <w:r>
        <w:t xml:space="preserve"> </w:t>
      </w:r>
      <w:r>
        <w:t xml:space="preserve">“</w:t>
      </w:r>
      <w:r>
        <w:t xml:space="preserve">Enhancing security operations center: Wazuh security event response with retrieval-augmented-generation-driven copilot,</w:t>
      </w:r>
      <w:r>
        <w:t xml:space="preserve">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 25, no. 3, Art. no. 870, 2025, doi: 10.3390/s25030870.</w:t>
      </w:r>
    </w:p>
    <w:p>
      <w:pPr>
        <w:pStyle w:val="BodyText"/>
      </w:pPr>
      <w:r>
        <w:t xml:space="preserve">[2] S. Barbieri, L. Vaz de Meneses, Á. L. R. Ferraz, and L. A. Pereira Júnior,</w:t>
      </w:r>
      <w:r>
        <w:t xml:space="preserve"> </w:t>
      </w:r>
      <w:r>
        <w:t xml:space="preserve">“</w:t>
      </w:r>
      <w:r>
        <w:t xml:space="preserve">SOCpilot: Verifying policy compliance for LLM-assisted incident response,</w:t>
      </w:r>
      <w:r>
        <w:t xml:space="preserve">”</w:t>
      </w:r>
      <w:r>
        <w:t xml:space="preserve"> </w:t>
      </w:r>
      <w:r>
        <w:t xml:space="preserve">arXiv:2605.05501, May 2026, doi: 10.48550/arXiv.2605.05501.</w:t>
      </w:r>
    </w:p>
    <w:p>
      <w:pPr>
        <w:pStyle w:val="BodyText"/>
      </w:pPr>
      <w:r>
        <w:t xml:space="preserve">[3] A. Tellache, A. Amara Korba, A. Mokhtari, H. Moldovan, and Y. Ghamri-Doudane,</w:t>
      </w:r>
      <w:r>
        <w:t xml:space="preserve"> </w:t>
      </w:r>
      <w:r>
        <w:t xml:space="preserve">“</w:t>
      </w:r>
      <w:r>
        <w:t xml:space="preserve">Advancing autonomous incident response: Leveraging LLMs and cyber threat intelligence,</w:t>
      </w:r>
      <w:r>
        <w:t xml:space="preserve">”</w:t>
      </w:r>
      <w:r>
        <w:t xml:space="preserve"> </w:t>
      </w:r>
      <w:r>
        <w:t xml:space="preserve">arXiv:2508.10677, 2025. [ต้องยืนยัน: หากตีพิมพ์ใน IEEE GLOBECOM 2025 ให้ใช้ข้อมูลฉบับตีพิมพ์]</w:t>
      </w:r>
    </w:p>
    <w:p>
      <w:pPr>
        <w:pStyle w:val="BodyText"/>
      </w:pPr>
      <w:r>
        <w:t xml:space="preserve">[4] Z. Liu and A. Anwar,</w:t>
      </w:r>
      <w:r>
        <w:t xml:space="preserve"> </w:t>
      </w:r>
      <w:r>
        <w:t xml:space="preserve">“</w:t>
      </w:r>
      <w:r>
        <w:t xml:space="preserve">AutoBnB-RAG: Enhancing multi-agent incident response with retrieval-augmented generation,</w:t>
      </w:r>
      <w:r>
        <w:t xml:space="preserve">”</w:t>
      </w:r>
      <w:r>
        <w:t xml:space="preserve"> </w:t>
      </w:r>
      <w:r>
        <w:t xml:space="preserve">arXiv:2508.13118, 2025. [ต้องยืนยัน: ข้อมูลฉบับตีพิมพ์ใน ICDMW 2025 และเลขหน้า 1190–1199]</w:t>
      </w:r>
    </w:p>
    <w:p>
      <w:pPr>
        <w:pStyle w:val="BodyText"/>
      </w:pPr>
      <w:r>
        <w:t xml:space="preserve">[5] R. Singh, S. Tariq, F. Jalalvand, M. B. Chhetri, S. Nepal, C. Paris, and M. Lochner,</w:t>
      </w:r>
      <w:r>
        <w:t xml:space="preserve"> </w:t>
      </w:r>
      <w:r>
        <w:t xml:space="preserve">“</w:t>
      </w:r>
      <w:r>
        <w:t xml:space="preserve">LLMs in the SOC: An empirical study of human-AI collaboration in security operations centres,</w:t>
      </w:r>
      <w:r>
        <w:t xml:space="preserve">”</w:t>
      </w:r>
      <w:r>
        <w:t xml:space="preserve"> </w:t>
      </w:r>
      <w:r>
        <w:t xml:space="preserve">arXiv:2508.18947, 2025.</w:t>
      </w:r>
    </w:p>
    <w:p>
      <w:pPr>
        <w:pStyle w:val="BodyText"/>
      </w:pPr>
      <w:r>
        <w:t xml:space="preserve">[6] S. Sheikhi, P. Kostakos, and L. Lovén,</w:t>
      </w:r>
      <w:r>
        <w:t xml:space="preserve"> </w:t>
      </w:r>
      <w:r>
        <w:t xml:space="preserve">“</w:t>
      </w:r>
      <w:r>
        <w:t xml:space="preserve">Cognitive SOC: Evidence-backed narrative generation for security operations with multi-agent LLM architecture,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2025 IEEE Int. Conf. Big Data (BigData)</w:t>
      </w:r>
      <w:r>
        <w:t xml:space="preserve">, Macau, China, 2025, pp. 7027–7036, doi: 10.1109/BigData66926.2025.11401968.</w:t>
      </w:r>
    </w:p>
    <w:p>
      <w:pPr>
        <w:pStyle w:val="BodyText"/>
      </w:pPr>
      <w:r>
        <w:t xml:space="preserve">[7] M. Rieger, A. Shah, A. Alam, and M. J. Hossain,</w:t>
      </w:r>
      <w:r>
        <w:t xml:space="preserve"> </w:t>
      </w:r>
      <w:r>
        <w:t xml:space="preserve">“</w:t>
      </w:r>
      <w:r>
        <w:t xml:space="preserve">Possibilities and limitations of using large language models (LLMs) for alert classification and prioritisation in security operations centers (SOCs),</w:t>
      </w:r>
      <w:r>
        <w:t xml:space="preserve">”</w:t>
      </w:r>
      <w:r>
        <w:t xml:space="preserve"> </w:t>
      </w:r>
      <w:r>
        <w:rPr>
          <w:iCs/>
          <w:i/>
        </w:rPr>
        <w:t xml:space="preserve">Expert Systems with Applications</w:t>
      </w:r>
      <w:r>
        <w:t xml:space="preserve">, vol. 331, Part C, Art. no. 133194, 2026, doi: 10.1016/j.eswa.2026.133194.</w:t>
      </w:r>
    </w:p>
    <w:p>
      <w:pPr>
        <w:pStyle w:val="BodyText"/>
      </w:pPr>
      <w:r>
        <w:t xml:space="preserve">[8] A. Nelson, S. Rekhi, M. Souppaya, and K. Scarfone,</w:t>
      </w:r>
      <w:r>
        <w:t xml:space="preserve"> </w:t>
      </w:r>
      <w:r>
        <w:t xml:space="preserve">“</w:t>
      </w:r>
      <w:r>
        <w:t xml:space="preserve">Incident response recommendations and considerations for cybersecurity risk management: A CSF 2.0 community profile,</w:t>
      </w:r>
      <w:r>
        <w:t xml:space="preserve">”</w:t>
      </w:r>
      <w:r>
        <w:t xml:space="preserve"> </w:t>
      </w:r>
      <w:r>
        <w:t xml:space="preserve">NIST, Gaithersburg, MD, USA, NIST SP 800-61 Rev. 3, Apr. 2025, doi: 10.6028/NIST.SP.800-61r3.</w:t>
      </w:r>
    </w:p>
    <w:bookmarkEnd w:id="53"/>
    <w:sectPr>
      <w:type w:val="continuous"/>
      <w:pgSz w:w="11907" w:h="16840" w:code="9"/>
      <w:pgMar w:top="1701" w:right="1797" w:bottom="1418" w:left="1797" w:header="561" w:footer="561" w:gutter="0"/>
      <w:cols w:space="340" w:num="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PSK" w:hAnsi="TH SarabunPSK" w:cs="TH SarabunPSK" w:eastAsia="TH SarabunPSK"/>
        <w:sz w:val="28"/>
        <w:szCs w:val="28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60" w:line="240" w:lineRule="auto"/>
      <w:jc w:val="thaiDistribute"/>
    </w:pPr>
    <w:rPr>
      <w:rFonts w:ascii="TH SarabunPSK" w:hAnsi="TH SarabunPSK" w:cs="TH SarabunPSK" w:eastAsia="TH SarabunPSK"/>
      <w:sz w:val="28"/>
      <w:szCs w:val="28"/>
    </w:rPr>
  </w:style>
  <w:style w:styleId="BodyText" w:type="paragraph">
    <w:name w:val="Body Text"/>
    <w:basedOn w:val="Normal"/>
    <w:link w:val="BodyTextChar"/>
    <w:pPr>
      <w:spacing w:before="0" w:after="60" w:line="240" w:lineRule="auto"/>
      <w:jc w:val="thaiDistribute"/>
    </w:pPr>
    <w:qFormat/>
    <w:rPr>
      <w:rFonts w:ascii="TH SarabunPSK" w:hAnsi="TH SarabunPSK" w:cs="TH SarabunPSK" w:eastAsia="TH SarabunPSK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before="0" w:after="60" w:line="240" w:lineRule="auto"/>
      <w:jc w:val="thaiDistribute"/>
    </w:pPr>
    <w:rPr>
      <w:rFonts w:ascii="TH SarabunPSK" w:hAnsi="TH SarabunPSK" w:cs="TH SarabunPSK" w:eastAsia="TH SarabunPSK"/>
      <w:sz w:val="28"/>
      <w:szCs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hAnsi="TH SarabunPSK" w:cs="TH SarabunPSK" w:eastAsia="TH SarabunPSK"/>
      <w:sz w:val="26"/>
      <w:szCs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PSK" w:hAnsi="TH SarabunPSK" w:cs="TH SarabunPSK" w:eastAsia="TH SarabunPSK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PSK" w:hAnsi="TH SarabunPSK" w:cs="TH SarabunPSK" w:eastAsia="TH SarabunPSK"/>
      <w:sz w:val="32"/>
      <w:szCs w:val="32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PSK" w:hAnsi="TH SarabunPSK" w:cs="TH SarabunPSK" w:eastAsia="TH SarabunPSK"/>
      <w:sz w:val="28"/>
      <w:szCs w:val="28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PSK" w:hAnsi="TH SarabunPSK" w:cs="TH SarabunPSK" w:eastAsia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H SarabunPSK" w:hAnsi="TH SarabunPSK" w:cs="TH SarabunPSK" w:eastAsia="TH SarabunPSK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PSK" w:hAnsi="TH SarabunPSK" w:cs="TH SarabunPSK" w:eastAsia="TH SarabunPSK"/>
      <w:sz w:val="28"/>
      <w:szCs w:val="28"/>
    </w:rPr>
  </w:style>
  <w:style w:styleId="Bibliography" w:type="paragraph">
    <w:name w:val="Bibliography"/>
    <w:basedOn w:val="Normal"/>
    <w:next w:val="Bibliography"/>
    <w:qFormat/>
    <w:pPr/>
    <w:rPr>
      <w:rFonts w:ascii="TH SarabunPSK" w:hAnsi="TH SarabunPSK" w:cs="TH SarabunPSK" w:eastAsia="TH SarabunPSK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PSK" w:hAnsi="TH SarabunPSK" w:cs="TH SarabunPSK" w:eastAsia="TH SarabunPSK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PSK" w:hAnsi="TH SarabunPSK" w:cs="TH SarabunPSK" w:eastAsia="TH SarabunPSK"/>
      <w:b/>
      <w:bCs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PSK" w:hAnsi="TH SarabunPSK" w:cs="TH SarabunPSK" w:eastAsia="TH SarabunPSK"/>
      <w:b/>
      <w:bCs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PSK" w:hAnsi="TH SarabunPSK" w:cs="TH SarabunPSK" w:eastAsia="TH SarabunPSK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PSK" w:hAnsi="TH SarabunPSK" w:cs="TH SarabunPSK" w:eastAsia="TH SarabunPSK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PSK" w:hAnsi="TH SarabunPSK" w:cs="TH SarabunPSK" w:eastAsia="TH SarabunPSK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PSK" w:hAnsi="TH SarabunPSK" w:cs="TH SarabunPSK" w:eastAsia="TH SarabunPSK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PSK" w:hAnsi="TH SarabunPSK" w:cs="TH SarabunPSK" w:eastAsia="TH SarabunPSK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PSK" w:hAnsi="TH SarabunPSK" w:cs="TH SarabunPSK" w:eastAsia="TH SarabunPSK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hAnsi="TH SarabunPSK" w:cs="TH SarabunPSK" w:eastAsia="TH SarabunPSK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hAnsi="TH SarabunPSK" w:cs="TH SarabunPSK" w:eastAsia="TH SarabunPSK"/>
    </w:rPr>
  </w:style>
  <w:style w:default="1" w:styleId="DefaultParagraphFont" w:type="character">
    <w:name w:val="Default Paragraph Font"/>
    <w:semiHidden/>
    <w:unhideWhenUsed/>
    <w:rPr>
      <w:rFonts w:ascii="TH SarabunPSK" w:hAnsi="TH SarabunPSK" w:cs="TH SarabunPSK" w:eastAsia="TH SarabunPSK"/>
    </w:rPr>
  </w:style>
  <w:style w:default="1" w:styleId="Table" w:type="table">
    <w:name w:val="Table"/>
    <w:basedOn w:val="TableNormal"/>
    <w:semiHidden/>
    <w:unhideWhenUsed/>
    <w:qFormat/>
    <w:rPr>
      <w:rFonts w:ascii="TH SarabunPSK" w:hAnsi="TH SarabunPSK" w:cs="TH SarabunPSK" w:eastAsia="TH SarabunPSK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PSK" w:hAnsi="TH SarabunPSK" w:cs="TH SarabunPSK" w:eastAsia="TH SarabunPSK"/>
      <w:b/>
    </w:rPr>
  </w:style>
  <w:style w:customStyle="1" w:styleId="Definition" w:type="paragraph">
    <w:name w:val="Definition"/>
    <w:basedOn w:val="Normal"/>
    <w:rPr>
      <w:rFonts w:ascii="TH SarabunPSK" w:hAnsi="TH SarabunPSK" w:cs="TH SarabunPSK" w:eastAsia="TH SarabunPSK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PSK" w:hAnsi="TH SarabunPSK" w:cs="TH SarabunPSK" w:eastAsia="TH SarabunPSK"/>
      <w:i/>
      <w:sz w:val="26"/>
      <w:szCs w:val="26"/>
    </w:rPr>
  </w:style>
  <w:style w:customStyle="1" w:styleId="TableCaption" w:type="paragraph">
    <w:name w:val="Table Caption"/>
    <w:basedOn w:val="Caption"/>
    <w:pPr>
      <w:keepNext/>
    </w:pPr>
    <w:rPr>
      <w:rFonts w:ascii="TH SarabunPSK" w:hAnsi="TH SarabunPSK" w:cs="TH SarabunPSK" w:eastAsia="TH SarabunPSK"/>
      <w:sz w:val="26"/>
      <w:szCs w:val="26"/>
    </w:rPr>
  </w:style>
  <w:style w:customStyle="1" w:styleId="ImageCaption" w:type="paragraph">
    <w:name w:val="Image Caption"/>
    <w:basedOn w:val="Caption"/>
    <w:rPr>
      <w:rFonts w:ascii="TH SarabunPSK" w:hAnsi="TH SarabunPSK" w:cs="TH SarabunPSK" w:eastAsia="TH SarabunPSK"/>
      <w:sz w:val="26"/>
      <w:szCs w:val="26"/>
    </w:rPr>
  </w:style>
  <w:style w:customStyle="1" w:styleId="Figure" w:type="paragraph">
    <w:name w:val="Figure"/>
    <w:basedOn w:val="Normal"/>
    <w:rPr>
      <w:rFonts w:ascii="TH SarabunPSK" w:hAnsi="TH SarabunPSK" w:cs="TH SarabunPSK" w:eastAsia="TH SarabunPSK"/>
      <w:sz w:val="26"/>
      <w:szCs w:val="26"/>
    </w:rPr>
  </w:style>
  <w:style w:customStyle="1" w:styleId="CaptionedFigure" w:type="paragraph">
    <w:name w:val="Captioned Figure"/>
    <w:basedOn w:val="Figure"/>
    <w:pPr>
      <w:keepNext/>
    </w:pPr>
    <w:rPr>
      <w:rFonts w:ascii="TH SarabunPSK" w:hAnsi="TH SarabunPSK" w:cs="TH SarabunPSK" w:eastAsia="TH SarabunPSK"/>
      <w:sz w:val="26"/>
      <w:szCs w:val="26"/>
    </w:rPr>
  </w:style>
  <w:style w:customStyle="1" w:styleId="BodyTextChar" w:type="character">
    <w:name w:val="Body Text Char"/>
    <w:basedOn w:val="DefaultParagraphFont"/>
    <w:link w:val="BodyText"/>
    <w:rPr>
      <w:rFonts w:ascii="TH SarabunPSK" w:hAnsi="TH SarabunPSK" w:cs="TH SarabunPSK" w:eastAsia="TH SarabunPSK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TH SarabunPSK" w:hAnsi="TH SarabunPSK" w:cs="TH SarabunPSK" w:eastAsia="TH SarabunPSK"/>
    </w:rPr>
  </w:style>
  <w:style w:styleId="FootnoteReference" w:type="character">
    <w:name w:val="Footnote Reference"/>
    <w:basedOn w:val="BodyTextChar"/>
    <w:rPr>
      <w:rFonts w:ascii="TH SarabunPSK" w:hAnsi="TH SarabunPSK" w:cs="TH SarabunPSK" w:eastAsia="TH SarabunPSK"/>
      <w:vertAlign w:val="superscript"/>
    </w:rPr>
  </w:style>
  <w:style w:styleId="Hyperlink" w:type="character">
    <w:name w:val="Hyperlink"/>
    <w:basedOn w:val="BodyTextChar"/>
    <w:rPr>
      <w:rFonts w:ascii="TH SarabunPSK" w:hAnsi="TH SarabunPSK" w:cs="TH SarabunPSK" w:eastAsia="TH SarabunPSK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hAnsi="TH SarabunPSK" w:cs="TH SarabunPSK" w:eastAsia="TH SarabunPSK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VIGIX: AI-Powered SOC Automation Platform (revised draft)</dc:title>
  <dc:creator>Kanoknipha Panset</dc:creator>
  <cp:keywords/>
  <dcterms:created xsi:type="dcterms:W3CDTF">2026-10-04T09:11:36Z</dcterms:created>
  <dcterms:modified xsi:type="dcterms:W3CDTF">2026-10-04T09:11:36Z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VIGIX: AI-Powered SOC Automation Platform</vt:lpwstr>
  </property>
</Properties>
</file>