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urn:cts:froLit:jns47.jns8386.c7s-fro7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 Nous l'avons présenté dans l'analyse paléographique, la main </w:t>
      </w:r>
      <w:r>
        <w:rPr>
          <w:i/>
          <w:lang w:val="fr"/>
        </w:rPr>
        <w:t xml:space="preserve">hand2</w:t>
      </w:r>
      <w:r>
        <w:rPr>
          <w:lang w:val="fr"/>
        </w:rPr>
        <w:t xml:space="preserve"> est beaucoup plus nette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2024-03-08T08:40:06Z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