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w:t>
      </w:r>
      <w:proofErr w:type="spellStart"/>
      <w:r>
        <w:t>DASC_Communication</w:t>
      </w:r>
      <w:proofErr w:type="spellEnd"/>
      <w:r>
        <w:t xml:space="preserve">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proofErr w:type="spellStart"/>
      <w:r w:rsidRPr="007E6A2C">
        <w:rPr>
          <w:b/>
        </w:rPr>
        <w:t>FeatureID</w:t>
      </w:r>
      <w:proofErr w:type="spellEnd"/>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proofErr w:type="spellStart"/>
      <w:r>
        <w:t>AddressPoints</w:t>
      </w:r>
      <w:proofErr w:type="spellEnd"/>
      <w:r>
        <w:t xml:space="preserve">: </w:t>
      </w:r>
      <w:r w:rsidR="0096679E">
        <w:t>NGADDID</w:t>
      </w:r>
    </w:p>
    <w:p w:rsidR="00973AA7" w:rsidRDefault="00973AA7" w:rsidP="00973AA7">
      <w:pPr>
        <w:pStyle w:val="ListParagraph"/>
        <w:numPr>
          <w:ilvl w:val="1"/>
          <w:numId w:val="10"/>
        </w:numPr>
      </w:pPr>
      <w:proofErr w:type="spellStart"/>
      <w:r>
        <w:t>AuthoritativeBoundary</w:t>
      </w:r>
      <w:proofErr w:type="spellEnd"/>
      <w:r>
        <w:t xml:space="preserve">: </w:t>
      </w:r>
      <w:r w:rsidR="0096679E">
        <w:t>NGABID</w:t>
      </w:r>
    </w:p>
    <w:p w:rsidR="00973AA7" w:rsidRDefault="00973AA7" w:rsidP="00973AA7">
      <w:pPr>
        <w:pStyle w:val="ListParagraph"/>
        <w:numPr>
          <w:ilvl w:val="1"/>
          <w:numId w:val="10"/>
        </w:numPr>
      </w:pPr>
      <w:proofErr w:type="spellStart"/>
      <w:r>
        <w:t>CountyBoundary</w:t>
      </w:r>
      <w:proofErr w:type="spellEnd"/>
      <w:r>
        <w:t xml:space="preserve">: </w:t>
      </w:r>
      <w:r w:rsidR="0096679E">
        <w:t>NGCOUNTYID</w:t>
      </w:r>
    </w:p>
    <w:p w:rsidR="00973AA7" w:rsidRDefault="00973AA7" w:rsidP="00973AA7">
      <w:pPr>
        <w:pStyle w:val="ListParagraph"/>
        <w:numPr>
          <w:ilvl w:val="1"/>
          <w:numId w:val="10"/>
        </w:numPr>
      </w:pPr>
      <w:r>
        <w:t xml:space="preserve">ESB (includes EMS, FIRE, LAW, PSAP): </w:t>
      </w:r>
      <w:r w:rsidR="0096679E">
        <w:t>NGESBID</w:t>
      </w:r>
    </w:p>
    <w:p w:rsidR="00973AA7" w:rsidRDefault="00973AA7" w:rsidP="00973AA7">
      <w:pPr>
        <w:pStyle w:val="ListParagraph"/>
        <w:numPr>
          <w:ilvl w:val="1"/>
          <w:numId w:val="10"/>
        </w:numPr>
      </w:pPr>
      <w:r>
        <w:t xml:space="preserve">ESZ: </w:t>
      </w:r>
      <w:r w:rsidR="0096679E">
        <w:t>NGESZID</w:t>
      </w:r>
    </w:p>
    <w:p w:rsidR="00973AA7" w:rsidRDefault="00973AA7" w:rsidP="00973AA7">
      <w:pPr>
        <w:pStyle w:val="ListParagraph"/>
        <w:numPr>
          <w:ilvl w:val="1"/>
          <w:numId w:val="10"/>
        </w:numPr>
      </w:pPr>
      <w:proofErr w:type="spellStart"/>
      <w:r>
        <w:t>MunicipalBoundary</w:t>
      </w:r>
      <w:proofErr w:type="spellEnd"/>
      <w:r w:rsidR="006E6A94">
        <w:t xml:space="preserve">: </w:t>
      </w:r>
      <w:r w:rsidR="0096679E">
        <w:t>NGMUNI_ID</w:t>
      </w:r>
    </w:p>
    <w:p w:rsidR="00973AA7" w:rsidRDefault="00973AA7" w:rsidP="00973AA7">
      <w:pPr>
        <w:pStyle w:val="ListParagraph"/>
        <w:numPr>
          <w:ilvl w:val="1"/>
          <w:numId w:val="10"/>
        </w:numPr>
      </w:pPr>
      <w:proofErr w:type="spellStart"/>
      <w:r>
        <w:t>RoadAlias</w:t>
      </w:r>
      <w:proofErr w:type="spellEnd"/>
      <w:r>
        <w:t xml:space="preserve">: </w:t>
      </w:r>
      <w:r w:rsidR="0096679E">
        <w:t>NGALIASID</w:t>
      </w:r>
    </w:p>
    <w:p w:rsidR="00973AA7" w:rsidRDefault="00973AA7" w:rsidP="00973AA7">
      <w:pPr>
        <w:pStyle w:val="ListParagraph"/>
        <w:numPr>
          <w:ilvl w:val="1"/>
          <w:numId w:val="10"/>
        </w:numPr>
      </w:pPr>
      <w:proofErr w:type="spellStart"/>
      <w:r>
        <w:t>RoadCenterline</w:t>
      </w:r>
      <w:proofErr w:type="spellEnd"/>
      <w:r>
        <w:t xml:space="preserve">: </w:t>
      </w:r>
      <w:r w:rsidR="0096679E">
        <w:t>NGSEGID</w:t>
      </w:r>
    </w:p>
    <w:p w:rsidR="000643EA" w:rsidRPr="00973AA7" w:rsidRDefault="000643EA" w:rsidP="000643EA">
      <w:r>
        <w:lastRenderedPageBreak/>
        <w:t xml:space="preserve">A quick way to visualize issues is to create a join between a feature class’s unique ID field and </w:t>
      </w:r>
      <w:proofErr w:type="spellStart"/>
      <w:r>
        <w:t>FeatureID</w:t>
      </w:r>
      <w:proofErr w:type="spellEnd"/>
      <w:r>
        <w:t xml:space="preserve"> in FieldValuesCheckResults. From the attribute table,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rsidR="0088540C">
        <w:t>processe</w:t>
      </w:r>
      <w:bookmarkStart w:id="0" w:name="_GoBack"/>
      <w:bookmarkEnd w:id="0"/>
      <w:r w:rsidR="0088540C">
        <w:t>d</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 xml:space="preserve">Under “Error Message” and “Notice Message”, any words in all caps represent variables in the messages such as layer names, field names, </w:t>
      </w:r>
      <w:proofErr w:type="gramStart"/>
      <w:r>
        <w:t>values</w:t>
      </w:r>
      <w:proofErr w:type="gramEnd"/>
      <w:r>
        <w:t xml:space="preserve">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proofErr w:type="gramStart"/>
            <w:r w:rsidR="00F454AD">
              <w:t>itself</w:t>
            </w:r>
            <w:proofErr w:type="gramEnd"/>
            <w:r w:rsidR="00F454AD">
              <w:t xml:space="preserve">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proofErr w:type="spellStart"/>
            <w:r>
              <w:t>AddressPoints</w:t>
            </w:r>
            <w:proofErr w:type="spellEnd"/>
          </w:p>
          <w:p w:rsidR="0049672C" w:rsidRDefault="0049672C" w:rsidP="00AD5807">
            <w:pPr>
              <w:pStyle w:val="ListParagraph"/>
              <w:numPr>
                <w:ilvl w:val="0"/>
                <w:numId w:val="17"/>
              </w:numPr>
            </w:pPr>
            <w:proofErr w:type="spellStart"/>
            <w:r>
              <w:t>AuthoritativeBoundary</w:t>
            </w:r>
            <w:proofErr w:type="spellEnd"/>
          </w:p>
          <w:p w:rsidR="0049672C" w:rsidRDefault="0049672C" w:rsidP="00AD5807">
            <w:pPr>
              <w:pStyle w:val="ListParagraph"/>
              <w:numPr>
                <w:ilvl w:val="0"/>
                <w:numId w:val="17"/>
              </w:numPr>
            </w:pPr>
            <w:r>
              <w:lastRenderedPageBreak/>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proofErr w:type="spellStart"/>
            <w:r>
              <w:t>RoadAlias</w:t>
            </w:r>
            <w:proofErr w:type="spellEnd"/>
          </w:p>
          <w:p w:rsidR="0049672C" w:rsidRDefault="0049672C" w:rsidP="00AD5807">
            <w:pPr>
              <w:pStyle w:val="ListParagraph"/>
              <w:numPr>
                <w:ilvl w:val="0"/>
                <w:numId w:val="17"/>
              </w:numPr>
            </w:pPr>
            <w:proofErr w:type="spellStart"/>
            <w:r>
              <w:t>RoadCenterline</w:t>
            </w:r>
            <w:proofErr w:type="spellEnd"/>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be inside the feature dataset named </w:t>
            </w:r>
            <w:r>
              <w:lastRenderedPageBreak/>
              <w:t>‘NG911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Boundaries/</w:t>
            </w:r>
            <w:r w:rsidR="007C2292">
              <w:t xml:space="preserve">5 Check </w:t>
            </w:r>
            <w:r w:rsidR="00995A0B">
              <w:t xml:space="preserve">Additional Layers </w:t>
            </w:r>
            <w:r>
              <w:t xml:space="preserve">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are duplicated, run Adjustment Tools &gt; Fix Duplicate ESB IDs for a </w:t>
            </w:r>
            <w:r w:rsidR="00285A68">
              <w:lastRenderedPageBreak/>
              <w:t>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Boundaries/5 Check </w:t>
            </w:r>
            <w:r w:rsidR="00995A0B">
              <w:t xml:space="preserve">Additional Layers </w:t>
            </w:r>
            <w:r w:rsidR="007C2292">
              <w:t xml:space="preserve"> </w:t>
            </w:r>
            <w:r>
              <w:t>&gt; Check Feature Locations</w:t>
            </w:r>
          </w:p>
          <w:p w:rsidR="00DA70AB" w:rsidRDefault="00DA70AB" w:rsidP="00EE4719"/>
          <w:p w:rsidR="00DA70AB" w:rsidRDefault="00DA70AB" w:rsidP="00EE4719">
            <w:r>
              <w:t xml:space="preserve">Some part of this feature’s geometry falls outside of the authoritative boundary. This is only an error for features NOT in </w:t>
            </w:r>
            <w:proofErr w:type="spellStart"/>
            <w:r>
              <w:t>AddressPoints</w:t>
            </w:r>
            <w:proofErr w:type="spellEnd"/>
            <w:r>
              <w:t>.</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w:t>
            </w:r>
            <w:proofErr w:type="spellStart"/>
            <w:r w:rsidRPr="003433A2">
              <w:rPr>
                <w:i/>
              </w:rPr>
              <w:t>FeatureID</w:t>
            </w:r>
            <w:proofErr w:type="spellEnd"/>
            <w:r w:rsidRPr="003433A2">
              <w:rPr>
                <w:i/>
              </w:rPr>
              <w:t xml:space="preserve">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 xml:space="preserve">A required field contains a null value. To narrow down the issue, look at the Layer, Field and </w:t>
            </w:r>
            <w:proofErr w:type="spellStart"/>
            <w:r>
              <w:t>FeatureID</w:t>
            </w:r>
            <w:proofErr w:type="spellEnd"/>
            <w:r>
              <w:t xml:space="preserve">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Boundaries/5 </w:t>
            </w:r>
            <w:r w:rsidR="00995A0B">
              <w:t>Additional Layers</w:t>
            </w:r>
            <w:r w:rsidR="007C2292">
              <w:t xml:space="preserve">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w:t>
            </w:r>
            <w:proofErr w:type="spellStart"/>
            <w:r>
              <w:t>GeocodeTable</w:t>
            </w:r>
            <w:proofErr w:type="spellEnd"/>
            <w:r>
              <w:t xml:space="preserve"> (the input addresses) and </w:t>
            </w:r>
            <w:proofErr w:type="spellStart"/>
            <w:r>
              <w:t>gc_test</w:t>
            </w:r>
            <w:proofErr w:type="spellEnd"/>
            <w:r>
              <w:t xml:space="preserve"> (the geocoding results) in the geodatabase instead of removing them for cleanup. To examine exactly what was geocoded, look at the </w:t>
            </w:r>
            <w:proofErr w:type="spellStart"/>
            <w:r>
              <w:t>SingleLineInput</w:t>
            </w:r>
            <w:proofErr w:type="spellEnd"/>
            <w:r>
              <w:t xml:space="preserve"> field of the </w:t>
            </w:r>
            <w:proofErr w:type="spellStart"/>
            <w:r>
              <w:t>GeocodeTable</w:t>
            </w:r>
            <w:proofErr w:type="spellEnd"/>
            <w:r>
              <w:t xml:space="preserve">. The information for </w:t>
            </w:r>
            <w:proofErr w:type="spellStart"/>
            <w:r>
              <w:t>SingleLineInput</w:t>
            </w:r>
            <w:proofErr w:type="spellEnd"/>
            <w:r>
              <w:t xml:space="preserve"> is derived from the </w:t>
            </w:r>
            <w:proofErr w:type="spellStart"/>
            <w:r>
              <w:t>AddressPoints</w:t>
            </w:r>
            <w:proofErr w:type="spellEnd"/>
            <w:r>
              <w:t xml:space="preserve"> layer by concatenating the LABEL and ZIP fields. In </w:t>
            </w:r>
            <w:proofErr w:type="spellStart"/>
            <w:r>
              <w:t>gc_test</w:t>
            </w:r>
            <w:proofErr w:type="spellEnd"/>
            <w:r>
              <w:t xml:space="preserve">,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 xml:space="preserve">Fixes for geocoding issues might either be in the </w:t>
            </w:r>
            <w:proofErr w:type="spellStart"/>
            <w:r>
              <w:t>AddressPoints</w:t>
            </w:r>
            <w:proofErr w:type="spellEnd"/>
            <w:r>
              <w:t xml:space="preserve"> layer or the </w:t>
            </w:r>
            <w:proofErr w:type="spellStart"/>
            <w:r>
              <w:t>RoadCenterline</w:t>
            </w:r>
            <w:proofErr w:type="spellEnd"/>
            <w:r>
              <w:t xml:space="preserve"> layer. Examine the LABEL and ZIP fields of the </w:t>
            </w:r>
            <w:proofErr w:type="spellStart"/>
            <w:r>
              <w:t>AddressPoints</w:t>
            </w:r>
            <w:proofErr w:type="spellEnd"/>
            <w:r>
              <w:t xml:space="preserve">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r w:rsidR="00534622" w:rsidTr="00534622">
        <w:tc>
          <w:tcPr>
            <w:tcW w:w="2358" w:type="dxa"/>
            <w:shd w:val="clear" w:color="auto" w:fill="F2F2F2" w:themeFill="background1" w:themeFillShade="F2"/>
          </w:tcPr>
          <w:p w:rsidR="00534622" w:rsidRDefault="00534622" w:rsidP="00FB3F06">
            <w:pPr>
              <w:rPr>
                <w:i/>
              </w:rPr>
            </w:pPr>
            <w:r>
              <w:rPr>
                <w:i/>
              </w:rPr>
              <w:t>Error: KSPID value is not the required 19 characters.</w:t>
            </w:r>
          </w:p>
        </w:tc>
        <w:tc>
          <w:tcPr>
            <w:tcW w:w="4950" w:type="dxa"/>
            <w:shd w:val="clear" w:color="auto" w:fill="F2F2F2" w:themeFill="background1" w:themeFillShade="F2"/>
          </w:tcPr>
          <w:p w:rsidR="00534622" w:rsidRDefault="00534622" w:rsidP="0062276D">
            <w:r>
              <w:t>Found by: 2 Check Address Points &gt; Check Values Against Domains</w:t>
            </w:r>
          </w:p>
          <w:p w:rsidR="00534622" w:rsidRDefault="00534622" w:rsidP="0062276D"/>
          <w:p w:rsidR="00534622" w:rsidRDefault="00534622" w:rsidP="0062276D">
            <w:r>
              <w:t>A KSPID record was not 19 digits. The official KSPID format is 19 digits which includes the county code and cannot hold dashes or dots.</w:t>
            </w:r>
          </w:p>
        </w:tc>
        <w:tc>
          <w:tcPr>
            <w:tcW w:w="2268" w:type="dxa"/>
            <w:shd w:val="clear" w:color="auto" w:fill="F2F2F2" w:themeFill="background1" w:themeFillShade="F2"/>
          </w:tcPr>
          <w:p w:rsidR="00534622" w:rsidRDefault="00534622" w:rsidP="0062276D">
            <w:r>
              <w:t>Run “Fix KSPID” in “Adjustment Tools” to remove any dashes or dots. Make sure all KSPID records include the county code.</w:t>
            </w:r>
          </w:p>
        </w:tc>
      </w:tr>
    </w:tbl>
    <w:p w:rsidR="00534622" w:rsidRDefault="00534622" w:rsidP="00E0487B">
      <w:pPr>
        <w:pStyle w:val="Heading6"/>
      </w:pPr>
    </w:p>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lastRenderedPageBreak/>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lastRenderedPageBreak/>
              <w:t xml:space="preserve">Take a look at the road alias table to make </w:t>
            </w:r>
            <w:r>
              <w:lastRenderedPageBreak/>
              <w:t>sure key values are not null.</w:t>
            </w:r>
          </w:p>
        </w:tc>
      </w:tr>
    </w:tbl>
    <w:p w:rsidR="0062276D" w:rsidRPr="0062276D" w:rsidRDefault="0062276D" w:rsidP="0062276D"/>
    <w:p w:rsidR="007E6A2C" w:rsidRDefault="007E6A2C" w:rsidP="0049672C">
      <w:pPr>
        <w:pStyle w:val="Heading2"/>
      </w:pPr>
      <w:r>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6E6A94" w:rsidP="00DA70AB">
            <w:r>
              <w:rPr>
                <w:i/>
              </w:rPr>
              <w:t xml:space="preserve">Notice: </w:t>
            </w:r>
            <w:r w:rsidR="00DA70AB" w:rsidRPr="003A4F83">
              <w:rPr>
                <w:i/>
              </w:rPr>
              <w:t xml:space="preserve">Address point </w:t>
            </w:r>
            <w:r w:rsidR="00DA70AB">
              <w:rPr>
                <w:i/>
              </w:rPr>
              <w:t>MUNI/ESN</w:t>
            </w:r>
            <w:r w:rsidR="00DA70AB" w:rsidRPr="003A4F83">
              <w:rPr>
                <w:i/>
              </w:rPr>
              <w:t xml:space="preserve"> does not match MUNI/ESN in </w:t>
            </w:r>
            <w:proofErr w:type="spellStart"/>
            <w:r w:rsidR="00DA70AB" w:rsidRPr="003A4F83">
              <w:rPr>
                <w:i/>
              </w:rPr>
              <w:t>MunicipalBoundary</w:t>
            </w:r>
            <w:proofErr w:type="spellEnd"/>
            <w:r w:rsidR="00DA70AB" w:rsidRPr="003A4F83">
              <w:rPr>
                <w:i/>
              </w:rPr>
              <w:t>/ESZ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 xml:space="preserve">This notification will not prohibit data from being accepted and processed, so if an address point is truly outside the authoritative boundary, please do </w:t>
            </w:r>
            <w:r>
              <w:lastRenderedPageBreak/>
              <w:t>not edit the data.</w:t>
            </w:r>
          </w:p>
        </w:tc>
        <w:tc>
          <w:tcPr>
            <w:tcW w:w="2268" w:type="dxa"/>
            <w:shd w:val="clear" w:color="auto" w:fill="F2F2F2" w:themeFill="background1" w:themeFillShade="F2"/>
          </w:tcPr>
          <w:p w:rsidR="00DA70AB" w:rsidRDefault="00DA70AB" w:rsidP="003A4F83">
            <w:r>
              <w:lastRenderedPageBreak/>
              <w:t xml:space="preserve">Examine the location of the identified address point in comparison to the authoritative boundary. If necessary, move the address point inside the authoritative </w:t>
            </w:r>
            <w:r>
              <w:lastRenderedPageBreak/>
              <w:t>boundary or move the authoritative boundary to include the address point.</w:t>
            </w:r>
          </w:p>
        </w:tc>
      </w:tr>
    </w:tbl>
    <w:p w:rsidR="007E6A2C" w:rsidRDefault="007E6A2C" w:rsidP="003A4F83"/>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8B7C0A" w:rsidTr="005052A1">
        <w:tc>
          <w:tcPr>
            <w:tcW w:w="2358" w:type="dxa"/>
            <w:shd w:val="clear" w:color="auto" w:fill="F2F2F2" w:themeFill="background1" w:themeFillShade="F2"/>
          </w:tcPr>
          <w:p w:rsidR="008B7C0A" w:rsidRPr="00EE4719" w:rsidRDefault="008B7C0A" w:rsidP="0062276D">
            <w:pPr>
              <w:rPr>
                <w:i/>
              </w:rPr>
            </w:pPr>
            <w:r>
              <w:rPr>
                <w:i/>
              </w:rPr>
              <w:t>FEATUREID has duplicate address range information.</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62276D">
            <w:r>
              <w:t>Two road segments (probably side by side dual carriageways) have duplicate address ranges. In these cases, each segment should have 0-0 address ranges on the interior.</w:t>
            </w:r>
          </w:p>
        </w:tc>
        <w:tc>
          <w:tcPr>
            <w:tcW w:w="2268" w:type="dxa"/>
            <w:shd w:val="clear" w:color="auto" w:fill="F2F2F2" w:themeFill="background1" w:themeFillShade="F2"/>
          </w:tcPr>
          <w:p w:rsidR="008B7C0A" w:rsidRDefault="008B7C0A" w:rsidP="005052A1">
            <w:r>
              <w:t>Edit dual carriageways so each road piece is only addressed on the outside range. The interior range should be 0-0.</w:t>
            </w:r>
          </w:p>
        </w:tc>
      </w:tr>
      <w:tr w:rsidR="005052A1" w:rsidTr="008B7C0A">
        <w:tc>
          <w:tcPr>
            <w:tcW w:w="2358" w:type="dxa"/>
            <w:shd w:val="clear" w:color="auto" w:fill="FFFFFF" w:themeFill="background1"/>
          </w:tcPr>
          <w:p w:rsidR="005052A1" w:rsidRDefault="005052A1" w:rsidP="0062276D">
            <w:r w:rsidRPr="00EE4719">
              <w:rPr>
                <w:i/>
              </w:rPr>
              <w:t>Road centerline highway segment does not have a corresponding road alias record</w:t>
            </w:r>
          </w:p>
        </w:tc>
        <w:tc>
          <w:tcPr>
            <w:tcW w:w="4950" w:type="dxa"/>
            <w:shd w:val="clear" w:color="auto" w:fill="FFFFFF" w:themeFill="background1"/>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FFFFF" w:themeFill="background1"/>
          </w:tcPr>
          <w:p w:rsidR="005052A1" w:rsidRDefault="005052A1" w:rsidP="005052A1">
            <w:r>
              <w:t xml:space="preserve">Highway records should have a corresponding record in the road alias table. If a record doesn’t exist in the road alias table, create one and add all necessary </w:t>
            </w:r>
            <w:r>
              <w:lastRenderedPageBreak/>
              <w:t xml:space="preserve">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8B7C0A" w:rsidTr="008B7C0A">
        <w:tc>
          <w:tcPr>
            <w:tcW w:w="2358" w:type="dxa"/>
            <w:shd w:val="clear" w:color="auto" w:fill="F2F2F2" w:themeFill="background1" w:themeFillShade="F2"/>
          </w:tcPr>
          <w:p w:rsidR="008B7C0A" w:rsidRPr="003433A2" w:rsidRDefault="008B7C0A" w:rsidP="0062276D">
            <w:pPr>
              <w:rPr>
                <w:i/>
              </w:rPr>
            </w:pPr>
            <w:r>
              <w:rPr>
                <w:i/>
              </w:rPr>
              <w:lastRenderedPageBreak/>
              <w:t>Road segment contains addresses for area outside PSAP boundary</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720F50">
            <w:r>
              <w:t>A road centerline segment has different values for COUNTY_L and COUNTY_R and contains non-zero values for all four f</w:t>
            </w:r>
            <w:r w:rsidR="00720F50">
              <w:t>ields L_F_ADD, L_R_ADD, R_F_ADD and</w:t>
            </w:r>
            <w:r>
              <w:t xml:space="preserve"> R_T_ADD. According to the NG911 </w:t>
            </w:r>
            <w:r w:rsidR="00720F50">
              <w:t>data</w:t>
            </w:r>
            <w:r>
              <w:t xml:space="preserve"> model, addresses outside the PSAP should be addressed as 0-0. </w:t>
            </w:r>
          </w:p>
        </w:tc>
        <w:tc>
          <w:tcPr>
            <w:tcW w:w="2268" w:type="dxa"/>
            <w:shd w:val="clear" w:color="auto" w:fill="F2F2F2" w:themeFill="background1" w:themeFillShade="F2"/>
          </w:tcPr>
          <w:p w:rsidR="008B7C0A" w:rsidRDefault="008B7C0A" w:rsidP="008B7C0A">
            <w:r>
              <w:t>Edit addresses outside of your PSAP as 0-0. For example, for a road segment, if COUNTY_L is not your county, the corresponding values for L_F_ADD and L_T_ADD should be 0 and 0.</w:t>
            </w:r>
          </w:p>
        </w:tc>
      </w:tr>
      <w:tr w:rsidR="005052A1" w:rsidTr="008B7C0A">
        <w:tc>
          <w:tcPr>
            <w:tcW w:w="2358" w:type="dxa"/>
            <w:shd w:val="clear" w:color="auto" w:fill="FFFFFF" w:themeFill="background1"/>
          </w:tcPr>
          <w:p w:rsidR="005052A1" w:rsidRDefault="005052A1" w:rsidP="0062276D">
            <w:r w:rsidRPr="003433A2">
              <w:rPr>
                <w:i/>
              </w:rPr>
              <w:t>Segment’s address range is from high to low instead of low to high</w:t>
            </w:r>
          </w:p>
        </w:tc>
        <w:tc>
          <w:tcPr>
            <w:tcW w:w="4950" w:type="dxa"/>
            <w:shd w:val="clear" w:color="auto" w:fill="FFFFFF" w:themeFill="background1"/>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For the records indicated, either L_T_ADD is smaller than L_F_ADD or R_T_ADD is smaller than R_F_ADD. When a “to” portion of an address range is smaller than the “from” portion, geocoders have a harder time placing addresses correctly.</w:t>
            </w:r>
          </w:p>
        </w:tc>
        <w:tc>
          <w:tcPr>
            <w:tcW w:w="2268" w:type="dxa"/>
            <w:shd w:val="clear" w:color="auto" w:fill="FFFFFF" w:themeFill="background1"/>
          </w:tcPr>
          <w:p w:rsidR="005052A1" w:rsidRDefault="005052A1" w:rsidP="0062276D">
            <w:r>
              <w:t>Look at the road segments identified to see if the road direction can be switched without negatively impacting the data.</w:t>
            </w:r>
          </w:p>
        </w:tc>
      </w:tr>
      <w:tr w:rsidR="005052A1" w:rsidTr="008B7C0A">
        <w:tc>
          <w:tcPr>
            <w:tcW w:w="2358" w:type="dxa"/>
            <w:shd w:val="clear" w:color="auto" w:fill="F2F2F2" w:themeFill="background1" w:themeFillShade="F2"/>
          </w:tcPr>
          <w:p w:rsidR="005052A1" w:rsidRDefault="005052A1" w:rsidP="0062276D">
            <w:r w:rsidRPr="003433A2">
              <w:rPr>
                <w:i/>
              </w:rPr>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r w:rsidR="006E6A94" w:rsidTr="00534622">
        <w:tc>
          <w:tcPr>
            <w:tcW w:w="2358" w:type="dxa"/>
            <w:shd w:val="clear" w:color="auto" w:fill="FFFFFF" w:themeFill="background1"/>
          </w:tcPr>
          <w:p w:rsidR="006E6A94" w:rsidRPr="003433A2" w:rsidRDefault="006E6A94" w:rsidP="0062276D">
            <w:pPr>
              <w:rPr>
                <w:i/>
              </w:rPr>
            </w:pPr>
            <w:r>
              <w:rPr>
                <w:i/>
              </w:rPr>
              <w:t>X Side- Address range is 0-0 but the parity is recorded as X OR Parity is marked as E but the ranges filled in are X and X</w:t>
            </w:r>
          </w:p>
        </w:tc>
        <w:tc>
          <w:tcPr>
            <w:tcW w:w="4950" w:type="dxa"/>
            <w:shd w:val="clear" w:color="auto" w:fill="FFFFFF" w:themeFill="background1"/>
          </w:tcPr>
          <w:p w:rsidR="006E6A94" w:rsidRDefault="006E6A94" w:rsidP="0062276D">
            <w:r>
              <w:t>Found by: 3 Check Roads &gt; Check Address Ranges</w:t>
            </w:r>
          </w:p>
          <w:p w:rsidR="006E6A94" w:rsidRDefault="006E6A94" w:rsidP="0062276D"/>
          <w:p w:rsidR="006E6A94" w:rsidRDefault="006E6A94" w:rsidP="0062276D">
            <w:r>
              <w:t>For the record indicated, there’s a difference between the actual address range and what is recorded as the parity.</w:t>
            </w:r>
          </w:p>
        </w:tc>
        <w:tc>
          <w:tcPr>
            <w:tcW w:w="2268" w:type="dxa"/>
            <w:shd w:val="clear" w:color="auto" w:fill="FFFFFF" w:themeFill="background1"/>
          </w:tcPr>
          <w:p w:rsidR="006E6A94" w:rsidRDefault="006E6A94" w:rsidP="006E6A94">
            <w:r>
              <w:t>Depending on the message reported, make sure all 0-0 ranges are marked as Z and that parities marked as E or O actually have E/O ranges.</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CC3EC6">
        <w:t xml:space="preserve"> </w:t>
      </w:r>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lastRenderedPageBreak/>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21523"/>
    <w:rsid w:val="00193784"/>
    <w:rsid w:val="001C2F03"/>
    <w:rsid w:val="00271C5B"/>
    <w:rsid w:val="0028555C"/>
    <w:rsid w:val="00285A68"/>
    <w:rsid w:val="002F6120"/>
    <w:rsid w:val="003433A2"/>
    <w:rsid w:val="00391B37"/>
    <w:rsid w:val="003A4F83"/>
    <w:rsid w:val="003B7BC8"/>
    <w:rsid w:val="0049672C"/>
    <w:rsid w:val="005052A1"/>
    <w:rsid w:val="00534622"/>
    <w:rsid w:val="005371C2"/>
    <w:rsid w:val="00546322"/>
    <w:rsid w:val="005E1A52"/>
    <w:rsid w:val="00615F06"/>
    <w:rsid w:val="0062276D"/>
    <w:rsid w:val="006B129A"/>
    <w:rsid w:val="006E6A94"/>
    <w:rsid w:val="00720F50"/>
    <w:rsid w:val="007B529A"/>
    <w:rsid w:val="007B6759"/>
    <w:rsid w:val="007C2292"/>
    <w:rsid w:val="007E6A2C"/>
    <w:rsid w:val="0088540C"/>
    <w:rsid w:val="008B7C0A"/>
    <w:rsid w:val="008E369E"/>
    <w:rsid w:val="008F2751"/>
    <w:rsid w:val="0096679E"/>
    <w:rsid w:val="00973AA7"/>
    <w:rsid w:val="00995A0B"/>
    <w:rsid w:val="009D32B4"/>
    <w:rsid w:val="00A74A8A"/>
    <w:rsid w:val="00AD5807"/>
    <w:rsid w:val="00AE7DA8"/>
    <w:rsid w:val="00B11828"/>
    <w:rsid w:val="00C672BE"/>
    <w:rsid w:val="00C77AF8"/>
    <w:rsid w:val="00C77C39"/>
    <w:rsid w:val="00CC3EC6"/>
    <w:rsid w:val="00DA70AB"/>
    <w:rsid w:val="00DB2EC9"/>
    <w:rsid w:val="00DC4808"/>
    <w:rsid w:val="00E0487B"/>
    <w:rsid w:val="00E33AAD"/>
    <w:rsid w:val="00E522B8"/>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24</cp:revision>
  <dcterms:created xsi:type="dcterms:W3CDTF">2016-04-05T15:49:00Z</dcterms:created>
  <dcterms:modified xsi:type="dcterms:W3CDTF">2020-08-07T19:38:00Z</dcterms:modified>
</cp:coreProperties>
</file>