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0"/>
      </w:pPr>
      <w:r>
        <w:rPr>
          <w:b/>
          <w:bCs/>
          <w:color w:val="1F1F1F"/>
          <w:sz w:val="56"/>
          <w:szCs w:val="56"/>
        </w:rPr>
        <w:t xml:space="preserve">QUORUM</w:t>
      </w:r>
    </w:p>
    <w:p>
      <w:pPr>
        <w:spacing w:after="40"/>
      </w:pPr>
      <w:r>
        <w:rPr>
          <w:b/>
          <w:bCs/>
          <w:color w:val="8A6D00"/>
          <w:sz w:val="32"/>
          <w:szCs w:val="32"/>
        </w:rPr>
        <w:t xml:space="preserve">GTM Context &amp; Handover</w:t>
      </w:r>
    </w:p>
    <w:p>
      <w:pPr>
        <w:spacing w:after="20"/>
      </w:pPr>
      <w:r>
        <w:rPr>
          <w:i/>
          <w:iCs/>
          <w:color w:val="595959"/>
          <w:sz w:val="22"/>
          <w:szCs w:val="22"/>
        </w:rPr>
        <w:t xml:space="preserve">Customer &amp; lead pipeline, product signal, and working playbook</w:t>
      </w:r>
    </w:p>
    <w:p>
      <w:pPr>
        <w:spacing w:after="300"/>
      </w:pPr>
      <w:r>
        <w:rPr>
          <w:color w:val="595959"/>
          <w:sz w:val="20"/>
          <w:szCs w:val="20"/>
        </w:rPr>
        <w:t xml:space="preserve">Updated August 13, 2026 — supersedes the July 7, 2026 handover</w:t>
      </w:r>
    </w:p>
    <w:p>
      <w:pPr>
        <w:pBdr>
          <w:left w:val="single" w:color="8A6D00" w:sz="18" w:space="8"/>
        </w:pBdr>
        <w:shd w:fill="FFF6D9" w:val="clear"/>
        <w:spacing w:after="200" w:before="100"/>
        <w:ind w:left="100"/>
      </w:pPr>
      <w:r>
        <w:rPr>
          <w:i/>
          <w:iCs/>
          <w:color w:val="1F1F1F"/>
          <w:sz w:val="20"/>
          <w:szCs w:val="20"/>
        </w:rPr>
        <w:t xml:space="preserve">Provenance of this update: Track 1 (acquisition, leads, outreach, Meta funnel, conversion) content below reflects a pipeline update dated August 11, 2026. Product/feature content reflects a direct review of the current codebase (quorum_clean.zip), not a status report from the team — anything sourced this way is marked "per code" and should be sanity-checked against what's actually deployed live. Track 2 (website) and Track 3 (hiring/candidates) remain out of scope, consistent with the original document.</w:t>
      </w:r>
    </w:p>
    <w:p>
      <w:pPr>
        <w:pStyle w:val="Heading2"/>
        <w:spacing w:after="120" w:before="260"/>
      </w:pPr>
      <w:r>
        <w:rPr>
          <w:b/>
          <w:bCs/>
          <w:color w:val="8A6D00"/>
          <w:sz w:val="24"/>
          <w:szCs w:val="24"/>
        </w:rPr>
        <w:t xml:space="preserve">What changed since July 7 — read this first</w:t>
      </w:r>
    </w:p>
    <w:p>
      <w:pPr>
        <w:spacing w:after="140"/>
      </w:pPr>
      <w:r>
        <w:rPr>
          <w:b/>
          <w:bCs/>
          <w:color w:val="1F1F1F"/>
          <w:sz w:val="21"/>
          <w:szCs w:val="21"/>
        </w:rPr>
        <w:t xml:space="preserve">This version incorporates direct founder answers given Aug 13, closing out most of what the previous draft had flagged as open. What's still genuinely open is called out explicitly.</w:t>
      </w:r>
    </w:p>
    <w:p>
      <w:pPr>
        <w:pStyle w:val="ListParagraph"/>
        <w:numPr>
          <w:ilvl w:val="0"/>
          <w:numId w:val="2"/>
        </w:numPr>
        <w:spacing w:after="80"/>
      </w:pPr>
      <w:r>
        <w:rPr>
          <w:color w:val="1F1F1F"/>
          <w:sz w:val="21"/>
          <w:szCs w:val="21"/>
        </w:rPr>
        <w:t xml:space="preserve">New acquisition channel, not in the July 7 doc at all: Meta paid ads. A ₹299 live-session funnel is running, and a second free-tier funnel was just added alongside it — confirmed purpose is DAU growth, not a price-sensitivity test (see §5).</w:t>
      </w:r>
    </w:p>
    <w:p>
      <w:pPr>
        <w:pStyle w:val="ListParagraph"/>
        <w:numPr>
          <w:ilvl w:val="0"/>
          <w:numId w:val="2"/>
        </w:numPr>
        <w:spacing w:after="80"/>
      </w:pPr>
      <w:r>
        <w:rPr>
          <w:color w:val="1F1F1F"/>
          <w:sz w:val="21"/>
          <w:szCs w:val="21"/>
        </w:rPr>
        <w:t xml:space="preserve">First real validation from strangers: two cold Meta leads (Neeta, Arunjot K) paid ₹299 each — the strongest proof-of-willingness-to-pay signal to date. Neither has converted to the ₹999/month subscription yet.</w:t>
      </w:r>
    </w:p>
    <w:p>
      <w:pPr>
        <w:pStyle w:val="ListParagraph"/>
        <w:numPr>
          <w:ilvl w:val="0"/>
          <w:numId w:val="2"/>
        </w:numPr>
        <w:spacing w:after="80"/>
      </w:pPr>
      <w:r>
        <w:rPr>
          <w:color w:val="1F1F1F"/>
          <w:sz w:val="21"/>
          <w:szCs w:val="21"/>
        </w:rPr>
        <w:t xml:space="preserve">Pricing confirmed correct as live in code: Founding Monthly ₹999, Founding Annual ₹9,999, Standard Monthly ₹2,999, Standard Annual ₹29,999 (currently being offered). The July 7 doc's ₹1,999 / ₹3,999 figures are superseded — not an error to fix, just outdated. See §4.</w:t>
      </w:r>
    </w:p>
    <w:p>
      <w:pPr>
        <w:pStyle w:val="ListParagraph"/>
        <w:numPr>
          <w:ilvl w:val="0"/>
          <w:numId w:val="2"/>
        </w:numPr>
        <w:spacing w:after="80"/>
      </w:pPr>
      <w:r>
        <w:rPr>
          <w:color w:val="1F1F1F"/>
          <w:sz w:val="21"/>
          <w:szCs w:val="21"/>
        </w:rPr>
        <w:t xml:space="preserve">The council roster is six advisors (Contrarian, Risk Architect, Pattern Analyst, Stakeholder Mirror, Elder, Competitor). Stakeholder Mirror has always been the name — not a rename from an earlier "Mirror" advisor. See §2.</w:t>
      </w:r>
    </w:p>
    <w:p>
      <w:pPr>
        <w:pStyle w:val="ListParagraph"/>
        <w:numPr>
          <w:ilvl w:val="0"/>
          <w:numId w:val="2"/>
        </w:numPr>
        <w:spacing w:after="80"/>
      </w:pPr>
      <w:r>
        <w:rPr>
          <w:color w:val="1F1F1F"/>
          <w:sz w:val="21"/>
          <w:szCs w:val="21"/>
        </w:rPr>
        <w:t xml:space="preserve">Confirmed no movement on Girish, Vishal, or Raghvendra since July 7. Vishal's IIM-A thread did not convert to a booked session — per the original plan, next step is a personal, direct message rather than another public post. See §9.</w:t>
      </w:r>
    </w:p>
    <w:p>
      <w:pPr>
        <w:pStyle w:val="ListParagraph"/>
        <w:numPr>
          <w:ilvl w:val="0"/>
          <w:numId w:val="2"/>
        </w:numPr>
        <w:spacing w:after="80"/>
      </w:pPr>
      <w:r>
        <w:rPr>
          <w:color w:val="1F1F1F"/>
          <w:sz w:val="21"/>
          <w:szCs w:val="21"/>
        </w:rPr>
        <w:t xml:space="preserve">The full July 7 parked-lead list (Navneet, Puneet, Kovil, Yugal, Achint, Sumit, Chirag, Dora, Dhruv, Manmeet, Rakesh, Surbhi, Jay, Aditya Pittie) is confirmed parked deliberately — hold, don't re-engage, until an explicit signal to resume. See §10.</w:t>
      </w:r>
    </w:p>
    <w:p>
      <w:pPr>
        <w:pStyle w:val="ListParagraph"/>
        <w:numPr>
          <w:ilvl w:val="0"/>
          <w:numId w:val="2"/>
        </w:numPr>
        <w:spacing w:after="80"/>
      </w:pPr>
      <w:r>
        <w:rPr>
          <w:color w:val="1F1F1F"/>
          <w:sz w:val="21"/>
          <w:szCs w:val="21"/>
        </w:rPr>
        <w:t xml:space="preserve">Daily WhatsApp cadence (Gagan, Viral) has been stopped — deliberately, not by default — and can be reopened when useful. See §11.</w:t>
      </w:r>
    </w:p>
    <w:p>
      <w:pPr>
        <w:pStyle w:val="ListParagraph"/>
        <w:numPr>
          <w:ilvl w:val="0"/>
          <w:numId w:val="2"/>
        </w:numPr>
        <w:spacing w:after="80"/>
      </w:pPr>
      <w:r>
        <w:rPr>
          <w:color w:val="1F1F1F"/>
          <w:sz w:val="21"/>
          <w:szCs w:val="21"/>
        </w:rPr>
        <w:t xml:space="preserve">Institutional/org mode remains deliberately off in Railway — a considered decision to avoid confusing current users, not an oversight or a pending call. See §13–14.</w:t>
      </w:r>
    </w:p>
    <w:p>
      <w:pPr>
        <w:pStyle w:val="ListParagraph"/>
        <w:numPr>
          <w:ilvl w:val="0"/>
          <w:numId w:val="2"/>
        </w:numPr>
        <w:spacing w:after="80"/>
      </w:pPr>
      <w:r>
        <w:rPr>
          <w:color w:val="1F1F1F"/>
          <w:sz w:val="21"/>
          <w:szCs w:val="21"/>
        </w:rPr>
        <w:t xml:space="preserve">The six names re-messaged in the 11 Aug LinkedIn batch who'd already been contacted earlier (Jamshed, Prem, Amrit, Ali, Amit, Sarthak) — confirmed accidental repeat outreach, never acted on further. Worth a process check so it doesn't recur. See §8.</w:t>
      </w:r>
    </w:p>
    <w:p>
      <w:pPr>
        <w:pStyle w:val="ListParagraph"/>
        <w:numPr>
          <w:ilvl w:val="0"/>
          <w:numId w:val="2"/>
        </w:numPr>
        <w:spacing w:after="80"/>
      </w:pPr>
      <w:r>
        <w:rPr>
          <w:color w:val="1F1F1F"/>
          <w:sz w:val="21"/>
          <w:szCs w:val="21"/>
        </w:rPr>
        <w:t xml:space="preserve">Session-count reconciliation — resolved; no longer an open item.</w:t>
      </w:r>
    </w:p>
    <w:p>
      <w:pPr>
        <w:spacing w:after="200"/>
      </w:pPr>
    </w:p>
    <w:p>
      <w:pPr>
        <w:pStyle w:val="Heading1"/>
        <w:pBdr>
          <w:bottom w:val="single" w:color="8A6D00" w:sz="8" w:space="4"/>
        </w:pBdr>
        <w:spacing w:after="160" w:before="360"/>
      </w:pPr>
      <w:r>
        <w:rPr>
          <w:b/>
          <w:bCs/>
          <w:color w:val="1F1F1F"/>
          <w:sz w:val="30"/>
          <w:szCs w:val="30"/>
        </w:rPr>
        <w:t xml:space="preserve">1. Executive Summary</w:t>
      </w:r>
    </w:p>
    <w:p>
      <w:pPr>
        <w:spacing w:after="140"/>
      </w:pPr>
      <w:r>
        <w:rPr>
          <w:color w:val="1F1F1F"/>
          <w:sz w:val="21"/>
          <w:szCs w:val="21"/>
        </w:rPr>
        <w:t xml:space="preserve">Turn Quorum interest into paying users. That objective is unchanged. What's changed is the shape of the funnel doing the work.</w:t>
      </w:r>
    </w:p>
    <w:p>
      <w:pPr>
        <w:pStyle w:val="Heading3"/>
        <w:spacing w:after="80" w:before="200"/>
      </w:pPr>
      <w:r>
        <w:rPr>
          <w:b/>
          <w:bCs/>
          <w:color w:val="1F1F1F"/>
          <w:sz w:val="22"/>
          <w:szCs w:val="22"/>
        </w:rPr>
        <w:t xml:space="preserve">Where things stand — August 13, 2026</w:t>
      </w:r>
    </w:p>
    <w:p>
      <w:pPr>
        <w:pStyle w:val="ListParagraph"/>
        <w:numPr>
          <w:ilvl w:val="0"/>
          <w:numId w:val="2"/>
        </w:numPr>
        <w:spacing w:after="80"/>
      </w:pPr>
      <w:r>
        <w:rPr>
          <w:color w:val="1F1F1F"/>
          <w:sz w:val="21"/>
          <w:szCs w:val="21"/>
        </w:rPr>
        <w:t xml:space="preserve">Revenue / paid subscribers: no ₹999/month Mirror subscription is confirmed closed in the Aug 11 update. Mayank Sharma is the closest — explicit verbal intent to subscribe via his wife's account, pending his return home and a Sunday/Monday follow-up. This is still the single biggest open item, exactly as it was July 7.</w:t>
      </w:r>
    </w:p>
    <w:p>
      <w:pPr>
        <w:pStyle w:val="ListParagraph"/>
        <w:numPr>
          <w:ilvl w:val="0"/>
          <w:numId w:val="2"/>
        </w:numPr>
        <w:spacing w:after="80"/>
      </w:pPr>
      <w:r>
        <w:rPr>
          <w:color w:val="1F1F1F"/>
          <w:sz w:val="21"/>
          <w:szCs w:val="21"/>
        </w:rPr>
        <w:t xml:space="preserve">₹299 paid-session validation: two complete strangers, sourced cold from Meta ads, paid ₹299 for a live Decision Session (Neeta, Arunjot K). Per the Aug 11 notes, this is described as "the strongest validation you've received so far."</w:t>
      </w:r>
    </w:p>
    <w:p>
      <w:pPr>
        <w:pStyle w:val="ListParagraph"/>
        <w:numPr>
          <w:ilvl w:val="0"/>
          <w:numId w:val="2"/>
        </w:numPr>
        <w:spacing w:after="80"/>
      </w:pPr>
      <w:r>
        <w:rPr>
          <w:color w:val="1F1F1F"/>
          <w:sz w:val="21"/>
          <w:szCs w:val="21"/>
        </w:rPr>
        <w:t xml:space="preserve">New acquisition infrastructure: the Meta ₹299 funnel is live with working Pixel events (PageView, ViewContent, InitiateCheckout, Purchase) and a validated Razorpay purchase flow. A second, free-tier Meta funnel has just been added to test whether price or pre-commitment is the real bottleneck (see §5).</w:t>
      </w:r>
    </w:p>
    <w:p>
      <w:pPr>
        <w:pStyle w:val="ListParagraph"/>
        <w:numPr>
          <w:ilvl w:val="0"/>
          <w:numId w:val="2"/>
        </w:numPr>
        <w:spacing w:after="80"/>
      </w:pPr>
      <w:r>
        <w:rPr>
          <w:color w:val="1F1F1F"/>
          <w:sz w:val="21"/>
          <w:szCs w:val="21"/>
        </w:rPr>
        <w:t xml:space="preserve">Landing-page → booking conversion, not traffic, is the current Meta bottleneck: visitor volume roughly tripled (≈120 → ≈400 visitors) between two measurement points while paid bookings stayed flat at 2, dropping visitor→booking conversion from ≈1.67% to ≈0.5%.</w:t>
      </w:r>
    </w:p>
    <w:p>
      <w:pPr>
        <w:pStyle w:val="ListParagraph"/>
        <w:numPr>
          <w:ilvl w:val="0"/>
          <w:numId w:val="2"/>
        </w:numPr>
        <w:spacing w:after="80"/>
      </w:pPr>
      <w:r>
        <w:rPr>
          <w:color w:val="1F1F1F"/>
          <w:sz w:val="21"/>
          <w:szCs w:val="21"/>
        </w:rPr>
        <w:t xml:space="preserve">Warm/organic pipeline continues in parallel: founder-to-founder conversations (Kamal, Shivi Sharma), an HNI/advisor channel prospect (Nishit Agarwal), organic LinkedIn comment threads (Naotaka, Gajendra, Rohan, JF Salazar), and a fresh 11-person LinkedIn DM batch sent 11 Aug.</w:t>
      </w:r>
    </w:p>
    <w:p>
      <w:pPr>
        <w:pStyle w:val="ListParagraph"/>
        <w:numPr>
          <w:ilvl w:val="0"/>
          <w:numId w:val="2"/>
        </w:numPr>
        <w:spacing w:after="80"/>
      </w:pPr>
      <w:r>
        <w:rPr>
          <w:color w:val="1F1F1F"/>
          <w:sz w:val="21"/>
          <w:szCs w:val="21"/>
        </w:rPr>
        <w:t xml:space="preserve">Everything from the July 7 handover that isn't addressed in the Aug 11 update — connectors, the re-engagement calendar, the daily WhatsApp cadence — should be treated as carried forward but unconfirmed, not as still-accurate. See the callout above and §9–11.</w:t>
      </w:r>
    </w:p>
    <w:p>
      <w:pPr>
        <w:pStyle w:val="Heading3"/>
        <w:spacing w:after="80" w:before="200"/>
      </w:pPr>
      <w:r>
        <w:rPr>
          <w:b/>
          <w:bCs/>
          <w:color w:val="1F1F1F"/>
          <w:sz w:val="22"/>
          <w:szCs w:val="22"/>
        </w:rPr>
        <w:t xml:space="preserve">The governing principle — unchanged and reinforced</w:t>
      </w:r>
    </w:p>
    <w:p>
      <w:pPr>
        <w:pBdr>
          <w:left w:val="single" w:color="8A6D00" w:sz="18" w:space="8"/>
        </w:pBdr>
        <w:shd w:fill="FFF6D9" w:val="clear"/>
        <w:spacing w:after="200" w:before="100"/>
        <w:ind w:left="100"/>
      </w:pPr>
      <w:r>
        <w:rPr>
          <w:i/>
          <w:iCs/>
          <w:color w:val="1F1F1F"/>
          <w:sz w:val="20"/>
          <w:szCs w:val="20"/>
        </w:rPr>
        <w:t xml:space="preserve">Never explain the product before running it live. Conviction comes from experience, not description. The live session is the product, not a demo or a sales step. This held for warm outreach in July and now holds for the Meta funnel too — Arunjot K's planned session follows the same shape (open with questions, run the full session, ask what changed, then introduce the paid ask) rather than a scripted pitch.</w:t>
      </w:r>
    </w:p>
    <w:p>
      <w:pPr>
        <w:pStyle w:val="Heading3"/>
        <w:spacing w:after="80" w:before="200"/>
      </w:pPr>
      <w:r>
        <w:rPr>
          <w:b/>
          <w:bCs/>
          <w:color w:val="1F1F1F"/>
          <w:sz w:val="22"/>
          <w:szCs w:val="22"/>
        </w:rPr>
        <w:t xml:space="preserve">Why the free-tier funnel exists — clarified Aug 13</w:t>
      </w:r>
    </w:p>
    <w:p>
      <w:pPr>
        <w:spacing w:after="200"/>
      </w:pPr>
      <w:r>
        <w:rPr>
          <w:color w:val="1F1F1F"/>
          <w:sz w:val="21"/>
          <w:szCs w:val="21"/>
        </w:rPr>
        <w:t xml:space="preserve">The Aug 11 notes framed the free-tier experiment as a test of whether price or pre-commitment is the real conversion bottleneck. The founder has since clarified the primary goal is simpler: drive DAU. The product already converts free users to paid effectively once they're in and using it, so the free tier's job is to widen the top of that funnel, not to diagnose price sensitivity. The paid ₹299 funnel keeps running in parallel regardless — this is additive, not a referendum on the ₹299 offer.</w:t>
      </w:r>
    </w:p>
    <w:p>
      <w:pPr>
        <w:pStyle w:val="Heading1"/>
        <w:pBdr>
          <w:bottom w:val="single" w:color="8A6D00" w:sz="8" w:space="4"/>
        </w:pBdr>
        <w:spacing w:after="160" w:before="360"/>
      </w:pPr>
      <w:r>
        <w:rPr>
          <w:b/>
          <w:bCs/>
          <w:color w:val="1F1F1F"/>
          <w:sz w:val="30"/>
          <w:szCs w:val="30"/>
        </w:rPr>
        <w:t xml:space="preserve">2. Product Overview — What Quorum / Mirror Is</w:t>
      </w:r>
    </w:p>
    <w:p>
      <w:pPr>
        <w:spacing w:after="140"/>
      </w:pPr>
      <w:r>
        <w:rPr>
          <w:color w:val="1F1F1F"/>
          <w:sz w:val="21"/>
          <w:szCs w:val="21"/>
        </w:rPr>
        <w:t xml:space="preserve">Quorum (product name: Mirror) is an AI-powered decision-support tool. Launched early June 2026. The core mechanic is unchanged from July 7 — a real, high-stakes decision goes in, a council of AI advisors responds — but the roster and the surrounding question layer have both been substantially rebuilt since then.</w:t>
      </w:r>
    </w:p>
    <w:p>
      <w:pPr>
        <w:pStyle w:val="Heading3"/>
        <w:spacing w:after="80" w:before="200"/>
      </w:pPr>
      <w:r>
        <w:rPr>
          <w:b/>
          <w:bCs/>
          <w:color w:val="1F1F1F"/>
          <w:sz w:val="22"/>
          <w:szCs w:val="22"/>
        </w:rPr>
        <w:t xml:space="preserve">The council — now six advisors, not five (per code)</w:t>
      </w:r>
    </w:p>
    <w:p>
      <w:pPr>
        <w:spacing w:after="140"/>
      </w:pPr>
      <w:r>
        <w:rPr>
          <w:color w:val="1F1F1F"/>
          <w:sz w:val="21"/>
          <w:szCs w:val="21"/>
        </w:rPr>
        <w:t xml:space="preserve">The July 7 doc described a five-advisor council (Elder, Mirror, Scientist, Strategist, Examiner). The current codebase (lib/personas.ts) defines six named advisors plus a synthesis layer. Confirmed with the founder: "Stakeholder Mirror" has always been the advisor's name — it isn't a rename of the old "Mirror" advisor. "Mirror" as a standalone name now refers only to the product's daily-journaling layer, which is a separate thing from the council advisor roster. Worth keeping that distinction consistent in outward-facing language, since the two uses of "Mirror" mean different things.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2B2B2B" w:val="clear"/>
            <w:tcMar>
              <w:top w:type="dxa" w:w="80"/>
              <w:left w:type="dxa" w:w="100"/>
              <w:bottom w:type="dxa" w:w="80"/>
              <w:right w:type="dxa" w:w="100"/>
            </w:tcMar>
            <w:vAlign w:val="center"/>
          </w:tcPr>
          <w:p>
            <w:pPr>
              <w:jc w:val="left"/>
            </w:pPr>
            <w:r>
              <w:rPr>
                <w:b/>
                <w:bCs/>
                <w:color w:val="FFFFFF"/>
                <w:sz w:val="19"/>
                <w:szCs w:val="19"/>
              </w:rPr>
              <w:t xml:space="preserve">Advisor</w:t>
            </w:r>
          </w:p>
        </w:tc>
        <w:tc>
          <w:tcPr>
            <w:tcW w:type="dxa" w:w="6300"/>
            <w:shd w:fill="2B2B2B" w:val="clear"/>
            <w:tcMar>
              <w:top w:type="dxa" w:w="80"/>
              <w:left w:type="dxa" w:w="100"/>
              <w:bottom w:type="dxa" w:w="80"/>
              <w:right w:type="dxa" w:w="100"/>
            </w:tcMar>
            <w:vAlign w:val="center"/>
          </w:tcPr>
          <w:p>
            <w:pPr>
              <w:jc w:val="left"/>
            </w:pPr>
            <w:r>
              <w:rPr>
                <w:b/>
                <w:bCs/>
                <w:color w:val="FFFFFF"/>
                <w:sz w:val="19"/>
                <w:szCs w:val="19"/>
              </w:rPr>
              <w:t xml:space="preserve">One-line function (per code tagline)</w:t>
            </w:r>
          </w:p>
        </w:tc>
      </w:tr>
      <w:tr>
        <w:tc>
          <w:tcPr>
            <w:tcW w:type="dxa" w:w="3200"/>
            <w:shd w:fill="F7F7F7" w:val="clear"/>
            <w:tcMar>
              <w:top w:type="dxa" w:w="80"/>
              <w:left w:type="dxa" w:w="100"/>
              <w:bottom w:type="dxa" w:w="80"/>
              <w:right w:type="dxa" w:w="100"/>
            </w:tcMar>
            <w:vAlign w:val="center"/>
          </w:tcPr>
          <w:p>
            <w:pPr>
              <w:jc w:val="left"/>
            </w:pPr>
            <w:r>
              <w:rPr>
                <w:color w:val="1F1F1F"/>
                <w:sz w:val="19"/>
                <w:szCs w:val="19"/>
              </w:rPr>
              <w:t xml:space="preserve">The Contrarian</w:t>
            </w:r>
          </w:p>
        </w:tc>
        <w:tc>
          <w:tcPr>
            <w:tcW w:type="dxa" w:w="6300"/>
            <w:shd w:fill="F7F7F7" w:val="clear"/>
            <w:tcMar>
              <w:top w:type="dxa" w:w="80"/>
              <w:left w:type="dxa" w:w="100"/>
              <w:bottom w:type="dxa" w:w="80"/>
              <w:right w:type="dxa" w:w="100"/>
            </w:tcMar>
            <w:vAlign w:val="center"/>
          </w:tcPr>
          <w:p>
            <w:pPr>
              <w:jc w:val="left"/>
            </w:pPr>
            <w:r>
              <w:rPr>
                <w:color w:val="1F1F1F"/>
                <w:sz w:val="19"/>
                <w:szCs w:val="19"/>
              </w:rPr>
              <w:t xml:space="preserve">Argues your instinct away</w:t>
            </w:r>
          </w:p>
        </w:tc>
      </w:tr>
      <w:tr>
        <w:tc>
          <w:tcPr>
            <w:tcW w:type="dxa" w:w="3200"/>
            <w:tcMar>
              <w:top w:type="dxa" w:w="80"/>
              <w:left w:type="dxa" w:w="100"/>
              <w:bottom w:type="dxa" w:w="80"/>
              <w:right w:type="dxa" w:w="100"/>
            </w:tcMar>
            <w:vAlign w:val="center"/>
          </w:tcPr>
          <w:p>
            <w:pPr>
              <w:jc w:val="left"/>
            </w:pPr>
            <w:r>
              <w:rPr>
                <w:color w:val="1F1F1F"/>
                <w:sz w:val="19"/>
                <w:szCs w:val="19"/>
              </w:rPr>
              <w:t xml:space="preserve">The Risk Architect</w:t>
            </w:r>
          </w:p>
        </w:tc>
        <w:tc>
          <w:tcPr>
            <w:tcW w:type="dxa" w:w="6300"/>
            <w:tcMar>
              <w:top w:type="dxa" w:w="80"/>
              <w:left w:type="dxa" w:w="100"/>
              <w:bottom w:type="dxa" w:w="80"/>
              <w:right w:type="dxa" w:w="100"/>
            </w:tcMar>
            <w:vAlign w:val="center"/>
          </w:tcPr>
          <w:p>
            <w:pPr>
              <w:jc w:val="left"/>
            </w:pPr>
            <w:r>
              <w:rPr>
                <w:color w:val="1F1F1F"/>
                <w:sz w:val="19"/>
                <w:szCs w:val="19"/>
              </w:rPr>
              <w:t xml:space="preserve">Pre-mortems all failures</w:t>
            </w:r>
          </w:p>
        </w:tc>
      </w:tr>
      <w:tr>
        <w:tc>
          <w:tcPr>
            <w:tcW w:type="dxa" w:w="3200"/>
            <w:shd w:fill="F7F7F7" w:val="clear"/>
            <w:tcMar>
              <w:top w:type="dxa" w:w="80"/>
              <w:left w:type="dxa" w:w="100"/>
              <w:bottom w:type="dxa" w:w="80"/>
              <w:right w:type="dxa" w:w="100"/>
            </w:tcMar>
            <w:vAlign w:val="center"/>
          </w:tcPr>
          <w:p>
            <w:pPr>
              <w:jc w:val="left"/>
            </w:pPr>
            <w:r>
              <w:rPr>
                <w:color w:val="1F1F1F"/>
                <w:sz w:val="19"/>
                <w:szCs w:val="19"/>
              </w:rPr>
              <w:t xml:space="preserve">The Pattern Analyst</w:t>
            </w:r>
          </w:p>
        </w:tc>
        <w:tc>
          <w:tcPr>
            <w:tcW w:type="dxa" w:w="6300"/>
            <w:shd w:fill="F7F7F7" w:val="clear"/>
            <w:tcMar>
              <w:top w:type="dxa" w:w="80"/>
              <w:left w:type="dxa" w:w="100"/>
              <w:bottom w:type="dxa" w:w="80"/>
              <w:right w:type="dxa" w:w="100"/>
            </w:tcMar>
            <w:vAlign w:val="center"/>
          </w:tcPr>
          <w:p>
            <w:pPr>
              <w:jc w:val="left"/>
            </w:pPr>
            <w:r>
              <w:rPr>
                <w:color w:val="1F1F1F"/>
                <w:sz w:val="19"/>
                <w:szCs w:val="19"/>
              </w:rPr>
              <w:t xml:space="preserve">Finds your past analogues</w:t>
            </w:r>
          </w:p>
        </w:tc>
      </w:tr>
      <w:tr>
        <w:tc>
          <w:tcPr>
            <w:tcW w:type="dxa" w:w="3200"/>
            <w:tcMar>
              <w:top w:type="dxa" w:w="80"/>
              <w:left w:type="dxa" w:w="100"/>
              <w:bottom w:type="dxa" w:w="80"/>
              <w:right w:type="dxa" w:w="100"/>
            </w:tcMar>
            <w:vAlign w:val="center"/>
          </w:tcPr>
          <w:p>
            <w:pPr>
              <w:jc w:val="left"/>
            </w:pPr>
            <w:r>
              <w:rPr>
                <w:color w:val="1F1F1F"/>
                <w:sz w:val="19"/>
                <w:szCs w:val="19"/>
              </w:rPr>
              <w:t xml:space="preserve">The Stakeholder Mirror</w:t>
            </w:r>
          </w:p>
        </w:tc>
        <w:tc>
          <w:tcPr>
            <w:tcW w:type="dxa" w:w="6300"/>
            <w:tcMar>
              <w:top w:type="dxa" w:w="80"/>
              <w:left w:type="dxa" w:w="100"/>
              <w:bottom w:type="dxa" w:w="80"/>
              <w:right w:type="dxa" w:w="100"/>
            </w:tcMar>
            <w:vAlign w:val="center"/>
          </w:tcPr>
          <w:p>
            <w:pPr>
              <w:jc w:val="left"/>
            </w:pPr>
            <w:r>
              <w:rPr>
                <w:color w:val="1F1F1F"/>
                <w:sz w:val="19"/>
                <w:szCs w:val="19"/>
              </w:rPr>
              <w:t xml:space="preserve">Who else is affected</w:t>
            </w:r>
          </w:p>
        </w:tc>
      </w:tr>
      <w:tr>
        <w:tc>
          <w:tcPr>
            <w:tcW w:type="dxa" w:w="3200"/>
            <w:shd w:fill="F7F7F7" w:val="clear"/>
            <w:tcMar>
              <w:top w:type="dxa" w:w="80"/>
              <w:left w:type="dxa" w:w="100"/>
              <w:bottom w:type="dxa" w:w="80"/>
              <w:right w:type="dxa" w:w="100"/>
            </w:tcMar>
            <w:vAlign w:val="center"/>
          </w:tcPr>
          <w:p>
            <w:pPr>
              <w:jc w:val="left"/>
            </w:pPr>
            <w:r>
              <w:rPr>
                <w:color w:val="1F1F1F"/>
                <w:sz w:val="19"/>
                <w:szCs w:val="19"/>
              </w:rPr>
              <w:t xml:space="preserve">The Elder</w:t>
            </w:r>
          </w:p>
        </w:tc>
        <w:tc>
          <w:tcPr>
            <w:tcW w:type="dxa" w:w="6300"/>
            <w:shd w:fill="F7F7F7" w:val="clear"/>
            <w:tcMar>
              <w:top w:type="dxa" w:w="80"/>
              <w:left w:type="dxa" w:w="100"/>
              <w:bottom w:type="dxa" w:w="80"/>
              <w:right w:type="dxa" w:w="100"/>
            </w:tcMar>
            <w:vAlign w:val="center"/>
          </w:tcPr>
          <w:p>
            <w:pPr>
              <w:jc w:val="left"/>
            </w:pPr>
            <w:r>
              <w:rPr>
                <w:color w:val="1F1F1F"/>
                <w:sz w:val="19"/>
                <w:szCs w:val="19"/>
              </w:rPr>
              <w:t xml:space="preserve">Slow, long-term wisdom — carried over from the original five</w:t>
            </w:r>
          </w:p>
        </w:tc>
      </w:tr>
      <w:tr>
        <w:tc>
          <w:tcPr>
            <w:tcW w:type="dxa" w:w="3200"/>
            <w:tcMar>
              <w:top w:type="dxa" w:w="80"/>
              <w:left w:type="dxa" w:w="100"/>
              <w:bottom w:type="dxa" w:w="80"/>
              <w:right w:type="dxa" w:w="100"/>
            </w:tcMar>
            <w:vAlign w:val="center"/>
          </w:tcPr>
          <w:p>
            <w:pPr>
              <w:jc w:val="left"/>
            </w:pPr>
            <w:r>
              <w:rPr>
                <w:color w:val="1F1F1F"/>
                <w:sz w:val="19"/>
                <w:szCs w:val="19"/>
              </w:rPr>
              <w:t xml:space="preserve">The Competitor</w:t>
            </w:r>
          </w:p>
        </w:tc>
        <w:tc>
          <w:tcPr>
            <w:tcW w:type="dxa" w:w="6300"/>
            <w:tcMar>
              <w:top w:type="dxa" w:w="80"/>
              <w:left w:type="dxa" w:w="100"/>
              <w:bottom w:type="dxa" w:w="80"/>
              <w:right w:type="dxa" w:w="100"/>
            </w:tcMar>
            <w:vAlign w:val="center"/>
          </w:tcPr>
          <w:p>
            <w:pPr>
              <w:jc w:val="left"/>
            </w:pPr>
            <w:r>
              <w:rPr>
                <w:color w:val="1F1F1F"/>
                <w:sz w:val="19"/>
                <w:szCs w:val="19"/>
              </w:rPr>
              <w:t xml:space="preserve">Bets against your choice</w:t>
            </w:r>
          </w:p>
        </w:tc>
      </w:tr>
      <w:tr>
        <w:tc>
          <w:tcPr>
            <w:tcW w:type="dxa" w:w="3200"/>
            <w:shd w:fill="F7F7F7" w:val="clear"/>
            <w:tcMar>
              <w:top w:type="dxa" w:w="80"/>
              <w:left w:type="dxa" w:w="100"/>
              <w:bottom w:type="dxa" w:w="80"/>
              <w:right w:type="dxa" w:w="100"/>
            </w:tcMar>
            <w:vAlign w:val="center"/>
          </w:tcPr>
          <w:p>
            <w:pPr>
              <w:jc w:val="left"/>
            </w:pPr>
            <w:r>
              <w:rPr>
                <w:color w:val="1F1F1F"/>
                <w:sz w:val="19"/>
                <w:szCs w:val="19"/>
              </w:rPr>
              <w:t xml:space="preserve">Council Synthesis</w:t>
            </w:r>
          </w:p>
        </w:tc>
        <w:tc>
          <w:tcPr>
            <w:tcW w:type="dxa" w:w="6300"/>
            <w:shd w:fill="F7F7F7" w:val="clear"/>
            <w:tcMar>
              <w:top w:type="dxa" w:w="80"/>
              <w:left w:type="dxa" w:w="100"/>
              <w:bottom w:type="dxa" w:w="80"/>
              <w:right w:type="dxa" w:w="100"/>
            </w:tcMar>
            <w:vAlign w:val="center"/>
          </w:tcPr>
          <w:p>
            <w:pPr>
              <w:jc w:val="left"/>
            </w:pPr>
            <w:r>
              <w:rPr>
                <w:color w:val="1F1F1F"/>
                <w:sz w:val="19"/>
                <w:szCs w:val="19"/>
              </w:rPr>
              <w:t xml:space="preserve">What the council collectively surfaced — closes every session</w:t>
            </w:r>
          </w:p>
        </w:tc>
      </w:tr>
    </w:tbl>
    <w:p>
      <w:pPr>
        <w:spacing w:after="120"/>
      </w:pPr>
    </w:p>
    <w:p>
      <w:pPr>
        <w:pStyle w:val="Heading3"/>
        <w:spacing w:after="80" w:before="200"/>
      </w:pPr>
      <w:r>
        <w:rPr>
          <w:b/>
          <w:bCs/>
          <w:color w:val="1F1F1F"/>
          <w:sz w:val="22"/>
          <w:szCs w:val="22"/>
        </w:rPr>
        <w:t xml:space="preserve">Examiner — now a rule layer, not an advisor</w:t>
      </w:r>
    </w:p>
    <w:p>
      <w:pPr>
        <w:spacing w:after="140"/>
      </w:pPr>
      <w:r>
        <w:rPr>
          <w:color w:val="1F1F1F"/>
          <w:sz w:val="21"/>
          <w:szCs w:val="21"/>
        </w:rPr>
        <w:t xml:space="preserve">Examiner hasn't disappeared — it survives as a separate rule-engine-driven question layer (app/api/examiner/route.ts), not as one of the six named council members. The July 7 doc's description of the mechanism still checks out: a rule engine (R1–R12) detects upstream blockers, irreversibility, missing information, value conflicts, time pressure, and multi-party dynamics, and fires questions before synthesis. The emotional/gut question and the JTBD context-grounding question (referred to as E0 and C0 in July) are confirmed still present in code — the C0/JTBD anchor question bank is explicitly labelled as such in app/api/examiner/route.ts.</w:t>
      </w:r>
    </w:p>
    <w:p>
      <w:pPr>
        <w:pStyle w:val="Heading3"/>
        <w:spacing w:after="80" w:before="200"/>
      </w:pPr>
      <w:r>
        <w:rPr>
          <w:b/>
          <w:bCs/>
          <w:color w:val="1F1F1F"/>
          <w:sz w:val="22"/>
          <w:szCs w:val="22"/>
        </w:rPr>
        <w:t xml:space="preserve">Other confirmed-live mechanics (per code, consistent with July 7 doc)</w:t>
      </w:r>
    </w:p>
    <w:p>
      <w:pPr>
        <w:pStyle w:val="ListParagraph"/>
        <w:numPr>
          <w:ilvl w:val="0"/>
          <w:numId w:val="2"/>
        </w:numPr>
        <w:spacing w:after="80"/>
      </w:pPr>
      <w:r>
        <w:rPr>
          <w:color w:val="1F1F1F"/>
          <w:sz w:val="21"/>
          <w:szCs w:val="21"/>
        </w:rPr>
        <w:t xml:space="preserve">Dynamic persona ordering: the six advisors are no longer shown in a fixed order. A rule-to-persona priority map reorders the grid per session based on which R-rules fired, with a smaller fallback boost from raw ontology-dimension scores. This is new since July 7 — not mentioned in the original doc at all.</w:t>
      </w:r>
    </w:p>
    <w:p>
      <w:pPr>
        <w:pStyle w:val="ListParagraph"/>
        <w:numPr>
          <w:ilvl w:val="0"/>
          <w:numId w:val="2"/>
        </w:numPr>
        <w:spacing w:after="80"/>
      </w:pPr>
      <w:r>
        <w:rPr>
          <w:color w:val="1F1F1F"/>
          <w:sz w:val="21"/>
          <w:szCs w:val="21"/>
        </w:rPr>
        <w:t xml:space="preserve">User-style boosts (code comment references "Sprint 21"): once a user has 5+ sessions, their preferred lens gets a small ordering boost — never a suppression. Worth knowing this exists if a warm/repeat user asks why their panel order changed.</w:t>
      </w:r>
    </w:p>
    <w:p>
      <w:pPr>
        <w:spacing w:after="200"/>
      </w:pPr>
    </w:p>
    <w:p>
      <w:pPr>
        <w:pStyle w:val="Heading1"/>
        <w:pBdr>
          <w:bottom w:val="single" w:color="8A6D00" w:sz="8" w:space="4"/>
        </w:pBdr>
        <w:spacing w:after="160" w:before="360"/>
      </w:pPr>
      <w:r>
        <w:rPr>
          <w:b/>
          <w:bCs/>
          <w:color w:val="1F1F1F"/>
          <w:sz w:val="30"/>
          <w:szCs w:val="30"/>
        </w:rPr>
        <w:t xml:space="preserve">3. Ideal Customer Profile</w:t>
      </w:r>
    </w:p>
    <w:p>
      <w:pPr>
        <w:spacing w:after="140"/>
      </w:pPr>
      <w:r>
        <w:rPr>
          <w:color w:val="1F1F1F"/>
          <w:sz w:val="21"/>
          <w:szCs w:val="21"/>
        </w:rPr>
        <w:t xml:space="preserve">Confirmed with the founder (Aug 13): the tier-1 credential requirement (XLRI/IIM/equivalent) from the July 7 doc no longer applies and has been deliberately loosened. This matches what the Meta funnel data already implied — two cold strangers converted to paid sessions with no credential screening at all. The ICP is now defined by role and situation, not pedigree.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shd w:fill="2B2B2B" w:val="clear"/>
            <w:tcMar>
              <w:top w:type="dxa" w:w="80"/>
              <w:left w:type="dxa" w:w="100"/>
              <w:bottom w:type="dxa" w:w="80"/>
              <w:right w:type="dxa" w:w="100"/>
            </w:tcMar>
            <w:vAlign w:val="center"/>
          </w:tcPr>
          <w:p>
            <w:pPr>
              <w:jc w:val="left"/>
            </w:pPr>
            <w:r>
              <w:rPr>
                <w:b/>
                <w:bCs/>
                <w:color w:val="FFFFFF"/>
                <w:sz w:val="19"/>
                <w:szCs w:val="19"/>
              </w:rPr>
              <w:t xml:space="preserve">Dimension</w:t>
            </w:r>
          </w:p>
        </w:tc>
        <w:tc>
          <w:tcPr>
            <w:tcW w:type="dxa" w:w="7100"/>
            <w:shd w:fill="2B2B2B" w:val="clear"/>
            <w:tcMar>
              <w:top w:type="dxa" w:w="80"/>
              <w:left w:type="dxa" w:w="100"/>
              <w:bottom w:type="dxa" w:w="80"/>
              <w:right w:type="dxa" w:w="100"/>
            </w:tcMar>
            <w:vAlign w:val="center"/>
          </w:tcPr>
          <w:p>
            <w:pPr>
              <w:jc w:val="left"/>
            </w:pPr>
            <w:r>
              <w:rPr>
                <w:b/>
                <w:bCs/>
                <w:color w:val="FFFFFF"/>
                <w:sz w:val="19"/>
                <w:szCs w:val="19"/>
              </w:rPr>
              <w:t xml:space="preserve">Detail</w:t>
            </w:r>
          </w:p>
        </w:tc>
      </w:tr>
      <w:tr>
        <w:tc>
          <w:tcPr>
            <w:tcW w:type="dxa" w:w="2400"/>
            <w:shd w:fill="F7F7F7" w:val="clear"/>
            <w:tcMar>
              <w:top w:type="dxa" w:w="80"/>
              <w:left w:type="dxa" w:w="100"/>
              <w:bottom w:type="dxa" w:w="80"/>
              <w:right w:type="dxa" w:w="100"/>
            </w:tcMar>
            <w:vAlign w:val="center"/>
          </w:tcPr>
          <w:p>
            <w:pPr>
              <w:jc w:val="left"/>
            </w:pPr>
            <w:r>
              <w:rPr>
                <w:color w:val="1F1F1F"/>
                <w:sz w:val="19"/>
                <w:szCs w:val="19"/>
              </w:rPr>
              <w:t xml:space="preserve">Education</w:t>
            </w:r>
          </w:p>
        </w:tc>
        <w:tc>
          <w:tcPr>
            <w:tcW w:type="dxa" w:w="7100"/>
            <w:shd w:fill="F7F7F7" w:val="clear"/>
            <w:tcMar>
              <w:top w:type="dxa" w:w="80"/>
              <w:left w:type="dxa" w:w="100"/>
              <w:bottom w:type="dxa" w:w="80"/>
              <w:right w:type="dxa" w:w="100"/>
            </w:tcMar>
            <w:vAlign w:val="center"/>
          </w:tcPr>
          <w:p>
            <w:pPr>
              <w:jc w:val="left"/>
            </w:pPr>
            <w:r>
              <w:rPr>
                <w:color w:val="1F1F1F"/>
                <w:sz w:val="19"/>
                <w:szCs w:val="19"/>
              </w:rPr>
              <w:t xml:space="preserve">No longer a qualifying filter. The XLRI/IIM/equivalent requirement in the July 7 doc has been loosened — confirmed Aug 13. Do not screen or de-prioritize leads on credentials.</w:t>
            </w:r>
          </w:p>
        </w:tc>
      </w:tr>
      <w:tr>
        <w:tc>
          <w:tcPr>
            <w:tcW w:type="dxa" w:w="2400"/>
            <w:tcMar>
              <w:top w:type="dxa" w:w="80"/>
              <w:left w:type="dxa" w:w="100"/>
              <w:bottom w:type="dxa" w:w="80"/>
              <w:right w:type="dxa" w:w="100"/>
            </w:tcMar>
            <w:vAlign w:val="center"/>
          </w:tcPr>
          <w:p>
            <w:pPr>
              <w:jc w:val="left"/>
            </w:pPr>
            <w:r>
              <w:rPr>
                <w:color w:val="1F1F1F"/>
                <w:sz w:val="19"/>
                <w:szCs w:val="19"/>
              </w:rPr>
              <w:t xml:space="preserve">Age</w:t>
            </w:r>
          </w:p>
        </w:tc>
        <w:tc>
          <w:tcPr>
            <w:tcW w:type="dxa" w:w="7100"/>
            <w:tcMar>
              <w:top w:type="dxa" w:w="80"/>
              <w:left w:type="dxa" w:w="100"/>
              <w:bottom w:type="dxa" w:w="80"/>
              <w:right w:type="dxa" w:w="100"/>
            </w:tcMar>
            <w:vAlign w:val="center"/>
          </w:tcPr>
          <w:p>
            <w:pPr>
              <w:jc w:val="left"/>
            </w:pPr>
            <w:r>
              <w:rPr>
                <w:color w:val="1F1F1F"/>
                <w:sz w:val="19"/>
                <w:szCs w:val="19"/>
              </w:rPr>
              <w:t xml:space="preserve">30–50. Peak earning years. Stakes are real.</w:t>
            </w:r>
          </w:p>
        </w:tc>
      </w:tr>
      <w:tr>
        <w:tc>
          <w:tcPr>
            <w:tcW w:type="dxa" w:w="2400"/>
            <w:shd w:fill="F7F7F7" w:val="clear"/>
            <w:tcMar>
              <w:top w:type="dxa" w:w="80"/>
              <w:left w:type="dxa" w:w="100"/>
              <w:bottom w:type="dxa" w:w="80"/>
              <w:right w:type="dxa" w:w="100"/>
            </w:tcMar>
            <w:vAlign w:val="center"/>
          </w:tcPr>
          <w:p>
            <w:pPr>
              <w:jc w:val="left"/>
            </w:pPr>
            <w:r>
              <w:rPr>
                <w:color w:val="1F1F1F"/>
                <w:sz w:val="19"/>
                <w:szCs w:val="19"/>
              </w:rPr>
              <w:t xml:space="preserve">Role</w:t>
            </w:r>
          </w:p>
        </w:tc>
        <w:tc>
          <w:tcPr>
            <w:tcW w:type="dxa" w:w="7100"/>
            <w:shd w:fill="F7F7F7" w:val="clear"/>
            <w:tcMar>
              <w:top w:type="dxa" w:w="80"/>
              <w:left w:type="dxa" w:w="100"/>
              <w:bottom w:type="dxa" w:w="80"/>
              <w:right w:type="dxa" w:w="100"/>
            </w:tcMar>
            <w:vAlign w:val="center"/>
          </w:tcPr>
          <w:p>
            <w:pPr>
              <w:jc w:val="left"/>
            </w:pPr>
            <w:r>
              <w:rPr>
                <w:color w:val="1F1F1F"/>
                <w:sz w:val="19"/>
                <w:szCs w:val="19"/>
              </w:rPr>
              <w:t xml:space="preserve">Senior professional, CXO, founder, operator. Owns decisions. Aug 11 update adds: HNI advisors and investors as a distinct, strong signal group.</w:t>
            </w:r>
          </w:p>
        </w:tc>
      </w:tr>
      <w:tr>
        <w:tc>
          <w:tcPr>
            <w:tcW w:type="dxa" w:w="2400"/>
            <w:tcMar>
              <w:top w:type="dxa" w:w="80"/>
              <w:left w:type="dxa" w:w="100"/>
              <w:bottom w:type="dxa" w:w="80"/>
              <w:right w:type="dxa" w:w="100"/>
            </w:tcMar>
            <w:vAlign w:val="center"/>
          </w:tcPr>
          <w:p>
            <w:pPr>
              <w:jc w:val="left"/>
            </w:pPr>
            <w:r>
              <w:rPr>
                <w:color w:val="1F1F1F"/>
                <w:sz w:val="19"/>
                <w:szCs w:val="19"/>
              </w:rPr>
              <w:t xml:space="preserve">Situation</w:t>
            </w:r>
          </w:p>
        </w:tc>
        <w:tc>
          <w:tcPr>
            <w:tcW w:type="dxa" w:w="7100"/>
            <w:tcMar>
              <w:top w:type="dxa" w:w="80"/>
              <w:left w:type="dxa" w:w="100"/>
              <w:bottom w:type="dxa" w:w="80"/>
              <w:right w:type="dxa" w:w="100"/>
            </w:tcMar>
            <w:vAlign w:val="center"/>
          </w:tcPr>
          <w:p>
            <w:pPr>
              <w:jc w:val="left"/>
            </w:pPr>
            <w:r>
              <w:rPr>
                <w:color w:val="1F1F1F"/>
                <w:sz w:val="19"/>
                <w:szCs w:val="19"/>
              </w:rPr>
              <w:t xml:space="preserve">At a major crossroads — career shift, business pivot, life decision. Not a daily consumer.</w:t>
            </w:r>
          </w:p>
        </w:tc>
      </w:tr>
      <w:tr>
        <w:tc>
          <w:tcPr>
            <w:tcW w:type="dxa" w:w="2400"/>
            <w:shd w:fill="F7F7F7" w:val="clear"/>
            <w:tcMar>
              <w:top w:type="dxa" w:w="80"/>
              <w:left w:type="dxa" w:w="100"/>
              <w:bottom w:type="dxa" w:w="80"/>
              <w:right w:type="dxa" w:w="100"/>
            </w:tcMar>
            <w:vAlign w:val="center"/>
          </w:tcPr>
          <w:p>
            <w:pPr>
              <w:jc w:val="left"/>
            </w:pPr>
            <w:r>
              <w:rPr>
                <w:color w:val="1F1F1F"/>
                <w:sz w:val="19"/>
                <w:szCs w:val="19"/>
              </w:rPr>
              <w:t xml:space="preserve">Mindset</w:t>
            </w:r>
          </w:p>
        </w:tc>
        <w:tc>
          <w:tcPr>
            <w:tcW w:type="dxa" w:w="7100"/>
            <w:shd w:fill="F7F7F7" w:val="clear"/>
            <w:tcMar>
              <w:top w:type="dxa" w:w="80"/>
              <w:left w:type="dxa" w:w="100"/>
              <w:bottom w:type="dxa" w:w="80"/>
              <w:right w:type="dxa" w:w="100"/>
            </w:tcMar>
            <w:vAlign w:val="center"/>
          </w:tcPr>
          <w:p>
            <w:pPr>
              <w:jc w:val="left"/>
            </w:pPr>
            <w:r>
              <w:rPr>
                <w:color w:val="1F1F1F"/>
                <w:sz w:val="19"/>
                <w:szCs w:val="19"/>
              </w:rPr>
              <w:t xml:space="preserve">Introspective. Uses structured frameworks at work. Comfortable with reflective tools.</w:t>
            </w:r>
          </w:p>
        </w:tc>
      </w:tr>
      <w:tr>
        <w:tc>
          <w:tcPr>
            <w:tcW w:type="dxa" w:w="2400"/>
            <w:tcMar>
              <w:top w:type="dxa" w:w="80"/>
              <w:left w:type="dxa" w:w="100"/>
              <w:bottom w:type="dxa" w:w="80"/>
              <w:right w:type="dxa" w:w="100"/>
            </w:tcMar>
            <w:vAlign w:val="center"/>
          </w:tcPr>
          <w:p>
            <w:pPr>
              <w:jc w:val="left"/>
            </w:pPr>
            <w:r>
              <w:rPr>
                <w:color w:val="1F1F1F"/>
                <w:sz w:val="19"/>
                <w:szCs w:val="19"/>
              </w:rPr>
              <w:t xml:space="preserve">Income</w:t>
            </w:r>
          </w:p>
        </w:tc>
        <w:tc>
          <w:tcPr>
            <w:tcW w:type="dxa" w:w="7100"/>
            <w:tcMar>
              <w:top w:type="dxa" w:w="80"/>
              <w:left w:type="dxa" w:w="100"/>
              <w:bottom w:type="dxa" w:w="80"/>
              <w:right w:type="dxa" w:w="100"/>
            </w:tcMar>
            <w:vAlign w:val="center"/>
          </w:tcPr>
          <w:p>
            <w:pPr>
              <w:jc w:val="left"/>
            </w:pPr>
            <w:r>
              <w:rPr>
                <w:color w:val="1F1F1F"/>
                <w:sz w:val="19"/>
                <w:szCs w:val="19"/>
              </w:rPr>
              <w:t xml:space="preserve">₹25L+ per year. ₹999/month is negligible if the value lands.</w:t>
            </w:r>
          </w:p>
        </w:tc>
      </w:tr>
      <w:tr>
        <w:tc>
          <w:tcPr>
            <w:tcW w:type="dxa" w:w="2400"/>
            <w:shd w:fill="F7F7F7" w:val="clear"/>
            <w:tcMar>
              <w:top w:type="dxa" w:w="80"/>
              <w:left w:type="dxa" w:w="100"/>
              <w:bottom w:type="dxa" w:w="80"/>
              <w:right w:type="dxa" w:w="100"/>
            </w:tcMar>
            <w:vAlign w:val="center"/>
          </w:tcPr>
          <w:p>
            <w:pPr>
              <w:jc w:val="left"/>
            </w:pPr>
            <w:r>
              <w:rPr>
                <w:color w:val="1F1F1F"/>
                <w:sz w:val="19"/>
                <w:szCs w:val="19"/>
              </w:rPr>
              <w:t xml:space="preserve">Network</w:t>
            </w:r>
          </w:p>
        </w:tc>
        <w:tc>
          <w:tcPr>
            <w:tcW w:type="dxa" w:w="7100"/>
            <w:shd w:fill="F7F7F7" w:val="clear"/>
            <w:tcMar>
              <w:top w:type="dxa" w:w="80"/>
              <w:left w:type="dxa" w:w="100"/>
              <w:bottom w:type="dxa" w:w="80"/>
              <w:right w:type="dxa" w:w="100"/>
            </w:tcMar>
            <w:vAlign w:val="center"/>
          </w:tcPr>
          <w:p>
            <w:pPr>
              <w:jc w:val="left"/>
            </w:pPr>
            <w:r>
              <w:rPr>
                <w:color w:val="1F1F1F"/>
                <w:sz w:val="19"/>
                <w:szCs w:val="19"/>
              </w:rPr>
              <w:t xml:space="preserve">Warm intro via XLRI/IIM-A/founder network — OR, newly validated, genuinely cold via Meta ad targeting.</w:t>
            </w:r>
          </w:p>
        </w:tc>
      </w:tr>
    </w:tbl>
    <w:p>
      <w:pPr>
        <w:spacing w:after="120"/>
      </w:pPr>
    </w:p>
    <w:p>
      <w:pPr>
        <w:pStyle w:val="Heading3"/>
        <w:spacing w:after="80" w:before="200"/>
      </w:pPr>
      <w:r>
        <w:rPr>
          <w:b/>
          <w:bCs/>
          <w:color w:val="1F1F1F"/>
          <w:sz w:val="22"/>
          <w:szCs w:val="22"/>
        </w:rPr>
        <w:t xml:space="preserve">Anti-ICP — do not pursue (unchanged)</w:t>
      </w:r>
    </w:p>
    <w:p>
      <w:pPr>
        <w:pStyle w:val="ListParagraph"/>
        <w:numPr>
          <w:ilvl w:val="0"/>
          <w:numId w:val="2"/>
        </w:numPr>
        <w:spacing w:after="80"/>
      </w:pPr>
      <w:r>
        <w:rPr>
          <w:color w:val="1F1F1F"/>
          <w:sz w:val="21"/>
          <w:szCs w:val="21"/>
        </w:rPr>
        <w:t xml:space="preserve">People looking for therapy or emotional support — Mirror is not that</w:t>
      </w:r>
    </w:p>
    <w:p>
      <w:pPr>
        <w:pStyle w:val="ListParagraph"/>
        <w:numPr>
          <w:ilvl w:val="0"/>
          <w:numId w:val="2"/>
        </w:numPr>
        <w:spacing w:after="80"/>
      </w:pPr>
      <w:r>
        <w:rPr>
          <w:color w:val="1F1F1F"/>
          <w:sz w:val="21"/>
          <w:szCs w:val="21"/>
        </w:rPr>
        <w:t xml:space="preserve">People in active crisis — not the right moment</w:t>
      </w:r>
    </w:p>
    <w:p>
      <w:pPr>
        <w:pStyle w:val="ListParagraph"/>
        <w:numPr>
          <w:ilvl w:val="0"/>
          <w:numId w:val="2"/>
        </w:numPr>
        <w:spacing w:after="80"/>
      </w:pPr>
      <w:r>
        <w:rPr>
          <w:color w:val="1F1F1F"/>
          <w:sz w:val="21"/>
          <w:szCs w:val="21"/>
        </w:rPr>
        <w:t xml:space="preserve">People who want to be told what to do — Mirror shows what you are already weighing, it does not prescribe</w:t>
      </w:r>
    </w:p>
    <w:p>
      <w:pPr>
        <w:pStyle w:val="ListParagraph"/>
        <w:numPr>
          <w:ilvl w:val="0"/>
          <w:numId w:val="2"/>
        </w:numPr>
        <w:spacing w:after="80"/>
      </w:pPr>
      <w:r>
        <w:rPr>
          <w:color w:val="1F1F1F"/>
          <w:sz w:val="21"/>
          <w:szCs w:val="21"/>
        </w:rPr>
        <w:t xml:space="preserve">Corporate HR or L&amp;D buyers looking for a training tool — wrong channel, wrong pitch</w:t>
      </w:r>
    </w:p>
    <w:p>
      <w:pPr>
        <w:pStyle w:val="Heading3"/>
        <w:spacing w:after="80" w:before="200"/>
      </w:pPr>
      <w:r>
        <w:rPr>
          <w:b/>
          <w:bCs/>
          <w:color w:val="1F1F1F"/>
          <w:sz w:val="22"/>
          <w:szCs w:val="22"/>
        </w:rPr>
        <w:t xml:space="preserve">New ICP learning from Aug 11 — scope boundary on use case</w:t>
      </w:r>
    </w:p>
    <w:p>
      <w:pPr>
        <w:spacing w:after="200"/>
      </w:pPr>
      <w:r>
        <w:rPr>
          <w:color w:val="1F1F1F"/>
          <w:sz w:val="21"/>
          <w:szCs w:val="21"/>
        </w:rPr>
        <w:t xml:space="preserve">Neeta's session surfaced a useful boundary case: she asked whether Quorum could help her pick a mutual fund. The correct answer, already applied in that conversation, is that investment selection isn't Quorum's direct use case — a user should shortlist options externally and use Quorum to structure the decision between them, not to pick the options. Worth adding to onboarding/positioning language so this doesn't recur as a source of mismatched expectations.</w:t>
      </w:r>
    </w:p>
    <w:p>
      <w:pPr>
        <w:pStyle w:val="Heading1"/>
        <w:pBdr>
          <w:bottom w:val="single" w:color="8A6D00" w:sz="8" w:space="4"/>
        </w:pBdr>
        <w:spacing w:after="160" w:before="360"/>
      </w:pPr>
      <w:r>
        <w:rPr>
          <w:b/>
          <w:bCs/>
          <w:color w:val="1F1F1F"/>
          <w:sz w:val="30"/>
          <w:szCs w:val="30"/>
        </w:rPr>
        <w:t xml:space="preserve">4. Pricing</w:t>
      </w:r>
    </w:p>
    <w:p>
      <w:pPr>
        <w:pBdr>
          <w:left w:val="single" w:color="8A6D00" w:sz="18" w:space="8"/>
        </w:pBdr>
        <w:shd w:fill="FFF6D9" w:val="clear"/>
        <w:spacing w:after="200" w:before="100"/>
        <w:ind w:left="100"/>
      </w:pPr>
      <w:r>
        <w:rPr>
          <w:i/>
          <w:iCs/>
          <w:color w:val="1F1F1F"/>
          <w:sz w:val="20"/>
          <w:szCs w:val="20"/>
        </w:rPr>
        <w:t xml:space="preserve">Confirmed with the founder (Aug 13): the figures below are correct and live. The July 7 doc's ₹1,999 / ₹3,999 figures are simply outdated, not a live-vs-intended mismatch to fix — no action needed beyond treating this table as the source of truth going forward.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00"/>
      </w:tblGrid>
      <w:tr>
        <w:trPr>
          <w:tblHeader/>
        </w:trPr>
        <w:tc>
          <w:tcPr>
            <w:tcW w:type="dxa" w:w="2600"/>
            <w:shd w:fill="2B2B2B" w:val="clear"/>
            <w:tcMar>
              <w:top w:type="dxa" w:w="80"/>
              <w:left w:type="dxa" w:w="100"/>
              <w:bottom w:type="dxa" w:w="80"/>
              <w:right w:type="dxa" w:w="100"/>
            </w:tcMar>
            <w:vAlign w:val="center"/>
          </w:tcPr>
          <w:p>
            <w:pPr>
              <w:jc w:val="left"/>
            </w:pPr>
            <w:r>
              <w:rPr>
                <w:b/>
                <w:bCs/>
                <w:color w:val="FFFFFF"/>
                <w:sz w:val="19"/>
                <w:szCs w:val="19"/>
              </w:rPr>
              <w:t xml:space="preserve">Tier</w:t>
            </w:r>
          </w:p>
        </w:tc>
        <w:tc>
          <w:tcPr>
            <w:tcW w:type="dxa" w:w="2400"/>
            <w:shd w:fill="2B2B2B" w:val="clear"/>
            <w:tcMar>
              <w:top w:type="dxa" w:w="80"/>
              <w:left w:type="dxa" w:w="100"/>
              <w:bottom w:type="dxa" w:w="80"/>
              <w:right w:type="dxa" w:w="100"/>
            </w:tcMar>
            <w:vAlign w:val="center"/>
          </w:tcPr>
          <w:p>
            <w:pPr>
              <w:jc w:val="left"/>
            </w:pPr>
            <w:r>
              <w:rPr>
                <w:b/>
                <w:bCs/>
                <w:color w:val="FFFFFF"/>
                <w:sz w:val="19"/>
                <w:szCs w:val="19"/>
              </w:rPr>
              <w:t xml:space="preserve">Current price</w:t>
            </w:r>
          </w:p>
        </w:tc>
        <w:tc>
          <w:tcPr>
            <w:tcW w:type="dxa" w:w="4300"/>
            <w:shd w:fill="2B2B2B" w:val="clear"/>
            <w:tcMar>
              <w:top w:type="dxa" w:w="80"/>
              <w:left w:type="dxa" w:w="100"/>
              <w:bottom w:type="dxa" w:w="80"/>
              <w:right w:type="dxa" w:w="100"/>
            </w:tcMar>
            <w:vAlign w:val="center"/>
          </w:tcPr>
          <w:p>
            <w:pPr>
              <w:jc w:val="left"/>
            </w:pPr>
            <w:r>
              <w:rPr>
                <w:b/>
                <w:bCs/>
                <w:color w:val="FFFFFF"/>
                <w:sz w:val="19"/>
                <w:szCs w:val="19"/>
              </w:rPr>
              <w:t xml:space="preserve">Notes</w:t>
            </w:r>
          </w:p>
        </w:tc>
      </w:tr>
      <w:tr>
        <w:tc>
          <w:tcPr>
            <w:tcW w:type="dxa" w:w="2600"/>
            <w:shd w:fill="F7F7F7" w:val="clear"/>
            <w:tcMar>
              <w:top w:type="dxa" w:w="80"/>
              <w:left w:type="dxa" w:w="100"/>
              <w:bottom w:type="dxa" w:w="80"/>
              <w:right w:type="dxa" w:w="100"/>
            </w:tcMar>
            <w:vAlign w:val="center"/>
          </w:tcPr>
          <w:p>
            <w:pPr>
              <w:jc w:val="left"/>
            </w:pPr>
            <w:r>
              <w:rPr>
                <w:color w:val="1F1F1F"/>
                <w:sz w:val="19"/>
                <w:szCs w:val="19"/>
              </w:rPr>
              <w:t xml:space="preserve">Founding Monthly</w:t>
            </w:r>
          </w:p>
        </w:tc>
        <w:tc>
          <w:tcPr>
            <w:tcW w:type="dxa" w:w="2400"/>
            <w:shd w:fill="F7F7F7" w:val="clear"/>
            <w:tcMar>
              <w:top w:type="dxa" w:w="80"/>
              <w:left w:type="dxa" w:w="100"/>
              <w:bottom w:type="dxa" w:w="80"/>
              <w:right w:type="dxa" w:w="100"/>
            </w:tcMar>
            <w:vAlign w:val="center"/>
          </w:tcPr>
          <w:p>
            <w:pPr>
              <w:jc w:val="left"/>
            </w:pPr>
            <w:r>
              <w:rPr>
                <w:color w:val="1F1F1F"/>
                <w:sz w:val="19"/>
                <w:szCs w:val="19"/>
              </w:rPr>
              <w:t xml:space="preserve">₹999/month</w:t>
            </w:r>
          </w:p>
        </w:tc>
        <w:tc>
          <w:tcPr>
            <w:tcW w:type="dxa" w:w="4300"/>
            <w:shd w:fill="F7F7F7" w:val="clear"/>
            <w:tcMar>
              <w:top w:type="dxa" w:w="80"/>
              <w:left w:type="dxa" w:w="100"/>
              <w:bottom w:type="dxa" w:w="80"/>
              <w:right w:type="dxa" w:w="100"/>
            </w:tcMar>
            <w:vAlign w:val="center"/>
          </w:tcPr>
          <w:p>
            <w:pPr>
              <w:jc w:val="left"/>
            </w:pPr>
            <w:r>
              <w:rPr>
                <w:color w:val="1F1F1F"/>
                <w:sz w:val="19"/>
                <w:szCs w:val="19"/>
              </w:rPr>
              <w:t xml:space="preserve">Default ask, first 20 paying users. Cap enforced server-side (lib/founding.ts), not just UI-hidden.</w:t>
            </w:r>
          </w:p>
        </w:tc>
      </w:tr>
      <w:tr>
        <w:tc>
          <w:tcPr>
            <w:tcW w:type="dxa" w:w="2600"/>
            <w:tcMar>
              <w:top w:type="dxa" w:w="80"/>
              <w:left w:type="dxa" w:w="100"/>
              <w:bottom w:type="dxa" w:w="80"/>
              <w:right w:type="dxa" w:w="100"/>
            </w:tcMar>
            <w:vAlign w:val="center"/>
          </w:tcPr>
          <w:p>
            <w:pPr>
              <w:jc w:val="left"/>
            </w:pPr>
            <w:r>
              <w:rPr>
                <w:color w:val="1F1F1F"/>
                <w:sz w:val="19"/>
                <w:szCs w:val="19"/>
              </w:rPr>
              <w:t xml:space="preserve">Founding Annual</w:t>
            </w:r>
          </w:p>
        </w:tc>
        <w:tc>
          <w:tcPr>
            <w:tcW w:type="dxa" w:w="2400"/>
            <w:tcMar>
              <w:top w:type="dxa" w:w="80"/>
              <w:left w:type="dxa" w:w="100"/>
              <w:bottom w:type="dxa" w:w="80"/>
              <w:right w:type="dxa" w:w="100"/>
            </w:tcMar>
            <w:vAlign w:val="center"/>
          </w:tcPr>
          <w:p>
            <w:pPr>
              <w:jc w:val="left"/>
            </w:pPr>
            <w:r>
              <w:rPr>
                <w:color w:val="1F1F1F"/>
                <w:sz w:val="19"/>
                <w:szCs w:val="19"/>
              </w:rPr>
              <w:t xml:space="preserve">₹9,999/year</w:t>
            </w:r>
          </w:p>
        </w:tc>
        <w:tc>
          <w:tcPr>
            <w:tcW w:type="dxa" w:w="4300"/>
            <w:tcMar>
              <w:top w:type="dxa" w:w="80"/>
              <w:left w:type="dxa" w:w="100"/>
              <w:bottom w:type="dxa" w:w="80"/>
              <w:right w:type="dxa" w:w="100"/>
            </w:tcMar>
            <w:vAlign w:val="center"/>
          </w:tcPr>
          <w:p>
            <w:pPr>
              <w:jc w:val="left"/>
            </w:pPr>
            <w:r>
              <w:rPr>
                <w:color w:val="1F1F1F"/>
                <w:sz w:val="19"/>
                <w:szCs w:val="19"/>
              </w:rPr>
              <w:t xml:space="preserve">Confirmed correct as of Aug 13. Supersedes the ₹3,999 figure in the July 7 doc.</w:t>
            </w:r>
          </w:p>
        </w:tc>
      </w:tr>
      <w:tr>
        <w:tc>
          <w:tcPr>
            <w:tcW w:type="dxa" w:w="2600"/>
            <w:shd w:fill="F7F7F7" w:val="clear"/>
            <w:tcMar>
              <w:top w:type="dxa" w:w="80"/>
              <w:left w:type="dxa" w:w="100"/>
              <w:bottom w:type="dxa" w:w="80"/>
              <w:right w:type="dxa" w:w="100"/>
            </w:tcMar>
            <w:vAlign w:val="center"/>
          </w:tcPr>
          <w:p>
            <w:pPr>
              <w:jc w:val="left"/>
            </w:pPr>
            <w:r>
              <w:rPr>
                <w:color w:val="1F1F1F"/>
                <w:sz w:val="19"/>
                <w:szCs w:val="19"/>
              </w:rPr>
              <w:t xml:space="preserve">Standard Monthly</w:t>
            </w:r>
          </w:p>
        </w:tc>
        <w:tc>
          <w:tcPr>
            <w:tcW w:type="dxa" w:w="2400"/>
            <w:shd w:fill="F7F7F7" w:val="clear"/>
            <w:tcMar>
              <w:top w:type="dxa" w:w="80"/>
              <w:left w:type="dxa" w:w="100"/>
              <w:bottom w:type="dxa" w:w="80"/>
              <w:right w:type="dxa" w:w="100"/>
            </w:tcMar>
            <w:vAlign w:val="center"/>
          </w:tcPr>
          <w:p>
            <w:pPr>
              <w:jc w:val="left"/>
            </w:pPr>
            <w:r>
              <w:rPr>
                <w:color w:val="1F1F1F"/>
                <w:sz w:val="19"/>
                <w:szCs w:val="19"/>
              </w:rPr>
              <w:t xml:space="preserve">₹2,999/month</w:t>
            </w:r>
          </w:p>
        </w:tc>
        <w:tc>
          <w:tcPr>
            <w:tcW w:type="dxa" w:w="4300"/>
            <w:shd w:fill="F7F7F7" w:val="clear"/>
            <w:tcMar>
              <w:top w:type="dxa" w:w="80"/>
              <w:left w:type="dxa" w:w="100"/>
              <w:bottom w:type="dxa" w:w="80"/>
              <w:right w:type="dxa" w:w="100"/>
            </w:tcMar>
            <w:vAlign w:val="center"/>
          </w:tcPr>
          <w:p>
            <w:pPr>
              <w:jc w:val="left"/>
            </w:pPr>
            <w:r>
              <w:rPr>
                <w:color w:val="1F1F1F"/>
                <w:sz w:val="19"/>
                <w:szCs w:val="19"/>
              </w:rPr>
              <w:t xml:space="preserve">Confirmed correct as of Aug 13. Supersedes the ₹1,999 figure in the July 7 doc. Do not offer before the founding cohort closes (rule unchanged).</w:t>
            </w:r>
          </w:p>
        </w:tc>
      </w:tr>
      <w:tr>
        <w:tc>
          <w:tcPr>
            <w:tcW w:type="dxa" w:w="2600"/>
            <w:tcMar>
              <w:top w:type="dxa" w:w="80"/>
              <w:left w:type="dxa" w:w="100"/>
              <w:bottom w:type="dxa" w:w="80"/>
              <w:right w:type="dxa" w:w="100"/>
            </w:tcMar>
            <w:vAlign w:val="center"/>
          </w:tcPr>
          <w:p>
            <w:pPr>
              <w:jc w:val="left"/>
            </w:pPr>
            <w:r>
              <w:rPr>
                <w:color w:val="1F1F1F"/>
                <w:sz w:val="19"/>
                <w:szCs w:val="19"/>
              </w:rPr>
              <w:t xml:space="preserve">Standard Annual</w:t>
            </w:r>
          </w:p>
        </w:tc>
        <w:tc>
          <w:tcPr>
            <w:tcW w:type="dxa" w:w="2400"/>
            <w:tcMar>
              <w:top w:type="dxa" w:w="80"/>
              <w:left w:type="dxa" w:w="100"/>
              <w:bottom w:type="dxa" w:w="80"/>
              <w:right w:type="dxa" w:w="100"/>
            </w:tcMar>
            <w:vAlign w:val="center"/>
          </w:tcPr>
          <w:p>
            <w:pPr>
              <w:jc w:val="left"/>
            </w:pPr>
            <w:r>
              <w:rPr>
                <w:color w:val="1F1F1F"/>
                <w:sz w:val="19"/>
                <w:szCs w:val="19"/>
              </w:rPr>
              <w:t xml:space="preserve">₹29,999/year</w:t>
            </w:r>
          </w:p>
        </w:tc>
        <w:tc>
          <w:tcPr>
            <w:tcW w:type="dxa" w:w="4300"/>
            <w:tcMar>
              <w:top w:type="dxa" w:w="80"/>
              <w:left w:type="dxa" w:w="100"/>
              <w:bottom w:type="dxa" w:w="80"/>
              <w:right w:type="dxa" w:w="100"/>
            </w:tcMar>
            <w:vAlign w:val="center"/>
          </w:tcPr>
          <w:p>
            <w:pPr>
              <w:jc w:val="left"/>
            </w:pPr>
            <w:r>
              <w:rPr>
                <w:color w:val="1F1F1F"/>
                <w:sz w:val="19"/>
                <w:szCs w:val="19"/>
              </w:rPr>
              <w:t xml:space="preserve">Confirmed currently being offered — not just a code artifact. New tier, not present in the July 7 doc.</w:t>
            </w:r>
          </w:p>
        </w:tc>
      </w:tr>
      <w:tr>
        <w:tc>
          <w:tcPr>
            <w:tcW w:type="dxa" w:w="2600"/>
            <w:shd w:fill="F7F7F7" w:val="clear"/>
            <w:tcMar>
              <w:top w:type="dxa" w:w="80"/>
              <w:left w:type="dxa" w:w="100"/>
              <w:bottom w:type="dxa" w:w="80"/>
              <w:right w:type="dxa" w:w="100"/>
            </w:tcMar>
            <w:vAlign w:val="center"/>
          </w:tcPr>
          <w:p>
            <w:pPr>
              <w:jc w:val="left"/>
            </w:pPr>
            <w:r>
              <w:rPr>
                <w:color w:val="1F1F1F"/>
                <w:sz w:val="19"/>
                <w:szCs w:val="19"/>
              </w:rPr>
              <w:t xml:space="preserve">Decision Session (Meta entry)</w:t>
            </w:r>
          </w:p>
        </w:tc>
        <w:tc>
          <w:tcPr>
            <w:tcW w:type="dxa" w:w="2400"/>
            <w:shd w:fill="F7F7F7" w:val="clear"/>
            <w:tcMar>
              <w:top w:type="dxa" w:w="80"/>
              <w:left w:type="dxa" w:w="100"/>
              <w:bottom w:type="dxa" w:w="80"/>
              <w:right w:type="dxa" w:w="100"/>
            </w:tcMar>
            <w:vAlign w:val="center"/>
          </w:tcPr>
          <w:p>
            <w:pPr>
              <w:jc w:val="left"/>
            </w:pPr>
            <w:r>
              <w:rPr>
                <w:color w:val="1F1F1F"/>
                <w:sz w:val="19"/>
                <w:szCs w:val="19"/>
              </w:rPr>
              <w:t xml:space="preserve">₹299 one-time, refundable</w:t>
            </w:r>
          </w:p>
        </w:tc>
        <w:tc>
          <w:tcPr>
            <w:tcW w:type="dxa" w:w="4300"/>
            <w:shd w:fill="F7F7F7" w:val="clear"/>
            <w:tcMar>
              <w:top w:type="dxa" w:w="80"/>
              <w:left w:type="dxa" w:w="100"/>
              <w:bottom w:type="dxa" w:w="80"/>
              <w:right w:type="dxa" w:w="100"/>
            </w:tcMar>
            <w:vAlign w:val="center"/>
          </w:tcPr>
          <w:p>
            <w:pPr>
              <w:jc w:val="left"/>
            </w:pPr>
            <w:r>
              <w:rPr>
                <w:color w:val="1F1F1F"/>
                <w:sz w:val="19"/>
                <w:szCs w:val="19"/>
              </w:rPr>
              <w:t xml:space="preserve">New since July 7. Entry price for the Meta ₹299 funnel — not a subscription. Refundable "if genuinely no value." Default amount configurable via DECISION_SESSION_AMOUNT_INR.</w:t>
            </w:r>
          </w:p>
        </w:tc>
      </w:tr>
      <w:tr>
        <w:tc>
          <w:tcPr>
            <w:tcW w:type="dxa" w:w="2600"/>
            <w:tcMar>
              <w:top w:type="dxa" w:w="80"/>
              <w:left w:type="dxa" w:w="100"/>
              <w:bottom w:type="dxa" w:w="80"/>
              <w:right w:type="dxa" w:w="100"/>
            </w:tcMar>
            <w:vAlign w:val="center"/>
          </w:tcPr>
          <w:p>
            <w:pPr>
              <w:jc w:val="left"/>
            </w:pPr>
            <w:r>
              <w:rPr>
                <w:color w:val="1F1F1F"/>
                <w:sz w:val="19"/>
                <w:szCs w:val="19"/>
              </w:rPr>
              <w:t xml:space="preserve">Free tier (Meta)</w:t>
            </w:r>
          </w:p>
        </w:tc>
        <w:tc>
          <w:tcPr>
            <w:tcW w:type="dxa" w:w="2400"/>
            <w:tcMar>
              <w:top w:type="dxa" w:w="80"/>
              <w:left w:type="dxa" w:w="100"/>
              <w:bottom w:type="dxa" w:w="80"/>
              <w:right w:type="dxa" w:w="100"/>
            </w:tcMar>
            <w:vAlign w:val="center"/>
          </w:tcPr>
          <w:p>
            <w:pPr>
              <w:jc w:val="left"/>
            </w:pPr>
            <w:r>
              <w:rPr>
                <w:color w:val="1F1F1F"/>
                <w:sz w:val="19"/>
                <w:szCs w:val="19"/>
              </w:rPr>
              <w:t xml:space="preserve">₹0</w:t>
            </w:r>
          </w:p>
        </w:tc>
        <w:tc>
          <w:tcPr>
            <w:tcW w:type="dxa" w:w="4300"/>
            <w:tcMar>
              <w:top w:type="dxa" w:w="80"/>
              <w:left w:type="dxa" w:w="100"/>
              <w:bottom w:type="dxa" w:w="80"/>
              <w:right w:type="dxa" w:w="100"/>
            </w:tcMar>
            <w:vAlign w:val="center"/>
          </w:tcPr>
          <w:p>
            <w:pPr>
              <w:jc w:val="left"/>
            </w:pPr>
            <w:r>
              <w:rPr>
                <w:color w:val="1F1F1F"/>
                <w:sz w:val="19"/>
                <w:szCs w:val="19"/>
              </w:rPr>
              <w:t xml:space="preserve">New. Purpose confirmed as DAU growth, not a price-sensitivity test — see §5.2.</w:t>
            </w:r>
          </w:p>
        </w:tc>
      </w:tr>
      <w:tr>
        <w:tc>
          <w:tcPr>
            <w:tcW w:type="dxa" w:w="2600"/>
            <w:shd w:fill="F7F7F7" w:val="clear"/>
            <w:tcMar>
              <w:top w:type="dxa" w:w="80"/>
              <w:left w:type="dxa" w:w="100"/>
              <w:bottom w:type="dxa" w:w="80"/>
              <w:right w:type="dxa" w:w="100"/>
            </w:tcMar>
            <w:vAlign w:val="center"/>
          </w:tcPr>
          <w:p>
            <w:pPr>
              <w:jc w:val="left"/>
            </w:pPr>
            <w:r>
              <w:rPr>
                <w:color w:val="1F1F1F"/>
                <w:sz w:val="19"/>
                <w:szCs w:val="19"/>
              </w:rPr>
              <w:t xml:space="preserve">Gift access</w:t>
            </w:r>
          </w:p>
        </w:tc>
        <w:tc>
          <w:tcPr>
            <w:tcW w:type="dxa" w:w="2400"/>
            <w:shd w:fill="F7F7F7" w:val="clear"/>
            <w:tcMar>
              <w:top w:type="dxa" w:w="80"/>
              <w:left w:type="dxa" w:w="100"/>
              <w:bottom w:type="dxa" w:w="80"/>
              <w:right w:type="dxa" w:w="100"/>
            </w:tcMar>
            <w:vAlign w:val="center"/>
          </w:tcPr>
          <w:p>
            <w:pPr>
              <w:jc w:val="left"/>
            </w:pPr>
            <w:r>
              <w:rPr>
                <w:color w:val="1F1F1F"/>
                <w:sz w:val="19"/>
                <w:szCs w:val="19"/>
              </w:rPr>
              <w:t xml:space="preserve">No charge</w:t>
            </w:r>
          </w:p>
        </w:tc>
        <w:tc>
          <w:tcPr>
            <w:tcW w:type="dxa" w:w="4300"/>
            <w:shd w:fill="F7F7F7" w:val="clear"/>
            <w:tcMar>
              <w:top w:type="dxa" w:w="80"/>
              <w:left w:type="dxa" w:w="100"/>
              <w:bottom w:type="dxa" w:w="80"/>
              <w:right w:type="dxa" w:w="100"/>
            </w:tcMar>
            <w:vAlign w:val="center"/>
          </w:tcPr>
          <w:p>
            <w:pPr>
              <w:jc w:val="left"/>
            </w:pPr>
            <w:r>
              <w:rPr>
                <w:color w:val="1F1F1F"/>
                <w:sz w:val="19"/>
                <w:szCs w:val="19"/>
              </w:rPr>
              <w:t xml:space="preserve">Connectors &amp; high-trust referrers only. Not a trial. Not for pipeline leads.</w:t>
            </w:r>
          </w:p>
        </w:tc>
      </w:tr>
    </w:tbl>
    <w:p>
      <w:pPr>
        <w:spacing w:after="120"/>
      </w:pPr>
    </w:p>
    <w:p>
      <w:pPr>
        <w:pStyle w:val="Heading3"/>
        <w:spacing w:after="80" w:before="200"/>
      </w:pPr>
      <w:r>
        <w:rPr>
          <w:b/>
          <w:bCs/>
          <w:color w:val="1F1F1F"/>
          <w:sz w:val="22"/>
          <w:szCs w:val="22"/>
        </w:rPr>
        <w:t xml:space="preserve">How to present the founding ask (verbatim, unchanged)</w:t>
      </w:r>
    </w:p>
    <w:p>
      <w:pPr>
        <w:pBdr>
          <w:left w:val="single" w:color="8A6D00" w:sz="18" w:space="8"/>
        </w:pBdr>
        <w:shd w:fill="FFF6D9" w:val="clear"/>
        <w:spacing w:after="200" w:before="100"/>
        <w:ind w:left="100"/>
      </w:pPr>
      <w:r>
        <w:rPr>
          <w:i/>
          <w:iCs/>
          <w:color w:val="1F1F1F"/>
          <w:sz w:val="20"/>
          <w:szCs w:val="20"/>
        </w:rPr>
        <w:t xml:space="preserve">"I am offering founding access at ₹999 a month — that rate locks in for as long as you stay. I am only extending this to people in this first wave. It takes about 30 seconds to set up."</w:t>
      </w:r>
    </w:p>
    <w:p>
      <w:pPr>
        <w:spacing w:after="200"/>
      </w:pPr>
      <w:r>
        <w:rPr>
          <w:color w:val="1F1F1F"/>
          <w:sz w:val="21"/>
          <w:szCs w:val="21"/>
        </w:rPr>
        <w:t xml:space="preserve">Never announce the price unprompted. Never negotiate on price. If someone pushes back on price, the real problem is conviction, not cost — the session didn't fully land. This rule held through the Aug 11 leads too: when Neeta asked about the ₹1,000 figure being one-time vs. monthly, the response was a plain clarification, not a discount.</w:t>
      </w:r>
    </w:p>
    <w:p>
      <w:pPr>
        <w:pStyle w:val="Heading1"/>
        <w:pBdr>
          <w:bottom w:val="single" w:color="8A6D00" w:sz="8" w:space="4"/>
        </w:pBdr>
        <w:spacing w:after="160" w:before="360"/>
      </w:pPr>
      <w:r>
        <w:rPr>
          <w:b/>
          <w:bCs/>
          <w:color w:val="1F1F1F"/>
          <w:sz w:val="30"/>
          <w:szCs w:val="30"/>
        </w:rPr>
        <w:t xml:space="preserve">5. Acquisition Channels</w:t>
      </w:r>
    </w:p>
    <w:p>
      <w:pPr>
        <w:spacing w:after="140"/>
      </w:pPr>
      <w:r>
        <w:rPr>
          <w:color w:val="1F1F1F"/>
          <w:sz w:val="21"/>
          <w:szCs w:val="21"/>
        </w:rPr>
        <w:t xml:space="preserve">This section is new — the July 7 doc had no paid channel at all. As of the Aug 11 update, three paths run in parallel:</w:t>
      </w:r>
    </w:p>
    <w:p>
      <w:pPr>
        <w:pStyle w:val="ListParagraph"/>
        <w:numPr>
          <w:ilvl w:val="0"/>
          <w:numId w:val="2"/>
        </w:numPr>
        <w:spacing w:after="80"/>
      </w:pPr>
      <w:r>
        <w:rPr>
          <w:b/>
          <w:bCs/>
          <w:color w:val="1F1F1F"/>
          <w:sz w:val="21"/>
          <w:szCs w:val="21"/>
        </w:rPr>
        <w:t xml:space="preserve">A. Meta Ad → free/₹299 entry → Quorum experience → ₹999/month Elite/Founding Member</w:t>
      </w:r>
    </w:p>
    <w:p>
      <w:pPr>
        <w:pStyle w:val="ListParagraph"/>
        <w:numPr>
          <w:ilvl w:val="0"/>
          <w:numId w:val="2"/>
        </w:numPr>
        <w:spacing w:after="80"/>
      </w:pPr>
      <w:r>
        <w:rPr>
          <w:b/>
          <w:bCs/>
          <w:color w:val="1F1F1F"/>
          <w:sz w:val="21"/>
          <w:szCs w:val="21"/>
        </w:rPr>
        <w:t xml:space="preserve">B. LinkedIn / WhatsApp founder/operator/investor outreach → conversation → 30-min live Quorum session → ₹999/month</w:t>
      </w:r>
    </w:p>
    <w:p>
      <w:pPr>
        <w:pStyle w:val="ListParagraph"/>
        <w:numPr>
          <w:ilvl w:val="0"/>
          <w:numId w:val="2"/>
        </w:numPr>
        <w:spacing w:after="80"/>
      </w:pPr>
      <w:r>
        <w:rPr>
          <w:b/>
          <w:bCs/>
          <w:color w:val="1F1F1F"/>
          <w:sz w:val="21"/>
          <w:szCs w:val="21"/>
        </w:rPr>
        <w:t xml:space="preserve">C. Warm / organic comments → profile visibility → website / app → conversation → session</w:t>
      </w:r>
    </w:p>
    <w:p>
      <w:pPr>
        <w:pStyle w:val="Heading3"/>
        <w:spacing w:after="80" w:before="200"/>
      </w:pPr>
      <w:r>
        <w:rPr>
          <w:b/>
          <w:bCs/>
          <w:color w:val="1F1F1F"/>
          <w:sz w:val="22"/>
          <w:szCs w:val="22"/>
        </w:rPr>
        <w:t xml:space="preserve">Current outreach positioning (all channels)</w:t>
      </w:r>
    </w:p>
    <w:p>
      <w:pPr>
        <w:pBdr>
          <w:left w:val="single" w:color="8A6D00" w:sz="18" w:space="8"/>
        </w:pBdr>
        <w:shd w:fill="FFF6D9" w:val="clear"/>
        <w:spacing w:after="200" w:before="100"/>
        <w:ind w:left="100"/>
      </w:pPr>
      <w:r>
        <w:rPr>
          <w:i/>
          <w:iCs/>
          <w:color w:val="1F1F1F"/>
          <w:sz w:val="20"/>
          <w:szCs w:val="20"/>
        </w:rPr>
        <w:t xml:space="preserve">"Quorum helps people read the structure of an important decision before they answer it."</w:t>
      </w:r>
    </w:p>
    <w:p>
      <w:pPr>
        <w:spacing w:after="140"/>
      </w:pPr>
      <w:r>
        <w:rPr>
          <w:color w:val="1F1F1F"/>
          <w:sz w:val="21"/>
          <w:szCs w:val="21"/>
        </w:rPr>
        <w:t xml:space="preserve">Supporting line: "It surfaces hidden constraints, asks better follow-up questions, and helps people think more clearly about high-stakes calls." This is consistent with, and reinforces, the July 7 doc's "Mirror frame outperforms the AI council frame" learning.</w:t>
      </w:r>
    </w:p>
    <w:p>
      <w:pPr>
        <w:pStyle w:val="Heading2"/>
        <w:spacing w:after="120" w:before="260"/>
      </w:pPr>
      <w:r>
        <w:rPr>
          <w:b/>
          <w:bCs/>
          <w:color w:val="8A6D00"/>
          <w:sz w:val="24"/>
          <w:szCs w:val="24"/>
        </w:rPr>
        <w:t xml:space="preserve">5.1 — Meta ₹299 paid-session funnel</w:t>
      </w:r>
    </w:p>
    <w:p>
      <w:pPr>
        <w:spacing w:after="140"/>
      </w:pPr>
      <w:r>
        <w:rPr>
          <w:color w:val="1F1F1F"/>
          <w:sz w:val="21"/>
          <w:szCs w:val="21"/>
        </w:rPr>
        <w:t xml:space="preserve">Creative formats: static image ad and video ad, both currently kept running — the image had good CTR, so it wasn't killed prematurely (this is now a locked decision, see §15).</w:t>
      </w:r>
    </w:p>
    <w:p>
      <w:pPr>
        <w:spacing w:after="140"/>
      </w:pPr>
      <w:r>
        <w:rPr>
          <w:b/>
          <w:bCs/>
        </w:rPr>
        <w:t xml:space="preserve">Creative headline: </w:t>
      </w:r>
      <w:r>
        <w:rPr>
          <w:i/>
          <w:iCs/>
        </w:rPr>
        <w:t xml:space="preserve">“WHAT’S THE DECISION YOU’VE BEEN GOING IN CIRCLES ON?”</w:t>
      </w:r>
    </w:p>
    <w:p>
      <w:pPr>
        <w:spacing w:after="140"/>
      </w:pPr>
      <w:r>
        <w:rPr>
          <w:b/>
          <w:bCs/>
        </w:rPr>
        <w:t xml:space="preserve">Offer copy: </w:t>
      </w:r>
      <w:r>
        <w:rPr>
          <w:i/>
          <w:iCs/>
        </w:rPr>
        <w:t xml:space="preserve">“₹299 · 30-minute live founder-led Decision Session. Refundable if genuinely no value.”</w:t>
      </w:r>
    </w:p>
    <w:p>
      <w:pPr>
        <w:pStyle w:val="Heading3"/>
        <w:spacing w:after="80" w:before="200"/>
      </w:pPr>
      <w:r>
        <w:rPr>
          <w:b/>
          <w:bCs/>
          <w:color w:val="1F1F1F"/>
          <w:sz w:val="22"/>
          <w:szCs w:val="22"/>
        </w:rPr>
        <w:t xml:space="preserve">Conversion data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300"/>
        <w:gridCol w:w="2100"/>
        <w:gridCol w:w="2100"/>
        <w:gridCol w:w="2500"/>
      </w:tblGrid>
      <w:tr>
        <w:trPr>
          <w:tblHeader/>
        </w:trPr>
        <w:tc>
          <w:tcPr>
            <w:tcW w:type="dxa" w:w="3300"/>
            <w:shd w:fill="2B2B2B" w:val="clear"/>
            <w:tcMar>
              <w:top w:type="dxa" w:w="80"/>
              <w:left w:type="dxa" w:w="100"/>
              <w:bottom w:type="dxa" w:w="80"/>
              <w:right w:type="dxa" w:w="100"/>
            </w:tcMar>
            <w:vAlign w:val="center"/>
          </w:tcPr>
          <w:p>
            <w:pPr>
              <w:jc w:val="left"/>
            </w:pPr>
            <w:r>
              <w:rPr>
                <w:b/>
                <w:bCs/>
                <w:color w:val="FFFFFF"/>
                <w:sz w:val="19"/>
                <w:szCs w:val="19"/>
              </w:rPr>
              <w:t xml:space="preserve">Measurement point</w:t>
            </w:r>
          </w:p>
        </w:tc>
        <w:tc>
          <w:tcPr>
            <w:tcW w:type="dxa" w:w="2100"/>
            <w:shd w:fill="2B2B2B" w:val="clear"/>
            <w:tcMar>
              <w:top w:type="dxa" w:w="80"/>
              <w:left w:type="dxa" w:w="100"/>
              <w:bottom w:type="dxa" w:w="80"/>
              <w:right w:type="dxa" w:w="100"/>
            </w:tcMar>
            <w:vAlign w:val="center"/>
          </w:tcPr>
          <w:p>
            <w:pPr>
              <w:jc w:val="left"/>
            </w:pPr>
            <w:r>
              <w:rPr>
                <w:b/>
                <w:bCs/>
                <w:color w:val="FFFFFF"/>
                <w:sz w:val="19"/>
                <w:szCs w:val="19"/>
              </w:rPr>
              <w:t xml:space="preserve">Visitors (/kunal)</w:t>
            </w:r>
          </w:p>
        </w:tc>
        <w:tc>
          <w:tcPr>
            <w:tcW w:type="dxa" w:w="2100"/>
            <w:shd w:fill="2B2B2B" w:val="clear"/>
            <w:tcMar>
              <w:top w:type="dxa" w:w="80"/>
              <w:left w:type="dxa" w:w="100"/>
              <w:bottom w:type="dxa" w:w="80"/>
              <w:right w:type="dxa" w:w="100"/>
            </w:tcMar>
            <w:vAlign w:val="center"/>
          </w:tcPr>
          <w:p>
            <w:pPr>
              <w:jc w:val="left"/>
            </w:pPr>
            <w:r>
              <w:rPr>
                <w:b/>
                <w:bCs/>
                <w:color w:val="FFFFFF"/>
                <w:sz w:val="19"/>
                <w:szCs w:val="19"/>
              </w:rPr>
              <w:t xml:space="preserve">Paid sessions</w:t>
            </w:r>
          </w:p>
        </w:tc>
        <w:tc>
          <w:tcPr>
            <w:tcW w:type="dxa" w:w="2500"/>
            <w:shd w:fill="2B2B2B" w:val="clear"/>
            <w:tcMar>
              <w:top w:type="dxa" w:w="80"/>
              <w:left w:type="dxa" w:w="100"/>
              <w:bottom w:type="dxa" w:w="80"/>
              <w:right w:type="dxa" w:w="100"/>
            </w:tcMar>
            <w:vAlign w:val="center"/>
          </w:tcPr>
          <w:p>
            <w:pPr>
              <w:jc w:val="left"/>
            </w:pPr>
            <w:r>
              <w:rPr>
                <w:b/>
                <w:bCs/>
                <w:color w:val="FFFFFF"/>
                <w:sz w:val="19"/>
                <w:szCs w:val="19"/>
              </w:rPr>
              <w:t xml:space="preserve">Visitor → paid booking</w:t>
            </w:r>
          </w:p>
        </w:tc>
      </w:tr>
      <w:tr>
        <w:tc>
          <w:tcPr>
            <w:tcW w:type="dxa" w:w="3300"/>
            <w:shd w:fill="F7F7F7" w:val="clear"/>
            <w:tcMar>
              <w:top w:type="dxa" w:w="80"/>
              <w:left w:type="dxa" w:w="100"/>
              <w:bottom w:type="dxa" w:w="80"/>
              <w:right w:type="dxa" w:w="100"/>
            </w:tcMar>
            <w:vAlign w:val="center"/>
          </w:tcPr>
          <w:p>
            <w:pPr>
              <w:jc w:val="left"/>
            </w:pPr>
            <w:r>
              <w:rPr>
                <w:color w:val="1F1F1F"/>
                <w:sz w:val="19"/>
                <w:szCs w:val="19"/>
              </w:rPr>
              <w:t xml:space="preserve">Earlier</w:t>
            </w:r>
          </w:p>
        </w:tc>
        <w:tc>
          <w:tcPr>
            <w:tcW w:type="dxa" w:w="2100"/>
            <w:shd w:fill="F7F7F7" w:val="clear"/>
            <w:tcMar>
              <w:top w:type="dxa" w:w="80"/>
              <w:left w:type="dxa" w:w="100"/>
              <w:bottom w:type="dxa" w:w="80"/>
              <w:right w:type="dxa" w:w="100"/>
            </w:tcMar>
            <w:vAlign w:val="center"/>
          </w:tcPr>
          <w:p>
            <w:pPr>
              <w:jc w:val="left"/>
            </w:pPr>
            <w:r>
              <w:rPr>
                <w:color w:val="1F1F1F"/>
                <w:sz w:val="19"/>
                <w:szCs w:val="19"/>
              </w:rPr>
              <w:t xml:space="preserve">~120</w:t>
            </w:r>
          </w:p>
        </w:tc>
        <w:tc>
          <w:tcPr>
            <w:tcW w:type="dxa" w:w="2100"/>
            <w:shd w:fill="F7F7F7" w:val="clear"/>
            <w:tcMar>
              <w:top w:type="dxa" w:w="80"/>
              <w:left w:type="dxa" w:w="100"/>
              <w:bottom w:type="dxa" w:w="80"/>
              <w:right w:type="dxa" w:w="100"/>
            </w:tcMar>
            <w:vAlign w:val="center"/>
          </w:tcPr>
          <w:p>
            <w:pPr>
              <w:jc w:val="left"/>
            </w:pPr>
            <w:r>
              <w:rPr>
                <w:color w:val="1F1F1F"/>
                <w:sz w:val="19"/>
                <w:szCs w:val="19"/>
              </w:rPr>
              <w:t xml:space="preserve">2</w:t>
            </w:r>
          </w:p>
        </w:tc>
        <w:tc>
          <w:tcPr>
            <w:tcW w:type="dxa" w:w="2500"/>
            <w:shd w:fill="F7F7F7" w:val="clear"/>
            <w:tcMar>
              <w:top w:type="dxa" w:w="80"/>
              <w:left w:type="dxa" w:w="100"/>
              <w:bottom w:type="dxa" w:w="80"/>
              <w:right w:type="dxa" w:w="100"/>
            </w:tcMar>
            <w:vAlign w:val="center"/>
          </w:tcPr>
          <w:p>
            <w:pPr>
              <w:jc w:val="left"/>
            </w:pPr>
            <w:r>
              <w:rPr>
                <w:color w:val="1F1F1F"/>
                <w:sz w:val="19"/>
                <w:szCs w:val="19"/>
              </w:rPr>
              <w:t xml:space="preserve">~1.67%</w:t>
            </w:r>
          </w:p>
        </w:tc>
      </w:tr>
      <w:tr>
        <w:tc>
          <w:tcPr>
            <w:tcW w:type="dxa" w:w="3300"/>
            <w:tcMar>
              <w:top w:type="dxa" w:w="80"/>
              <w:left w:type="dxa" w:w="100"/>
              <w:bottom w:type="dxa" w:w="80"/>
              <w:right w:type="dxa" w:w="100"/>
            </w:tcMar>
            <w:vAlign w:val="center"/>
          </w:tcPr>
          <w:p>
            <w:pPr>
              <w:jc w:val="left"/>
            </w:pPr>
            <w:r>
              <w:rPr>
                <w:color w:val="1F1F1F"/>
                <w:sz w:val="19"/>
                <w:szCs w:val="19"/>
              </w:rPr>
              <w:t xml:space="preserve">Later</w:t>
            </w:r>
          </w:p>
        </w:tc>
        <w:tc>
          <w:tcPr>
            <w:tcW w:type="dxa" w:w="2100"/>
            <w:tcMar>
              <w:top w:type="dxa" w:w="80"/>
              <w:left w:type="dxa" w:w="100"/>
              <w:bottom w:type="dxa" w:w="80"/>
              <w:right w:type="dxa" w:w="100"/>
            </w:tcMar>
            <w:vAlign w:val="center"/>
          </w:tcPr>
          <w:p>
            <w:pPr>
              <w:jc w:val="left"/>
            </w:pPr>
            <w:r>
              <w:rPr>
                <w:color w:val="1F1F1F"/>
                <w:sz w:val="19"/>
                <w:szCs w:val="19"/>
              </w:rPr>
              <w:t xml:space="preserve">~400</w:t>
            </w:r>
          </w:p>
        </w:tc>
        <w:tc>
          <w:tcPr>
            <w:tcW w:type="dxa" w:w="2100"/>
            <w:tcMar>
              <w:top w:type="dxa" w:w="80"/>
              <w:left w:type="dxa" w:w="100"/>
              <w:bottom w:type="dxa" w:w="80"/>
              <w:right w:type="dxa" w:w="100"/>
            </w:tcMar>
            <w:vAlign w:val="center"/>
          </w:tcPr>
          <w:p>
            <w:pPr>
              <w:jc w:val="left"/>
            </w:pPr>
            <w:r>
              <w:rPr>
                <w:color w:val="1F1F1F"/>
                <w:sz w:val="19"/>
                <w:szCs w:val="19"/>
              </w:rPr>
              <w:t xml:space="preserve">2</w:t>
            </w:r>
          </w:p>
        </w:tc>
        <w:tc>
          <w:tcPr>
            <w:tcW w:type="dxa" w:w="2500"/>
            <w:tcMar>
              <w:top w:type="dxa" w:w="80"/>
              <w:left w:type="dxa" w:w="100"/>
              <w:bottom w:type="dxa" w:w="80"/>
              <w:right w:type="dxa" w:w="100"/>
            </w:tcMar>
            <w:vAlign w:val="center"/>
          </w:tcPr>
          <w:p>
            <w:pPr>
              <w:jc w:val="left"/>
            </w:pPr>
            <w:r>
              <w:rPr>
                <w:color w:val="1F1F1F"/>
                <w:sz w:val="19"/>
                <w:szCs w:val="19"/>
              </w:rPr>
              <w:t xml:space="preserve">~0.5%</w:t>
            </w:r>
          </w:p>
        </w:tc>
      </w:tr>
    </w:tbl>
    <w:p>
      <w:pPr>
        <w:spacing w:after="160"/>
      </w:pPr>
      <w:r>
        <w:rPr>
          <w:color w:val="1F1F1F"/>
          <w:sz w:val="21"/>
          <w:szCs w:val="21"/>
        </w:rPr>
        <w:t xml:space="preserve">Reading: traffic roughly tripled while bookings stayed flat, which means the current bottleneck is landing-page → booking conversion, not traffic volume. Fixing the page/offer between the visitor and the booking action is the higher-leverage move right now than spending more on reach.</w:t>
      </w:r>
    </w:p>
    <w:p>
      <w:pPr>
        <w:pStyle w:val="Heading3"/>
        <w:spacing w:after="80" w:before="200"/>
      </w:pPr>
      <w:r>
        <w:rPr>
          <w:b/>
          <w:bCs/>
          <w:color w:val="1F1F1F"/>
          <w:sz w:val="22"/>
          <w:szCs w:val="22"/>
        </w:rPr>
        <w:t xml:space="preserve">Technical setup</w:t>
      </w:r>
    </w:p>
    <w:p>
      <w:pPr>
        <w:spacing w:after="140"/>
      </w:pPr>
      <w:r>
        <w:rPr>
          <w:color w:val="1F1F1F"/>
          <w:sz w:val="21"/>
          <w:szCs w:val="21"/>
        </w:rPr>
        <w:t xml:space="preserve">The Quorum Meta Dataset/Pixel is working. Events observed: PageView, ViewContent, InitiateCheckout, Purchase. The Purchase event was fixed and validated after the Razorpay payment flow. Per code, this pixel is deliberately kept separate from the free-tier funnel's pixel ("different Railway project/codebase — do not merge the two" — lib/meta-pixel.ts) — worth being aware of when reconciling ad platform numbers, since the two funnels won't show up under one pixel/dataset.</w:t>
      </w:r>
    </w:p>
    <w:p>
      <w:pPr>
        <w:pStyle w:val="Heading2"/>
        <w:spacing w:after="120" w:before="260"/>
      </w:pPr>
      <w:r>
        <w:rPr>
          <w:b/>
          <w:bCs/>
          <w:color w:val="8A6D00"/>
          <w:sz w:val="24"/>
          <w:szCs w:val="24"/>
        </w:rPr>
        <w:t xml:space="preserve">5.2 — Free-tier Meta funnel (new)</w:t>
      </w:r>
    </w:p>
    <w:p>
      <w:pPr>
        <w:spacing w:after="140"/>
      </w:pPr>
      <w:r>
        <w:rPr>
          <w:color w:val="1F1F1F"/>
          <w:sz w:val="21"/>
          <w:szCs w:val="21"/>
        </w:rPr>
        <w:t xml:space="preserve">Decision made to add a second acquisition funnel rather than kill the ₹299 campaign. New funnel: Meta → Free Quorum → Google/email activation → first decision → repeat usage → ₹299/₹999 conversion. Uses the same overall Meta infrastructure, with a CompleteRegistration-style activation event.</w:t>
      </w:r>
    </w:p>
    <w:p>
      <w:pPr>
        <w:spacing w:after="140"/>
      </w:pPr>
      <w:r>
        <w:rPr>
          <w:b/>
          <w:bCs/>
        </w:rPr>
        <w:t xml:space="preserve">Free-ad headline: </w:t>
      </w:r>
      <w:r>
        <w:rPr>
          <w:i/>
          <w:iCs/>
        </w:rPr>
        <w:t xml:space="preserve">“You’ve asked everyone. You’re still not sure.”</w:t>
      </w:r>
    </w:p>
    <w:p>
      <w:pPr>
        <w:spacing w:after="140"/>
      </w:pPr>
      <w:r>
        <w:rPr>
          <w:color w:val="1F1F1F"/>
          <w:sz w:val="21"/>
          <w:szCs w:val="21"/>
        </w:rPr>
        <w:t xml:space="preserve">Core idea: more opinions ≠ more clarity.</w:t>
      </w:r>
    </w:p>
    <w:p>
      <w:pPr>
        <w:spacing w:after="140"/>
      </w:pPr>
      <w:r>
        <w:rPr>
          <w:b/>
          <w:bCs/>
        </w:rPr>
        <w:t xml:space="preserve">Current free-ad direction: </w:t>
      </w:r>
      <w:r>
        <w:rPr>
          <w:i/>
          <w:iCs/>
        </w:rPr>
        <w:t xml:space="preserve">“Understand the decision first. Try Quorum free.”</w:t>
      </w:r>
    </w:p>
    <w:p>
      <w:pPr>
        <w:pBdr>
          <w:left w:val="single" w:color="8A6D00" w:sz="18" w:space="8"/>
        </w:pBdr>
        <w:shd w:fill="FFF6D9" w:val="clear"/>
        <w:spacing w:after="200" w:before="100"/>
        <w:ind w:left="100"/>
      </w:pPr>
      <w:r>
        <w:rPr>
          <w:i/>
          <w:iCs/>
          <w:color w:val="1F1F1F"/>
          <w:sz w:val="20"/>
          <w:szCs w:val="20"/>
        </w:rPr>
        <w:t xml:space="preserve">Purpose confirmed with the founder (Aug 13): this funnel exists to drive DAU, not to test price sensitivity. The product already converts free users to paid effectively once they're in and using it, so the job of the free tier is to widen the top of that funnel — it's additive to the ₹299 funnel, not a referendum on it. This also resolves the earlier open question about how the free-tier funnel relates to the “never offer free trials to pipeline leads” / “never share the link before a session” rules: it's cold, self-serve acquisition traffic, a different motion entirely from a worked pipeline lead, so those rules aren't in tension with it.</w:t>
      </w:r>
    </w:p>
    <w:p>
      <w:pPr>
        <w:pStyle w:val="Heading1"/>
        <w:pBdr>
          <w:bottom w:val="single" w:color="8A6D00" w:sz="8" w:space="4"/>
        </w:pBdr>
        <w:spacing w:after="160" w:before="360"/>
      </w:pPr>
      <w:r>
        <w:rPr>
          <w:b/>
          <w:bCs/>
          <w:color w:val="1F1F1F"/>
          <w:sz w:val="30"/>
          <w:szCs w:val="30"/>
        </w:rPr>
        <w:t xml:space="preserve">6. Active Pipeline — Track 1 Lead Board (as of Aug 11, 2026)</w:t>
      </w:r>
    </w:p>
    <w:p>
      <w:pPr>
        <w:spacing w:after="140"/>
      </w:pPr>
      <w:r>
        <w:rPr>
          <w:color w:val="1F1F1F"/>
          <w:sz w:val="21"/>
          <w:szCs w:val="21"/>
        </w:rPr>
        <w:t xml:space="preserve">This replaces the July 7 pipeline tables (§5 of the original doc — Girish, Gagan, Sujitesh, Navneet, etc.), none of whom are mentioned in the Aug 11 update. That doesn't mean those threads are dead — it means this update didn't touch them. See §9–10 for how to treat that older pipeline.</w:t>
      </w:r>
    </w:p>
    <w:p>
      <w:pPr>
        <w:pStyle w:val="Heading3"/>
        <w:spacing w:after="80" w:before="200"/>
      </w:pPr>
      <w:r>
        <w:rPr>
          <w:b/>
          <w:bCs/>
          <w:color w:val="1F1F1F"/>
          <w:sz w:val="22"/>
          <w:szCs w:val="22"/>
        </w:rPr>
        <w:t xml:space="preserve">🟢 High intent / active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rPr>
          <w:tblHeader/>
        </w:trPr>
        <w:tc>
          <w:tcPr>
            <w:tcW w:type="dxa" w:w="2500"/>
            <w:shd w:fill="2B2B2B" w:val="clear"/>
            <w:tcMar>
              <w:top w:type="dxa" w:w="80"/>
              <w:left w:type="dxa" w:w="100"/>
              <w:bottom w:type="dxa" w:w="80"/>
              <w:right w:type="dxa" w:w="100"/>
            </w:tcMar>
            <w:vAlign w:val="center"/>
          </w:tcPr>
          <w:p>
            <w:pPr>
              <w:jc w:val="left"/>
            </w:pPr>
            <w:r>
              <w:rPr>
                <w:b/>
                <w:bCs/>
                <w:color w:val="FFFFFF"/>
                <w:sz w:val="19"/>
                <w:szCs w:val="19"/>
              </w:rPr>
              <w:t xml:space="preserve">Person</w:t>
            </w:r>
          </w:p>
        </w:tc>
        <w:tc>
          <w:tcPr>
            <w:tcW w:type="dxa" w:w="7000"/>
            <w:shd w:fill="2B2B2B" w:val="clear"/>
            <w:tcMar>
              <w:top w:type="dxa" w:w="80"/>
              <w:left w:type="dxa" w:w="100"/>
              <w:bottom w:type="dxa" w:w="80"/>
              <w:right w:type="dxa" w:w="100"/>
            </w:tcMar>
            <w:vAlign w:val="center"/>
          </w:tcPr>
          <w:p>
            <w:pPr>
              <w:jc w:val="left"/>
            </w:pPr>
            <w:r>
              <w:rPr>
                <w:b/>
                <w:bCs/>
                <w:color w:val="FFFFFF"/>
                <w:sz w:val="19"/>
                <w:szCs w:val="19"/>
              </w:rPr>
              <w:t xml:space="preserve">Status</w:t>
            </w:r>
          </w:p>
        </w:tc>
      </w:tr>
      <w:tr>
        <w:tc>
          <w:tcPr>
            <w:tcW w:type="dxa" w:w="2500"/>
            <w:shd w:fill="F7F7F7" w:val="clear"/>
            <w:tcMar>
              <w:top w:type="dxa" w:w="80"/>
              <w:left w:type="dxa" w:w="100"/>
              <w:bottom w:type="dxa" w:w="80"/>
              <w:right w:type="dxa" w:w="100"/>
            </w:tcMar>
            <w:vAlign w:val="center"/>
          </w:tcPr>
          <w:p>
            <w:pPr>
              <w:jc w:val="left"/>
            </w:pPr>
            <w:r>
              <w:rPr>
                <w:color w:val="1F1F1F"/>
                <w:sz w:val="19"/>
                <w:szCs w:val="19"/>
              </w:rPr>
              <w:t xml:space="preserve">Mayank Sharma</w:t>
            </w:r>
          </w:p>
        </w:tc>
        <w:tc>
          <w:tcPr>
            <w:tcW w:type="dxa" w:w="7000"/>
            <w:shd w:fill="F7F7F7" w:val="clear"/>
            <w:tcMar>
              <w:top w:type="dxa" w:w="80"/>
              <w:left w:type="dxa" w:w="100"/>
              <w:bottom w:type="dxa" w:w="80"/>
              <w:right w:type="dxa" w:w="100"/>
            </w:tcMar>
            <w:vAlign w:val="center"/>
          </w:tcPr>
          <w:p>
            <w:pPr>
              <w:jc w:val="left"/>
            </w:pPr>
            <w:r>
              <w:rPr>
                <w:color w:val="1F1F1F"/>
                <w:sz w:val="19"/>
                <w:szCs w:val="19"/>
              </w:rPr>
              <w:t xml:space="preserve">Explicit intent to subscribe via wife's account. Highest-probability first ₹999 conversion.</w:t>
            </w:r>
          </w:p>
        </w:tc>
      </w:tr>
      <w:tr>
        <w:tc>
          <w:tcPr>
            <w:tcW w:type="dxa" w:w="2500"/>
            <w:tcMar>
              <w:top w:type="dxa" w:w="80"/>
              <w:left w:type="dxa" w:w="100"/>
              <w:bottom w:type="dxa" w:w="80"/>
              <w:right w:type="dxa" w:w="100"/>
            </w:tcMar>
            <w:vAlign w:val="center"/>
          </w:tcPr>
          <w:p>
            <w:pPr>
              <w:jc w:val="left"/>
            </w:pPr>
            <w:r>
              <w:rPr>
                <w:color w:val="1F1F1F"/>
                <w:sz w:val="19"/>
                <w:szCs w:val="19"/>
              </w:rPr>
              <w:t xml:space="preserve">Arunjot K</w:t>
            </w:r>
          </w:p>
        </w:tc>
        <w:tc>
          <w:tcPr>
            <w:tcW w:type="dxa" w:w="7000"/>
            <w:tcMar>
              <w:top w:type="dxa" w:w="80"/>
              <w:left w:type="dxa" w:w="100"/>
              <w:bottom w:type="dxa" w:w="80"/>
              <w:right w:type="dxa" w:w="100"/>
            </w:tcMar>
            <w:vAlign w:val="center"/>
          </w:tcPr>
          <w:p>
            <w:pPr>
              <w:jc w:val="left"/>
            </w:pPr>
            <w:r>
              <w:rPr>
                <w:color w:val="1F1F1F"/>
                <w:sz w:val="19"/>
                <w:szCs w:val="19"/>
              </w:rPr>
              <w:t xml:space="preserve">Paid ₹299, booked. Highest-priority live conversion opportunity right now.</w:t>
            </w:r>
          </w:p>
        </w:tc>
      </w:tr>
      <w:tr>
        <w:tc>
          <w:tcPr>
            <w:tcW w:type="dxa" w:w="2500"/>
            <w:shd w:fill="F7F7F7" w:val="clear"/>
            <w:tcMar>
              <w:top w:type="dxa" w:w="80"/>
              <w:left w:type="dxa" w:w="100"/>
              <w:bottom w:type="dxa" w:w="80"/>
              <w:right w:type="dxa" w:w="100"/>
            </w:tcMar>
            <w:vAlign w:val="center"/>
          </w:tcPr>
          <w:p>
            <w:pPr>
              <w:jc w:val="left"/>
            </w:pPr>
            <w:r>
              <w:rPr>
                <w:color w:val="1F1F1F"/>
                <w:sz w:val="19"/>
                <w:szCs w:val="19"/>
              </w:rPr>
              <w:t xml:space="preserve">Neeta</w:t>
            </w:r>
          </w:p>
        </w:tc>
        <w:tc>
          <w:tcPr>
            <w:tcW w:type="dxa" w:w="7000"/>
            <w:shd w:fill="F7F7F7" w:val="clear"/>
            <w:tcMar>
              <w:top w:type="dxa" w:w="80"/>
              <w:left w:type="dxa" w:w="100"/>
              <w:bottom w:type="dxa" w:w="80"/>
              <w:right w:type="dxa" w:w="100"/>
            </w:tcMar>
            <w:vAlign w:val="center"/>
          </w:tcPr>
          <w:p>
            <w:pPr>
              <w:jc w:val="left"/>
            </w:pPr>
            <w:r>
              <w:rPr>
                <w:color w:val="1F1F1F"/>
                <w:sz w:val="19"/>
                <w:szCs w:val="19"/>
              </w:rPr>
              <w:t xml:space="preserve">Paid ₹299, session completed and well-received. No subscription yet.</w:t>
            </w:r>
          </w:p>
        </w:tc>
      </w:tr>
      <w:tr>
        <w:tc>
          <w:tcPr>
            <w:tcW w:type="dxa" w:w="2500"/>
            <w:tcMar>
              <w:top w:type="dxa" w:w="80"/>
              <w:left w:type="dxa" w:w="100"/>
              <w:bottom w:type="dxa" w:w="80"/>
              <w:right w:type="dxa" w:w="100"/>
            </w:tcMar>
            <w:vAlign w:val="center"/>
          </w:tcPr>
          <w:p>
            <w:pPr>
              <w:jc w:val="left"/>
            </w:pPr>
            <w:r>
              <w:rPr>
                <w:color w:val="1F1F1F"/>
                <w:sz w:val="19"/>
                <w:szCs w:val="19"/>
              </w:rPr>
              <w:t xml:space="preserve">Kamal Kishore Avutapalli</w:t>
            </w:r>
          </w:p>
        </w:tc>
        <w:tc>
          <w:tcPr>
            <w:tcW w:type="dxa" w:w="7000"/>
            <w:tcMar>
              <w:top w:type="dxa" w:w="80"/>
              <w:left w:type="dxa" w:w="100"/>
              <w:bottom w:type="dxa" w:w="80"/>
              <w:right w:type="dxa" w:w="100"/>
            </w:tcMar>
            <w:vAlign w:val="center"/>
          </w:tcPr>
          <w:p>
            <w:pPr>
              <w:jc w:val="left"/>
            </w:pPr>
            <w:r>
              <w:rPr>
                <w:color w:val="1F1F1F"/>
                <w:sz w:val="19"/>
                <w:szCs w:val="19"/>
              </w:rPr>
              <w:t xml:space="preserve">Founder-to-founder conversation, reframed away from a transactional ₹299 ask.</w:t>
            </w:r>
          </w:p>
        </w:tc>
      </w:tr>
      <w:tr>
        <w:tc>
          <w:tcPr>
            <w:tcW w:type="dxa" w:w="2500"/>
            <w:shd w:fill="F7F7F7" w:val="clear"/>
            <w:tcMar>
              <w:top w:type="dxa" w:w="80"/>
              <w:left w:type="dxa" w:w="100"/>
              <w:bottom w:type="dxa" w:w="80"/>
              <w:right w:type="dxa" w:w="100"/>
            </w:tcMar>
            <w:vAlign w:val="center"/>
          </w:tcPr>
          <w:p>
            <w:pPr>
              <w:jc w:val="left"/>
            </w:pPr>
            <w:r>
              <w:rPr>
                <w:color w:val="1F1F1F"/>
                <w:sz w:val="19"/>
                <w:szCs w:val="19"/>
              </w:rPr>
              <w:t xml:space="preserve">Shivi Sharma</w:t>
            </w:r>
          </w:p>
        </w:tc>
        <w:tc>
          <w:tcPr>
            <w:tcW w:type="dxa" w:w="7000"/>
            <w:shd w:fill="F7F7F7" w:val="clear"/>
            <w:tcMar>
              <w:top w:type="dxa" w:w="80"/>
              <w:left w:type="dxa" w:w="100"/>
              <w:bottom w:type="dxa" w:w="80"/>
              <w:right w:type="dxa" w:w="100"/>
            </w:tcMar>
            <w:vAlign w:val="center"/>
          </w:tcPr>
          <w:p>
            <w:pPr>
              <w:jc w:val="left"/>
            </w:pPr>
            <w:r>
              <w:rPr>
                <w:color w:val="1F1F1F"/>
                <w:sz w:val="19"/>
                <w:szCs w:val="19"/>
              </w:rPr>
              <w:t xml:space="preserve">Strong founder ICP, warm college connection, new outreach.</w:t>
            </w:r>
          </w:p>
        </w:tc>
      </w:tr>
      <w:tr>
        <w:tc>
          <w:tcPr>
            <w:tcW w:type="dxa" w:w="2500"/>
            <w:tcMar>
              <w:top w:type="dxa" w:w="80"/>
              <w:left w:type="dxa" w:w="100"/>
              <w:bottom w:type="dxa" w:w="80"/>
              <w:right w:type="dxa" w:w="100"/>
            </w:tcMar>
            <w:vAlign w:val="center"/>
          </w:tcPr>
          <w:p>
            <w:pPr>
              <w:jc w:val="left"/>
            </w:pPr>
            <w:r>
              <w:rPr>
                <w:color w:val="1F1F1F"/>
                <w:sz w:val="19"/>
                <w:szCs w:val="19"/>
              </w:rPr>
              <w:t xml:space="preserve">Nishit Agarwal</w:t>
            </w:r>
          </w:p>
        </w:tc>
        <w:tc>
          <w:tcPr>
            <w:tcW w:type="dxa" w:w="7000"/>
            <w:tcMar>
              <w:top w:type="dxa" w:w="80"/>
              <w:left w:type="dxa" w:w="100"/>
              <w:bottom w:type="dxa" w:w="80"/>
              <w:right w:type="dxa" w:w="100"/>
            </w:tcMar>
            <w:vAlign w:val="center"/>
          </w:tcPr>
          <w:p>
            <w:pPr>
              <w:jc w:val="left"/>
            </w:pPr>
            <w:r>
              <w:rPr>
                <w:color w:val="1F1F1F"/>
                <w:sz w:val="19"/>
                <w:szCs w:val="19"/>
              </w:rPr>
              <w:t xml:space="preserve">High-value HNI/advisor channel potential — SEBI-registered stock broker, 500+ crore advised.</w:t>
            </w:r>
          </w:p>
        </w:tc>
      </w:tr>
    </w:tbl>
    <w:p>
      <w:pPr>
        <w:spacing w:after="120"/>
      </w:pPr>
    </w:p>
    <w:p>
      <w:pPr>
        <w:pStyle w:val="Heading3"/>
        <w:spacing w:after="80" w:before="200"/>
      </w:pPr>
      <w:r>
        <w:rPr>
          <w:b/>
          <w:bCs/>
          <w:color w:val="1F1F1F"/>
          <w:sz w:val="22"/>
          <w:szCs w:val="22"/>
        </w:rPr>
        <w:t xml:space="preserve">🟡 Warm / waiting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rPr>
          <w:tblHeader/>
        </w:trPr>
        <w:tc>
          <w:tcPr>
            <w:tcW w:type="dxa" w:w="2500"/>
            <w:shd w:fill="2B2B2B" w:val="clear"/>
            <w:tcMar>
              <w:top w:type="dxa" w:w="80"/>
              <w:left w:type="dxa" w:w="100"/>
              <w:bottom w:type="dxa" w:w="80"/>
              <w:right w:type="dxa" w:w="100"/>
            </w:tcMar>
            <w:vAlign w:val="center"/>
          </w:tcPr>
          <w:p>
            <w:pPr>
              <w:jc w:val="left"/>
            </w:pPr>
            <w:r>
              <w:rPr>
                <w:b/>
                <w:bCs/>
                <w:color w:val="FFFFFF"/>
                <w:sz w:val="19"/>
                <w:szCs w:val="19"/>
              </w:rPr>
              <w:t xml:space="preserve">Person</w:t>
            </w:r>
          </w:p>
        </w:tc>
        <w:tc>
          <w:tcPr>
            <w:tcW w:type="dxa" w:w="7000"/>
            <w:shd w:fill="2B2B2B" w:val="clear"/>
            <w:tcMar>
              <w:top w:type="dxa" w:w="80"/>
              <w:left w:type="dxa" w:w="100"/>
              <w:bottom w:type="dxa" w:w="80"/>
              <w:right w:type="dxa" w:w="100"/>
            </w:tcMar>
            <w:vAlign w:val="center"/>
          </w:tcPr>
          <w:p>
            <w:pPr>
              <w:jc w:val="left"/>
            </w:pPr>
            <w:r>
              <w:rPr>
                <w:b/>
                <w:bCs/>
                <w:color w:val="FFFFFF"/>
                <w:sz w:val="19"/>
                <w:szCs w:val="19"/>
              </w:rPr>
              <w:t xml:space="preserve">Status</w:t>
            </w:r>
          </w:p>
        </w:tc>
      </w:tr>
      <w:tr>
        <w:tc>
          <w:tcPr>
            <w:tcW w:type="dxa" w:w="2500"/>
            <w:shd w:fill="F7F7F7" w:val="clear"/>
            <w:tcMar>
              <w:top w:type="dxa" w:w="80"/>
              <w:left w:type="dxa" w:w="100"/>
              <w:bottom w:type="dxa" w:w="80"/>
              <w:right w:type="dxa" w:w="100"/>
            </w:tcMar>
            <w:vAlign w:val="center"/>
          </w:tcPr>
          <w:p>
            <w:pPr>
              <w:jc w:val="left"/>
            </w:pPr>
            <w:r>
              <w:rPr>
                <w:color w:val="1F1F1F"/>
                <w:sz w:val="19"/>
                <w:szCs w:val="19"/>
              </w:rPr>
              <w:t xml:space="preserve">Simarjit Singh Gandhi</w:t>
            </w:r>
          </w:p>
        </w:tc>
        <w:tc>
          <w:tcPr>
            <w:tcW w:type="dxa" w:w="7000"/>
            <w:shd w:fill="F7F7F7" w:val="clear"/>
            <w:tcMar>
              <w:top w:type="dxa" w:w="80"/>
              <w:left w:type="dxa" w:w="100"/>
              <w:bottom w:type="dxa" w:w="80"/>
              <w:right w:type="dxa" w:w="100"/>
            </w:tcMar>
            <w:vAlign w:val="center"/>
          </w:tcPr>
          <w:p>
            <w:pPr>
              <w:jc w:val="left"/>
            </w:pPr>
            <w:r>
              <w:rPr>
                <w:color w:val="1F1F1F"/>
                <w:sz w:val="19"/>
                <w:szCs w:val="19"/>
              </w:rPr>
              <w:t xml:space="preserve">Interested but inactive. Already followed up enough — leave alone 5–7 days before a final low-pressure close-the-loop note.</w:t>
            </w:r>
          </w:p>
        </w:tc>
      </w:tr>
      <w:tr>
        <w:tc>
          <w:tcPr>
            <w:tcW w:type="dxa" w:w="2500"/>
            <w:tcMar>
              <w:top w:type="dxa" w:w="80"/>
              <w:left w:type="dxa" w:w="100"/>
              <w:bottom w:type="dxa" w:w="80"/>
              <w:right w:type="dxa" w:w="100"/>
            </w:tcMar>
            <w:vAlign w:val="center"/>
          </w:tcPr>
          <w:p>
            <w:pPr>
              <w:jc w:val="left"/>
            </w:pPr>
            <w:r>
              <w:rPr>
                <w:color w:val="1F1F1F"/>
                <w:sz w:val="19"/>
                <w:szCs w:val="19"/>
              </w:rPr>
              <w:t xml:space="preserve">Prakhar</w:t>
            </w:r>
          </w:p>
        </w:tc>
        <w:tc>
          <w:tcPr>
            <w:tcW w:type="dxa" w:w="7000"/>
            <w:tcMar>
              <w:top w:type="dxa" w:w="80"/>
              <w:left w:type="dxa" w:w="100"/>
              <w:bottom w:type="dxa" w:w="80"/>
              <w:right w:type="dxa" w:w="100"/>
            </w:tcMar>
            <w:vAlign w:val="center"/>
          </w:tcPr>
          <w:p>
            <w:pPr>
              <w:jc w:val="left"/>
            </w:pPr>
            <w:r>
              <w:rPr>
                <w:color w:val="1F1F1F"/>
                <w:sz w:val="19"/>
                <w:szCs w:val="19"/>
              </w:rPr>
              <w:t xml:space="preserve">Replied positively; being moved toward a 30-min live session rather than async feedback.</w:t>
            </w:r>
          </w:p>
        </w:tc>
      </w:tr>
      <w:tr>
        <w:tc>
          <w:tcPr>
            <w:tcW w:type="dxa" w:w="2500"/>
            <w:shd w:fill="F7F7F7" w:val="clear"/>
            <w:tcMar>
              <w:top w:type="dxa" w:w="80"/>
              <w:left w:type="dxa" w:w="100"/>
              <w:bottom w:type="dxa" w:w="80"/>
              <w:right w:type="dxa" w:w="100"/>
            </w:tcMar>
            <w:vAlign w:val="center"/>
          </w:tcPr>
          <w:p>
            <w:pPr>
              <w:jc w:val="left"/>
            </w:pPr>
            <w:r>
              <w:rPr>
                <w:color w:val="1F1F1F"/>
                <w:sz w:val="19"/>
                <w:szCs w:val="19"/>
              </w:rPr>
              <w:t xml:space="preserve">Naotaka Nishiyama</w:t>
            </w:r>
          </w:p>
        </w:tc>
        <w:tc>
          <w:tcPr>
            <w:tcW w:type="dxa" w:w="7000"/>
            <w:shd w:fill="F7F7F7" w:val="clear"/>
            <w:tcMar>
              <w:top w:type="dxa" w:w="80"/>
              <w:left w:type="dxa" w:w="100"/>
              <w:bottom w:type="dxa" w:w="80"/>
              <w:right w:type="dxa" w:w="100"/>
            </w:tcMar>
            <w:vAlign w:val="center"/>
          </w:tcPr>
          <w:p>
            <w:pPr>
              <w:jc w:val="left"/>
            </w:pPr>
            <w:r>
              <w:rPr>
                <w:color w:val="1F1F1F"/>
                <w:sz w:val="19"/>
                <w:szCs w:val="19"/>
              </w:rPr>
              <w:t xml:space="preserve">Warm organic lead, replied positively to a LinkedIn comment, DM sent with app link + founder card.</w:t>
            </w:r>
          </w:p>
        </w:tc>
      </w:tr>
      <w:tr>
        <w:tc>
          <w:tcPr>
            <w:tcW w:type="dxa" w:w="2500"/>
            <w:tcMar>
              <w:top w:type="dxa" w:w="80"/>
              <w:left w:type="dxa" w:w="100"/>
              <w:bottom w:type="dxa" w:w="80"/>
              <w:right w:type="dxa" w:w="100"/>
            </w:tcMar>
            <w:vAlign w:val="center"/>
          </w:tcPr>
          <w:p>
            <w:pPr>
              <w:jc w:val="left"/>
            </w:pPr>
            <w:r>
              <w:rPr>
                <w:color w:val="1F1F1F"/>
                <w:sz w:val="19"/>
                <w:szCs w:val="19"/>
              </w:rPr>
              <w:t xml:space="preserve">Rohan Kumar Chaudhary</w:t>
            </w:r>
          </w:p>
        </w:tc>
        <w:tc>
          <w:tcPr>
            <w:tcW w:type="dxa" w:w="7000"/>
            <w:tcMar>
              <w:top w:type="dxa" w:w="80"/>
              <w:left w:type="dxa" w:w="100"/>
              <w:bottom w:type="dxa" w:w="80"/>
              <w:right w:type="dxa" w:w="100"/>
            </w:tcMar>
            <w:vAlign w:val="center"/>
          </w:tcPr>
          <w:p>
            <w:pPr>
              <w:jc w:val="left"/>
            </w:pPr>
            <w:r>
              <w:rPr>
                <w:color w:val="1F1F1F"/>
                <w:sz w:val="19"/>
                <w:szCs w:val="19"/>
              </w:rPr>
              <w:t xml:space="preserve">New organic lead via a thoughtful reply to Quorum's comment on Gajendra's post.</w:t>
            </w:r>
          </w:p>
        </w:tc>
      </w:tr>
      <w:tr>
        <w:tc>
          <w:tcPr>
            <w:tcW w:type="dxa" w:w="2500"/>
            <w:shd w:fill="F7F7F7" w:val="clear"/>
            <w:tcMar>
              <w:top w:type="dxa" w:w="80"/>
              <w:left w:type="dxa" w:w="100"/>
              <w:bottom w:type="dxa" w:w="80"/>
              <w:right w:type="dxa" w:w="100"/>
            </w:tcMar>
            <w:vAlign w:val="center"/>
          </w:tcPr>
          <w:p>
            <w:pPr>
              <w:jc w:val="left"/>
            </w:pPr>
            <w:r>
              <w:rPr>
                <w:color w:val="1F1F1F"/>
                <w:sz w:val="19"/>
                <w:szCs w:val="19"/>
              </w:rPr>
              <w:t xml:space="preserve">Gajendra Jangid</w:t>
            </w:r>
          </w:p>
        </w:tc>
        <w:tc>
          <w:tcPr>
            <w:tcW w:type="dxa" w:w="7000"/>
            <w:shd w:fill="F7F7F7" w:val="clear"/>
            <w:tcMar>
              <w:top w:type="dxa" w:w="80"/>
              <w:left w:type="dxa" w:w="100"/>
              <w:bottom w:type="dxa" w:w="80"/>
              <w:right w:type="dxa" w:w="100"/>
            </w:tcMar>
            <w:vAlign w:val="center"/>
          </w:tcPr>
          <w:p>
            <w:pPr>
              <w:jc w:val="left"/>
            </w:pPr>
            <w:r>
              <w:rPr>
                <w:color w:val="1F1F1F"/>
                <w:sz w:val="19"/>
                <w:szCs w:val="19"/>
              </w:rPr>
              <w:t xml:space="preserve">WhatsApp non-response, but public post engagement opportunity remains open — keep commenting, don't chase WhatsApp.</w:t>
            </w:r>
          </w:p>
        </w:tc>
      </w:tr>
      <w:tr>
        <w:tc>
          <w:tcPr>
            <w:tcW w:type="dxa" w:w="2500"/>
            <w:tcMar>
              <w:top w:type="dxa" w:w="80"/>
              <w:left w:type="dxa" w:w="100"/>
              <w:bottom w:type="dxa" w:w="80"/>
              <w:right w:type="dxa" w:w="100"/>
            </w:tcMar>
            <w:vAlign w:val="center"/>
          </w:tcPr>
          <w:p>
            <w:pPr>
              <w:jc w:val="left"/>
            </w:pPr>
            <w:r>
              <w:rPr>
                <w:color w:val="1F1F1F"/>
                <w:sz w:val="19"/>
                <w:szCs w:val="19"/>
              </w:rPr>
              <w:t xml:space="preserve">Ryan Fernando</w:t>
            </w:r>
          </w:p>
        </w:tc>
        <w:tc>
          <w:tcPr>
            <w:tcW w:type="dxa" w:w="7000"/>
            <w:tcMar>
              <w:top w:type="dxa" w:w="80"/>
              <w:left w:type="dxa" w:w="100"/>
              <w:bottom w:type="dxa" w:w="80"/>
              <w:right w:type="dxa" w:w="100"/>
            </w:tcMar>
            <w:vAlign w:val="center"/>
          </w:tcPr>
          <w:p>
            <w:pPr>
              <w:jc w:val="left"/>
            </w:pPr>
            <w:r>
              <w:rPr>
                <w:color w:val="1F1F1F"/>
                <w:sz w:val="19"/>
                <w:szCs w:val="19"/>
              </w:rPr>
              <w:t xml:space="preserve">Organic engagement only (celebrity nutritionist) — not yet a qualified Quorum conversation.</w:t>
            </w:r>
          </w:p>
        </w:tc>
      </w:tr>
      <w:tr>
        <w:tc>
          <w:tcPr>
            <w:tcW w:type="dxa" w:w="2500"/>
            <w:shd w:fill="F7F7F7" w:val="clear"/>
            <w:tcMar>
              <w:top w:type="dxa" w:w="80"/>
              <w:left w:type="dxa" w:w="100"/>
              <w:bottom w:type="dxa" w:w="80"/>
              <w:right w:type="dxa" w:w="100"/>
            </w:tcMar>
            <w:vAlign w:val="center"/>
          </w:tcPr>
          <w:p>
            <w:pPr>
              <w:jc w:val="left"/>
            </w:pPr>
            <w:r>
              <w:rPr>
                <w:color w:val="1F1F1F"/>
                <w:sz w:val="19"/>
                <w:szCs w:val="19"/>
              </w:rPr>
              <w:t xml:space="preserve">11 Aug LinkedIn batch (11 people)</w:t>
            </w:r>
          </w:p>
        </w:tc>
        <w:tc>
          <w:tcPr>
            <w:tcW w:type="dxa" w:w="7000"/>
            <w:shd w:fill="F7F7F7" w:val="clear"/>
            <w:tcMar>
              <w:top w:type="dxa" w:w="80"/>
              <w:left w:type="dxa" w:w="100"/>
              <w:bottom w:type="dxa" w:w="80"/>
              <w:right w:type="dxa" w:w="100"/>
            </w:tcMar>
            <w:vAlign w:val="center"/>
          </w:tcPr>
          <w:p>
            <w:pPr>
              <w:jc w:val="left"/>
            </w:pPr>
            <w:r>
              <w:rPr>
                <w:color w:val="1F1F1F"/>
                <w:sz w:val="19"/>
                <w:szCs w:val="19"/>
              </w:rPr>
              <w:t xml:space="preserve">Messaged ~9:50am IST 11 Aug — see §8 for the full list and role framing.</w:t>
            </w:r>
          </w:p>
        </w:tc>
      </w:tr>
    </w:tbl>
    <w:p>
      <w:pPr>
        <w:spacing w:after="120"/>
      </w:pPr>
    </w:p>
    <w:p>
      <w:pPr>
        <w:pStyle w:val="Heading3"/>
        <w:spacing w:after="80" w:before="200"/>
      </w:pPr>
      <w:r>
        <w:rPr>
          <w:b/>
          <w:bCs/>
          <w:color w:val="1F1F1F"/>
          <w:sz w:val="22"/>
          <w:szCs w:val="22"/>
        </w:rPr>
        <w:t xml:space="preserve">⚪ Organic / not yet direct</w:t>
      </w:r>
    </w:p>
    <w:p>
      <w:pPr>
        <w:pStyle w:val="ListParagraph"/>
        <w:numPr>
          <w:ilvl w:val="0"/>
          <w:numId w:val="2"/>
        </w:numPr>
        <w:spacing w:after="80"/>
      </w:pPr>
      <w:r>
        <w:rPr>
          <w:color w:val="1F1F1F"/>
          <w:sz w:val="21"/>
          <w:szCs w:val="21"/>
        </w:rPr>
        <w:t xml:space="preserve">JF Salazar — visible commenting on Gajendra's post around CEO judgment. No direct outreach yet. Potential organic lead if engagement continues.</w:t>
      </w:r>
    </w:p>
    <w:p>
      <w:pPr>
        <w:pStyle w:val="Heading3"/>
        <w:spacing w:after="80" w:before="200"/>
      </w:pPr>
      <w:r>
        <w:rPr>
          <w:b/>
          <w:bCs/>
          <w:color w:val="1F1F1F"/>
          <w:sz w:val="22"/>
          <w:szCs w:val="22"/>
        </w:rPr>
        <w:t xml:space="preserve">🔴 Older outreach — needs selective re-engagement, not mass re-contact</w:t>
      </w:r>
    </w:p>
    <w:p>
      <w:pPr>
        <w:spacing w:after="200"/>
      </w:pPr>
      <w:r>
        <w:rPr>
          <w:color w:val="1F1F1F"/>
          <w:sz w:val="21"/>
          <w:szCs w:val="21"/>
        </w:rPr>
        <w:t xml:space="preserve">The large earlier LinkedIn batch (see §8) should be treated separately for selective re-engagement, not repeated en masse.</w:t>
      </w:r>
    </w:p>
    <w:p>
      <w:pPr>
        <w:pStyle w:val="Heading1"/>
        <w:pBdr>
          <w:bottom w:val="single" w:color="8A6D00" w:sz="8" w:space="4"/>
        </w:pBdr>
        <w:spacing w:after="160" w:before="360"/>
      </w:pPr>
      <w:r>
        <w:rPr>
          <w:b/>
          <w:bCs/>
          <w:color w:val="1F1F1F"/>
          <w:sz w:val="30"/>
          <w:szCs w:val="30"/>
        </w:rPr>
        <w:t xml:space="preserve">7. Key Lead Briefs</w:t>
      </w:r>
    </w:p>
    <w:p>
      <w:pPr>
        <w:pStyle w:val="Heading2"/>
        <w:spacing w:after="120" w:before="260"/>
      </w:pPr>
      <w:r>
        <w:rPr>
          <w:b/>
          <w:bCs/>
          <w:color w:val="8A6D00"/>
          <w:sz w:val="24"/>
          <w:szCs w:val="24"/>
        </w:rPr>
        <w:t xml:space="preserve">Neeta — paid, session complete, not yet subscribed</w:t>
      </w:r>
    </w:p>
    <w:p>
      <w:pPr>
        <w:pStyle w:val="ListParagraph"/>
        <w:numPr>
          <w:ilvl w:val="0"/>
          <w:numId w:val="2"/>
        </w:numPr>
        <w:spacing w:after="80"/>
      </w:pPr>
      <w:r>
        <w:rPr>
          <w:color w:val="1F1F1F"/>
          <w:sz w:val="21"/>
          <w:szCs w:val="21"/>
        </w:rPr>
        <w:t xml:space="preserve">Source: cold Meta lead. Paid ₹299.</w:t>
      </w:r>
    </w:p>
    <w:p>
      <w:pPr>
        <w:pStyle w:val="ListParagraph"/>
        <w:numPr>
          <w:ilvl w:val="0"/>
          <w:numId w:val="2"/>
        </w:numPr>
        <w:spacing w:after="80"/>
      </w:pPr>
      <w:r>
        <w:rPr>
          <w:color w:val="1F1F1F"/>
          <w:sz w:val="21"/>
          <w:szCs w:val="21"/>
        </w:rPr>
        <w:t xml:space="preserve">Decision worked in session: whether to leave corporate employment for a non-corporate path (life coaching / healing).</w:t>
      </w:r>
    </w:p>
    <w:p>
      <w:pPr>
        <w:pStyle w:val="ListParagraph"/>
        <w:numPr>
          <w:ilvl w:val="0"/>
          <w:numId w:val="2"/>
        </w:numPr>
        <w:spacing w:after="80"/>
      </w:pPr>
      <w:r>
        <w:rPr>
          <w:color w:val="1F1F1F"/>
          <w:sz w:val="21"/>
          <w:szCs w:val="21"/>
        </w:rPr>
        <w:t xml:space="preserve">Session ran successfully; she was convinced by the output. A decision-brief PDF was sent as promised.</w:t>
      </w:r>
    </w:p>
    <w:p>
      <w:pPr>
        <w:pStyle w:val="ListParagraph"/>
        <w:numPr>
          <w:ilvl w:val="0"/>
          <w:numId w:val="2"/>
        </w:numPr>
        <w:spacing w:after="80"/>
      </w:pPr>
      <w:r>
        <w:rPr>
          <w:color w:val="1F1F1F"/>
          <w:sz w:val="21"/>
          <w:szCs w:val="21"/>
        </w:rPr>
        <w:t xml:space="preserve">₹999/month Founding Member offered. She asked whether ₹1,000 was one-time or monthly; on hearing it was monthly, she said she wasn't looking to subscribe right now.</w:t>
      </w:r>
    </w:p>
    <w:p>
      <w:pPr>
        <w:pStyle w:val="ListParagraph"/>
        <w:numPr>
          <w:ilvl w:val="0"/>
          <w:numId w:val="2"/>
        </w:numPr>
        <w:spacing w:after="80"/>
      </w:pPr>
      <w:r>
        <w:rPr>
          <w:color w:val="1F1F1F"/>
          <w:sz w:val="21"/>
          <w:szCs w:val="21"/>
        </w:rPr>
        <w:t xml:space="preserve">When asked what might change her mind, her example (mutual fund selection) surfaced the use-case boundary noted in §3 — correctly redirected rather than stretched to fit.</w:t>
      </w:r>
    </w:p>
    <w:p>
      <w:pPr>
        <w:pStyle w:val="ListParagraph"/>
        <w:numPr>
          <w:ilvl w:val="0"/>
          <w:numId w:val="2"/>
        </w:numPr>
        <w:spacing w:after="80"/>
      </w:pPr>
      <w:r>
        <w:rPr>
          <w:color w:val="1F1F1F"/>
          <w:sz w:val="21"/>
          <w:szCs w:val="21"/>
        </w:rPr>
        <w:t xml:space="preserve">Follow-up in motion: subscription steps offered, asked to share Quorum with her network, and shown that she can use the free tier / Council Synthesis (without Mirror) and connect her Google email so decisions compound over time.</w:t>
      </w:r>
    </w:p>
    <w:p>
      <w:pPr>
        <w:pStyle w:val="ListParagraph"/>
        <w:numPr>
          <w:ilvl w:val="0"/>
          <w:numId w:val="2"/>
        </w:numPr>
        <w:spacing w:after="80"/>
      </w:pPr>
      <w:r>
        <w:rPr>
          <w:color w:val="1F1F1F"/>
          <w:sz w:val="21"/>
          <w:szCs w:val="21"/>
        </w:rPr>
        <w:t xml:space="preserve">Status: warm, product validated, no paid conversion yet. Free-tier usage is the live path to keep her engaged.</w:t>
      </w:r>
    </w:p>
    <w:p>
      <w:pPr>
        <w:pStyle w:val="Heading2"/>
        <w:spacing w:after="120" w:before="260"/>
      </w:pPr>
      <w:r>
        <w:rPr>
          <w:b/>
          <w:bCs/>
          <w:color w:val="8A6D00"/>
          <w:sz w:val="24"/>
          <w:szCs w:val="24"/>
        </w:rPr>
        <w:t xml:space="preserve">Arunjot K — paid + booked, current conversion test</w:t>
      </w:r>
    </w:p>
    <w:p>
      <w:pPr>
        <w:pStyle w:val="ListParagraph"/>
        <w:numPr>
          <w:ilvl w:val="0"/>
          <w:numId w:val="2"/>
        </w:numPr>
        <w:spacing w:after="80"/>
      </w:pPr>
      <w:r>
        <w:rPr>
          <w:color w:val="1F1F1F"/>
          <w:sz w:val="21"/>
          <w:szCs w:val="21"/>
        </w:rPr>
        <w:t xml:space="preserve">Source: cold Meta lead. Paid ₹299. Decision: career/job-related.</w:t>
      </w:r>
    </w:p>
    <w:p>
      <w:pPr>
        <w:pStyle w:val="ListParagraph"/>
        <w:numPr>
          <w:ilvl w:val="0"/>
          <w:numId w:val="2"/>
        </w:numPr>
        <w:spacing w:after="80"/>
      </w:pPr>
      <w:r>
        <w:rPr>
          <w:color w:val="1F1F1F"/>
          <w:sz w:val="21"/>
          <w:szCs w:val="21"/>
        </w:rPr>
        <w:t xml:space="preserve">Session objective: convert the ₹299 session into a ₹999/month Founding Member — but only after delivering real value, not as a scripted upsell.</w:t>
      </w:r>
    </w:p>
    <w:p>
      <w:pPr>
        <w:pStyle w:val="ListParagraph"/>
        <w:numPr>
          <w:ilvl w:val="0"/>
          <w:numId w:val="2"/>
        </w:numPr>
        <w:spacing w:after="80"/>
      </w:pPr>
      <w:r>
        <w:rPr>
          <w:color w:val="1F1F1F"/>
          <w:sz w:val="21"/>
          <w:szCs w:val="21"/>
        </w:rPr>
        <w:t xml:space="preserve">Planned session shape: 5 opening questions to sharpen the decision → run the full-quality Quorum session on the Elite account → discuss the structural read and perspectives surfaced → ask what changed / what was useful → then introduce the ongoing ₹999 offer, framed as continuity across future decisions rather than "more AI."</w:t>
      </w:r>
    </w:p>
    <w:p>
      <w:pPr>
        <w:pStyle w:val="ListParagraph"/>
        <w:numPr>
          <w:ilvl w:val="0"/>
          <w:numId w:val="2"/>
        </w:numPr>
        <w:spacing w:after="80"/>
      </w:pPr>
      <w:r>
        <w:rPr>
          <w:color w:val="1F1F1F"/>
          <w:sz w:val="21"/>
          <w:szCs w:val="21"/>
        </w:rPr>
        <w:t xml:space="preserve">Status: highest-priority live conversion opportunity in the current pipeline.</w:t>
      </w:r>
    </w:p>
    <w:p>
      <w:pPr>
        <w:pStyle w:val="Heading2"/>
        <w:spacing w:after="120" w:before="260"/>
      </w:pPr>
      <w:r>
        <w:rPr>
          <w:b/>
          <w:bCs/>
          <w:color w:val="8A6D00"/>
          <w:sz w:val="24"/>
          <w:szCs w:val="24"/>
        </w:rPr>
        <w:t xml:space="preserve">Mayank Sharma — very high intent</w:t>
      </w:r>
    </w:p>
    <w:p>
      <w:pPr>
        <w:pStyle w:val="ListParagraph"/>
        <w:numPr>
          <w:ilvl w:val="0"/>
          <w:numId w:val="2"/>
        </w:numPr>
        <w:spacing w:after="80"/>
      </w:pPr>
      <w:r>
        <w:rPr>
          <w:color w:val="1F1F1F"/>
          <w:sz w:val="21"/>
          <w:szCs w:val="21"/>
        </w:rPr>
        <w:t xml:space="preserve">Initially said he'd try Quorum and subscribe over the weekend.</w:t>
      </w:r>
    </w:p>
    <w:p>
      <w:pPr>
        <w:pStyle w:val="ListParagraph"/>
        <w:numPr>
          <w:ilvl w:val="0"/>
          <w:numId w:val="2"/>
        </w:numPr>
        <w:spacing w:after="80"/>
      </w:pPr>
      <w:r>
        <w:rPr>
          <w:color w:val="1F1F1F"/>
          <w:sz w:val="21"/>
          <w:szCs w:val="21"/>
        </w:rPr>
        <w:t xml:space="preserve">Asked whether Quorum supports a separate profile from one account — he doesn't use AI heavily himself but his wife does, and he thought Quorum would suit her better.</w:t>
      </w:r>
    </w:p>
    <w:p>
      <w:pPr>
        <w:pStyle w:val="ListParagraph"/>
        <w:numPr>
          <w:ilvl w:val="0"/>
          <w:numId w:val="2"/>
        </w:numPr>
        <w:spacing w:after="80"/>
      </w:pPr>
      <w:r>
        <w:rPr>
          <w:color w:val="1F1F1F"/>
          <w:sz w:val="21"/>
          <w:szCs w:val="21"/>
        </w:rPr>
        <w:t xml:space="preserve">Clarified: she can log in with her own Gmail and her decisions stay associated with her account. He then said explicitly: "theek hai, I will start the subscription from her account then."</w:t>
      </w:r>
    </w:p>
    <w:p>
      <w:pPr>
        <w:pStyle w:val="ListParagraph"/>
        <w:numPr>
          <w:ilvl w:val="0"/>
          <w:numId w:val="2"/>
        </w:numPr>
        <w:spacing w:after="80"/>
      </w:pPr>
      <w:r>
        <w:rPr>
          <w:color w:val="1F1F1F"/>
          <w:sz w:val="21"/>
          <w:szCs w:val="21"/>
        </w:rPr>
        <w:t xml:space="preserve">He was at IIM Indore until Friday with no breathing room; agreed he'd get home Sunday and subscribe, with a reminder promised for Sunday/Monday.</w:t>
      </w:r>
    </w:p>
    <w:p>
      <w:pPr>
        <w:pStyle w:val="ListParagraph"/>
        <w:numPr>
          <w:ilvl w:val="0"/>
          <w:numId w:val="2"/>
        </w:numPr>
        <w:spacing w:after="80"/>
      </w:pPr>
      <w:r>
        <w:rPr>
          <w:color w:val="1F1F1F"/>
          <w:sz w:val="21"/>
          <w:szCs w:val="21"/>
        </w:rPr>
        <w:t xml:space="preserve">Next action: follow up Sunday/Monday exactly as agreed — no earlier, no different framing.</w:t>
      </w:r>
    </w:p>
    <w:p>
      <w:pPr>
        <w:pStyle w:val="ListParagraph"/>
        <w:numPr>
          <w:ilvl w:val="0"/>
          <w:numId w:val="2"/>
        </w:numPr>
        <w:spacing w:after="80"/>
      </w:pPr>
      <w:r>
        <w:rPr>
          <w:color w:val="1F1F1F"/>
          <w:sz w:val="21"/>
          <w:szCs w:val="21"/>
        </w:rPr>
        <w:t xml:space="preserve">Strategic note: this surfaces a household/couple use-case pattern worth watching for in other leads (subscriber ≠ primary AI user).</w:t>
      </w:r>
    </w:p>
    <w:p>
      <w:pPr>
        <w:pStyle w:val="Heading2"/>
        <w:spacing w:after="120" w:before="260"/>
      </w:pPr>
      <w:r>
        <w:rPr>
          <w:b/>
          <w:bCs/>
          <w:color w:val="8A6D00"/>
          <w:sz w:val="24"/>
          <w:szCs w:val="24"/>
        </w:rPr>
        <w:t xml:space="preserve">Simarjit Singh Gandhi — warm but inactive</w:t>
      </w:r>
    </w:p>
    <w:p>
      <w:pPr>
        <w:pStyle w:val="ListParagraph"/>
        <w:numPr>
          <w:ilvl w:val="0"/>
          <w:numId w:val="2"/>
        </w:numPr>
        <w:spacing w:after="80"/>
      </w:pPr>
      <w:r>
        <w:rPr>
          <w:color w:val="1F1F1F"/>
          <w:sz w:val="21"/>
          <w:szCs w:val="21"/>
        </w:rPr>
        <w:t xml:space="preserve">Discussed the ₹1,000 founding membership; said he hadn't tested the product yet and would try over the weekend.</w:t>
      </w:r>
    </w:p>
    <w:p>
      <w:pPr>
        <w:pStyle w:val="ListParagraph"/>
        <w:numPr>
          <w:ilvl w:val="0"/>
          <w:numId w:val="2"/>
        </w:numPr>
        <w:spacing w:after="80"/>
      </w:pPr>
      <w:r>
        <w:rPr>
          <w:color w:val="1F1F1F"/>
          <w:sz w:val="21"/>
          <w:szCs w:val="21"/>
        </w:rPr>
        <w:t xml:space="preserve">Proactively informed of a recent performance-issue fix as a reason to try again.</w:t>
      </w:r>
    </w:p>
    <w:p>
      <w:pPr>
        <w:pStyle w:val="ListParagraph"/>
        <w:numPr>
          <w:ilvl w:val="0"/>
          <w:numId w:val="2"/>
        </w:numPr>
        <w:spacing w:after="80"/>
      </w:pPr>
      <w:r>
        <w:rPr>
          <w:color w:val="1F1F1F"/>
          <w:sz w:val="21"/>
          <w:szCs w:val="21"/>
        </w:rPr>
        <w:t xml:space="preserve">Latest message sent: "Hi Simarjit, just checking in after the weekend — did you get a chance to try Quorum? Would genuinely love to hear what you thought, even if it wasn't for you. :)"</w:t>
      </w:r>
    </w:p>
    <w:p>
      <w:pPr>
        <w:pStyle w:val="ListParagraph"/>
        <w:numPr>
          <w:ilvl w:val="0"/>
          <w:numId w:val="2"/>
        </w:numPr>
        <w:spacing w:after="80"/>
      </w:pPr>
      <w:r>
        <w:rPr>
          <w:color w:val="1F1F1F"/>
          <w:sz w:val="21"/>
          <w:szCs w:val="21"/>
        </w:rPr>
        <w:t xml:space="preserve">Decision: do nothing further right now — enough follow-up has already gone out. Leave alone 5–7 days before any final, low-pressure close-the-loop note.</w:t>
      </w:r>
    </w:p>
    <w:p>
      <w:pPr>
        <w:pStyle w:val="Heading2"/>
        <w:spacing w:after="120" w:before="260"/>
      </w:pPr>
      <w:r>
        <w:rPr>
          <w:b/>
          <w:bCs/>
          <w:color w:val="8A6D00"/>
          <w:sz w:val="24"/>
          <w:szCs w:val="24"/>
        </w:rPr>
        <w:t xml:space="preserve">Kamal Kishore Avutapalli — founder relationship</w:t>
      </w:r>
    </w:p>
    <w:p>
      <w:pPr>
        <w:pStyle w:val="ListParagraph"/>
        <w:numPr>
          <w:ilvl w:val="0"/>
          <w:numId w:val="2"/>
        </w:numPr>
        <w:spacing w:after="80"/>
      </w:pPr>
      <w:r>
        <w:rPr>
          <w:color w:val="1F1F1F"/>
          <w:sz w:val="21"/>
          <w:szCs w:val="21"/>
        </w:rPr>
        <w:t xml:space="preserve">Founder, YourFam (AI-powered productivity app). Shared his WhatsApp number himself after LinkedIn outreach; moved to WhatsApp, agreed to a virtual connect.</w:t>
      </w:r>
    </w:p>
    <w:p>
      <w:pPr>
        <w:pStyle w:val="ListParagraph"/>
        <w:numPr>
          <w:ilvl w:val="0"/>
          <w:numId w:val="2"/>
        </w:numPr>
        <w:spacing w:after="80"/>
      </w:pPr>
      <w:r>
        <w:rPr>
          <w:color w:val="1F1F1F"/>
          <w:sz w:val="21"/>
          <w:szCs w:val="21"/>
        </w:rPr>
        <w:t xml:space="preserve">Recommended showing the website/founder card rather than the app directly; his session is being made complimentary rather than the standard ₹299, since this is founder-to-founder feedback, not transactional acquisition.</w:t>
      </w:r>
    </w:p>
    <w:p>
      <w:pPr>
        <w:pStyle w:val="ListParagraph"/>
        <w:numPr>
          <w:ilvl w:val="0"/>
          <w:numId w:val="2"/>
        </w:numPr>
        <w:spacing w:after="80"/>
      </w:pPr>
      <w:r>
        <w:rPr>
          <w:color w:val="1F1F1F"/>
          <w:sz w:val="21"/>
          <w:szCs w:val="21"/>
        </w:rPr>
        <w:t xml:space="preserve">Strategic concern raised and accepted: Kamal may be benchmarking Quorum against what he's building. Decision: don't cancel the conversation — reframe as founder-to-founder, and don't expose unnecessary internal mechanics.</w:t>
      </w:r>
    </w:p>
    <w:p>
      <w:pPr>
        <w:pStyle w:val="Heading2"/>
        <w:spacing w:after="120" w:before="260"/>
      </w:pPr>
      <w:r>
        <w:rPr>
          <w:b/>
          <w:bCs/>
          <w:color w:val="8A6D00"/>
          <w:sz w:val="24"/>
          <w:szCs w:val="24"/>
        </w:rPr>
        <w:t xml:space="preserve">Shivi Sharma — strong ICP, warm connection</w:t>
      </w:r>
    </w:p>
    <w:p>
      <w:pPr>
        <w:pStyle w:val="ListParagraph"/>
        <w:numPr>
          <w:ilvl w:val="0"/>
          <w:numId w:val="2"/>
        </w:numPr>
        <w:spacing w:after="80"/>
      </w:pPr>
      <w:r>
        <w:rPr>
          <w:color w:val="1F1F1F"/>
          <w:sz w:val="21"/>
          <w:szCs w:val="21"/>
        </w:rPr>
        <w:t xml:space="preserve">Co-Founder &amp; President, Kaaj (AI lending, credit &amp; fraud risk). College connection.</w:t>
      </w:r>
    </w:p>
    <w:p>
      <w:pPr>
        <w:pStyle w:val="ListParagraph"/>
        <w:numPr>
          <w:ilvl w:val="0"/>
          <w:numId w:val="2"/>
        </w:numPr>
        <w:spacing w:after="80"/>
      </w:pPr>
      <w:r>
        <w:rPr>
          <w:color w:val="1F1F1F"/>
          <w:sz w:val="21"/>
          <w:szCs w:val="21"/>
        </w:rPr>
        <w:t xml:space="preserve">Strategy: don't over-explain the existing college connection; invite for a 30-min live session; send the website first, not the app; no ₹299 push initially.</w:t>
      </w:r>
    </w:p>
    <w:p>
      <w:pPr>
        <w:pStyle w:val="Heading2"/>
        <w:spacing w:after="120" w:before="260"/>
      </w:pPr>
      <w:r>
        <w:rPr>
          <w:b/>
          <w:bCs/>
          <w:color w:val="8A6D00"/>
          <w:sz w:val="24"/>
          <w:szCs w:val="24"/>
        </w:rPr>
        <w:t xml:space="preserve">Nishit Agarwal — HNI / advisor channel prospect</w:t>
      </w:r>
    </w:p>
    <w:p>
      <w:pPr>
        <w:pStyle w:val="ListParagraph"/>
        <w:numPr>
          <w:ilvl w:val="0"/>
          <w:numId w:val="2"/>
        </w:numPr>
        <w:spacing w:after="80"/>
      </w:pPr>
      <w:r>
        <w:rPr>
          <w:color w:val="1F1F1F"/>
          <w:sz w:val="21"/>
          <w:szCs w:val="21"/>
        </w:rPr>
        <w:t xml:space="preserve">HNI + founder advisory, portfolio building, risk-aligned portfolios, 500+ crore advised, SEBI-registered stock broker.</w:t>
      </w:r>
    </w:p>
    <w:p>
      <w:pPr>
        <w:pStyle w:val="ListParagraph"/>
        <w:numPr>
          <w:ilvl w:val="0"/>
          <w:numId w:val="2"/>
        </w:numPr>
        <w:spacing w:after="80"/>
      </w:pPr>
      <w:r>
        <w:rPr>
          <w:color w:val="1F1F1F"/>
          <w:sz w:val="21"/>
          <w:szCs w:val="21"/>
        </w:rPr>
        <w:t xml:space="preserve">Strategic angle: Quorum could extend his relationship from financial wealth decisions to the broader business, career, and life decisions that shape that wealth — a potential Advisor → HNI clients → Quorum channel.</w:t>
      </w:r>
    </w:p>
    <w:p>
      <w:pPr>
        <w:pStyle w:val="ListParagraph"/>
        <w:numPr>
          <w:ilvl w:val="0"/>
          <w:numId w:val="2"/>
        </w:numPr>
        <w:spacing w:after="80"/>
      </w:pPr>
      <w:r>
        <w:rPr>
          <w:color w:val="1F1F1F"/>
          <w:sz w:val="21"/>
          <w:szCs w:val="21"/>
        </w:rPr>
        <w:t xml:space="preserve">First outreach should not pitch reseller/white-label immediately — build the individual relationship first.</w:t>
      </w:r>
    </w:p>
    <w:p>
      <w:pPr>
        <w:pStyle w:val="Heading2"/>
        <w:spacing w:after="120" w:before="260"/>
      </w:pPr>
      <w:r>
        <w:rPr>
          <w:b/>
          <w:bCs/>
          <w:color w:val="8A6D00"/>
          <w:sz w:val="24"/>
          <w:szCs w:val="24"/>
        </w:rPr>
        <w:t xml:space="preserve">Organic leads (lighter touch)</w:t>
      </w:r>
    </w:p>
    <w:p>
      <w:pPr>
        <w:pStyle w:val="ListParagraph"/>
        <w:numPr>
          <w:ilvl w:val="0"/>
          <w:numId w:val="2"/>
        </w:numPr>
        <w:spacing w:after="80"/>
      </w:pPr>
      <w:r>
        <w:rPr>
          <w:color w:val="1F1F1F"/>
          <w:sz w:val="21"/>
          <w:szCs w:val="21"/>
        </w:rPr>
        <w:t xml:space="preserve">Naotaka Nishiyama — Founder &amp; CEO, Talendy; founder, giv; ex-Deloitte. Replied positively to a LinkedIn comment; sent a private DM with app link, founder card, and a live-session invitation.</w:t>
      </w:r>
    </w:p>
    <w:p>
      <w:pPr>
        <w:pStyle w:val="ListParagraph"/>
        <w:numPr>
          <w:ilvl w:val="0"/>
          <w:numId w:val="2"/>
        </w:numPr>
        <w:spacing w:after="80"/>
      </w:pPr>
      <w:r>
        <w:rPr>
          <w:color w:val="1F1F1F"/>
          <w:sz w:val="21"/>
          <w:szCs w:val="21"/>
        </w:rPr>
        <w:t xml:space="preserve">Ryan Fernando — celebrity nutritionist/health coach. Replied to a comment ("welcome. Eat healthy sir"). Organic engagement only — not yet a qualified conversation.</w:t>
      </w:r>
    </w:p>
    <w:p>
      <w:pPr>
        <w:pStyle w:val="ListParagraph"/>
        <w:numPr>
          <w:ilvl w:val="0"/>
          <w:numId w:val="2"/>
        </w:numPr>
        <w:spacing w:after="80"/>
      </w:pPr>
      <w:r>
        <w:rPr>
          <w:color w:val="1F1F1F"/>
          <w:sz w:val="21"/>
          <w:szCs w:val="21"/>
        </w:rPr>
        <w:t xml:space="preserve">Gajendra Jangid — Founder, Cars24 / Crashfree India. No reply to an earlier WhatsApp message, but posted a question about whether an AI agent can replicate a CEO — a thoughtful comment on judgment/context over tools was left. Keep commenting rather than chase WhatsApp.</w:t>
      </w:r>
    </w:p>
    <w:p>
      <w:pPr>
        <w:pStyle w:val="ListParagraph"/>
        <w:numPr>
          <w:ilvl w:val="0"/>
          <w:numId w:val="2"/>
        </w:numPr>
        <w:spacing w:after="80"/>
      </w:pPr>
      <w:r>
        <w:rPr>
          <w:color w:val="1F1F1F"/>
          <w:sz w:val="21"/>
          <w:szCs w:val="21"/>
        </w:rPr>
        <w:t xml:space="preserve">Rohan Kumar Chaudhary — replied directly to that comment on Gajendra's post with his own point about context and judgment being harder to copy than the decision itself. A public reply was drafted, linking to quorumvault.org.</w:t>
      </w:r>
    </w:p>
    <w:p>
      <w:pPr>
        <w:pStyle w:val="ListParagraph"/>
        <w:numPr>
          <w:ilvl w:val="0"/>
          <w:numId w:val="2"/>
        </w:numPr>
        <w:spacing w:after="80"/>
      </w:pPr>
      <w:r>
        <w:rPr>
          <w:color w:val="1F1F1F"/>
          <w:sz w:val="21"/>
          <w:szCs w:val="21"/>
        </w:rPr>
        <w:t xml:space="preserve">JF Salazar — visible in the same comment thread. Not yet contacted directly.</w:t>
      </w:r>
    </w:p>
    <w:p>
      <w:pPr>
        <w:spacing w:after="200"/>
      </w:pPr>
    </w:p>
    <w:p>
      <w:pPr>
        <w:pStyle w:val="Heading1"/>
        <w:pBdr>
          <w:bottom w:val="single" w:color="8A6D00" w:sz="8" w:space="4"/>
        </w:pBdr>
        <w:spacing w:after="160" w:before="360"/>
      </w:pPr>
      <w:r>
        <w:rPr>
          <w:b/>
          <w:bCs/>
          <w:color w:val="1F1F1F"/>
          <w:sz w:val="30"/>
          <w:szCs w:val="30"/>
        </w:rPr>
        <w:t xml:space="preserve">8. LinkedIn / WhatsApp Outreach Log</w:t>
      </w:r>
    </w:p>
    <w:p>
      <w:pPr>
        <w:pStyle w:val="Heading2"/>
        <w:spacing w:after="120" w:before="260"/>
      </w:pPr>
      <w:r>
        <w:rPr>
          <w:b/>
          <w:bCs/>
          <w:color w:val="8A6D00"/>
          <w:sz w:val="24"/>
          <w:szCs w:val="24"/>
        </w:rPr>
        <w:t xml:space="preserve">11 Aug 2026 batch — messaged ~9:50am IST</w:t>
      </w:r>
    </w:p>
    <w:p>
      <w:pPr>
        <w:spacing w:after="140"/>
      </w:pPr>
      <w:r>
        <w:rPr>
          <w:color w:val="1F1F1F"/>
          <w:sz w:val="21"/>
          <w:szCs w:val="21"/>
        </w:rPr>
        <w:t xml:space="preserve">All 11 were invited toward a 30-minute live walkthrough rather than simply being sent the app, using role-specific positioning (founders, angel investor, developer relations/AI, business development, product/AI, finance/data/dialectical society, senior operator).</w:t>
      </w:r>
    </w:p>
    <w:p>
      <w:pPr>
        <w:pStyle w:val="ListParagraph"/>
        <w:numPr>
          <w:ilvl w:val="0"/>
          <w:numId w:val="2"/>
        </w:numPr>
        <w:spacing w:after="80"/>
      </w:pPr>
      <w:r>
        <w:rPr>
          <w:color w:val="1F1F1F"/>
          <w:sz w:val="21"/>
          <w:szCs w:val="21"/>
        </w:rPr>
        <w:t xml:space="preserve">Rick Schwartz</w:t>
      </w:r>
    </w:p>
    <w:p>
      <w:pPr>
        <w:pStyle w:val="ListParagraph"/>
        <w:numPr>
          <w:ilvl w:val="0"/>
          <w:numId w:val="2"/>
        </w:numPr>
        <w:spacing w:after="80"/>
      </w:pPr>
      <w:r>
        <w:rPr>
          <w:color w:val="1F1F1F"/>
          <w:sz w:val="21"/>
          <w:szCs w:val="21"/>
        </w:rPr>
        <w:t xml:space="preserve">Himan Joshi</w:t>
      </w:r>
    </w:p>
    <w:p>
      <w:pPr>
        <w:pStyle w:val="ListParagraph"/>
        <w:numPr>
          <w:ilvl w:val="0"/>
          <w:numId w:val="2"/>
        </w:numPr>
        <w:spacing w:after="80"/>
      </w:pPr>
      <w:r>
        <w:rPr>
          <w:color w:val="1F1F1F"/>
          <w:sz w:val="21"/>
          <w:szCs w:val="21"/>
        </w:rPr>
        <w:t xml:space="preserve">Jamshed V Rajan</w:t>
      </w:r>
    </w:p>
    <w:p>
      <w:pPr>
        <w:pStyle w:val="ListParagraph"/>
        <w:numPr>
          <w:ilvl w:val="0"/>
          <w:numId w:val="2"/>
        </w:numPr>
        <w:spacing w:after="80"/>
      </w:pPr>
      <w:r>
        <w:rPr>
          <w:color w:val="1F1F1F"/>
          <w:sz w:val="21"/>
          <w:szCs w:val="21"/>
        </w:rPr>
        <w:t xml:space="preserve">Prem Parmar</w:t>
      </w:r>
    </w:p>
    <w:p>
      <w:pPr>
        <w:pStyle w:val="ListParagraph"/>
        <w:numPr>
          <w:ilvl w:val="0"/>
          <w:numId w:val="2"/>
        </w:numPr>
        <w:spacing w:after="80"/>
      </w:pPr>
      <w:r>
        <w:rPr>
          <w:color w:val="1F1F1F"/>
          <w:sz w:val="21"/>
          <w:szCs w:val="21"/>
        </w:rPr>
        <w:t xml:space="preserve">Amrit K Goel</w:t>
      </w:r>
    </w:p>
    <w:p>
      <w:pPr>
        <w:pStyle w:val="ListParagraph"/>
        <w:numPr>
          <w:ilvl w:val="0"/>
          <w:numId w:val="2"/>
        </w:numPr>
        <w:spacing w:after="80"/>
      </w:pPr>
      <w:r>
        <w:rPr>
          <w:color w:val="1F1F1F"/>
          <w:sz w:val="21"/>
          <w:szCs w:val="21"/>
        </w:rPr>
        <w:t xml:space="preserve">Umesh Kataria</w:t>
      </w:r>
    </w:p>
    <w:p>
      <w:pPr>
        <w:pStyle w:val="ListParagraph"/>
        <w:numPr>
          <w:ilvl w:val="0"/>
          <w:numId w:val="2"/>
        </w:numPr>
        <w:spacing w:after="80"/>
      </w:pPr>
      <w:r>
        <w:rPr>
          <w:color w:val="1F1F1F"/>
          <w:sz w:val="21"/>
          <w:szCs w:val="21"/>
        </w:rPr>
        <w:t xml:space="preserve">Ali Ajaz</w:t>
      </w:r>
    </w:p>
    <w:p>
      <w:pPr>
        <w:pStyle w:val="ListParagraph"/>
        <w:numPr>
          <w:ilvl w:val="0"/>
          <w:numId w:val="2"/>
        </w:numPr>
        <w:spacing w:after="80"/>
      </w:pPr>
      <w:r>
        <w:rPr>
          <w:color w:val="1F1F1F"/>
          <w:sz w:val="21"/>
          <w:szCs w:val="21"/>
        </w:rPr>
        <w:t xml:space="preserve">Kartikey Pandey</w:t>
      </w:r>
    </w:p>
    <w:p>
      <w:pPr>
        <w:pStyle w:val="ListParagraph"/>
        <w:numPr>
          <w:ilvl w:val="0"/>
          <w:numId w:val="2"/>
        </w:numPr>
        <w:spacing w:after="80"/>
      </w:pPr>
      <w:r>
        <w:rPr>
          <w:color w:val="1F1F1F"/>
          <w:sz w:val="21"/>
          <w:szCs w:val="21"/>
        </w:rPr>
        <w:t xml:space="preserve">Amit Chandwani</w:t>
      </w:r>
    </w:p>
    <w:p>
      <w:pPr>
        <w:pStyle w:val="ListParagraph"/>
        <w:numPr>
          <w:ilvl w:val="0"/>
          <w:numId w:val="2"/>
        </w:numPr>
        <w:spacing w:after="80"/>
      </w:pPr>
      <w:r>
        <w:rPr>
          <w:color w:val="1F1F1F"/>
          <w:sz w:val="21"/>
          <w:szCs w:val="21"/>
        </w:rPr>
        <w:t xml:space="preserve">Sarthak Gupta</w:t>
      </w:r>
    </w:p>
    <w:p>
      <w:pPr>
        <w:pStyle w:val="ListParagraph"/>
        <w:numPr>
          <w:ilvl w:val="0"/>
          <w:numId w:val="2"/>
        </w:numPr>
        <w:spacing w:after="80"/>
      </w:pPr>
      <w:r>
        <w:rPr>
          <w:color w:val="1F1F1F"/>
          <w:sz w:val="21"/>
          <w:szCs w:val="21"/>
        </w:rPr>
        <w:t xml:space="preserve">Naotaka Nishiyama</w:t>
      </w:r>
    </w:p>
    <w:p>
      <w:pPr>
        <w:pBdr>
          <w:left w:val="single" w:color="8A6D00" w:sz="18" w:space="8"/>
        </w:pBdr>
        <w:shd w:fill="FFF6D9" w:val="clear"/>
        <w:spacing w:after="200" w:before="100"/>
        <w:ind w:left="100"/>
      </w:pPr>
      <w:r>
        <w:rPr>
          <w:i/>
          <w:iCs/>
          <w:color w:val="1F1F1F"/>
          <w:sz w:val="20"/>
          <w:szCs w:val="20"/>
        </w:rPr>
        <w:t xml:space="preserve">Confirmed with the founder (Aug 13): Jamshed V Rajan, Prem Parmar, Amrit K Goel, Ali Ajaz, Amit Chandwani, and Sarthak Gupta — all six of whom also appear in the “earlier Track 1 outreach” list below — were re-messaged on 11 Aug by accident, not as deliberate re-engagement. No further action was taken on any of them past that message. Nothing to fix retroactively, but worth a lightweight dedupe check before the next batch send so it doesn't recur.</w:t>
      </w:r>
    </w:p>
    <w:p>
      <w:pPr>
        <w:pStyle w:val="Heading2"/>
        <w:spacing w:after="120" w:before="260"/>
      </w:pPr>
      <w:r>
        <w:rPr>
          <w:b/>
          <w:bCs/>
          <w:color w:val="8A6D00"/>
          <w:sz w:val="24"/>
          <w:szCs w:val="24"/>
        </w:rPr>
        <w:t xml:space="preserve">Earlier Track 1 outreach — already contacted</w:t>
      </w:r>
    </w:p>
    <w:p>
      <w:pPr>
        <w:spacing w:after="140"/>
      </w:pPr>
      <w:r>
        <w:rPr>
          <w:color w:val="1F1F1F"/>
          <w:sz w:val="21"/>
          <w:szCs w:val="21"/>
        </w:rPr>
        <w:t xml:space="preserve">Explicitly identified as already reached out to / part of previous batches:</w:t>
      </w:r>
    </w:p>
    <w:p>
      <w:pPr>
        <w:pStyle w:val="ListParagraph"/>
        <w:numPr>
          <w:ilvl w:val="0"/>
          <w:numId w:val="2"/>
        </w:numPr>
        <w:spacing w:after="80"/>
      </w:pPr>
      <w:r>
        <w:rPr>
          <w:color w:val="1F1F1F"/>
          <w:sz w:val="21"/>
          <w:szCs w:val="21"/>
        </w:rPr>
        <w:t xml:space="preserve">Aditya Sharma — CEO &amp; Co-founder, Affordplan</w:t>
      </w:r>
    </w:p>
    <w:p>
      <w:pPr>
        <w:pStyle w:val="ListParagraph"/>
        <w:numPr>
          <w:ilvl w:val="0"/>
          <w:numId w:val="2"/>
        </w:numPr>
        <w:spacing w:after="80"/>
      </w:pPr>
      <w:r>
        <w:rPr>
          <w:color w:val="1F1F1F"/>
          <w:sz w:val="21"/>
          <w:szCs w:val="21"/>
        </w:rPr>
        <w:t xml:space="preserve">Ashesh Koul — CTO</w:t>
      </w:r>
    </w:p>
    <w:p>
      <w:pPr>
        <w:pStyle w:val="ListParagraph"/>
        <w:numPr>
          <w:ilvl w:val="0"/>
          <w:numId w:val="2"/>
        </w:numPr>
        <w:spacing w:after="80"/>
      </w:pPr>
      <w:r>
        <w:rPr>
          <w:color w:val="1F1F1F"/>
          <w:sz w:val="21"/>
          <w:szCs w:val="21"/>
        </w:rPr>
        <w:t xml:space="preserve">Sanjay Kapoor — Business Leader &amp; Entrepreneur</w:t>
      </w:r>
    </w:p>
    <w:p>
      <w:pPr>
        <w:pStyle w:val="ListParagraph"/>
        <w:numPr>
          <w:ilvl w:val="0"/>
          <w:numId w:val="2"/>
        </w:numPr>
        <w:spacing w:after="80"/>
      </w:pPr>
      <w:r>
        <w:rPr>
          <w:color w:val="1F1F1F"/>
          <w:sz w:val="21"/>
          <w:szCs w:val="21"/>
        </w:rPr>
        <w:t xml:space="preserve">Rudhransh Saini — Angel Investor</w:t>
      </w:r>
    </w:p>
    <w:p>
      <w:pPr>
        <w:pStyle w:val="ListParagraph"/>
        <w:numPr>
          <w:ilvl w:val="0"/>
          <w:numId w:val="2"/>
        </w:numPr>
        <w:spacing w:after="80"/>
      </w:pPr>
      <w:r>
        <w:rPr>
          <w:color w:val="1F1F1F"/>
          <w:sz w:val="21"/>
          <w:szCs w:val="21"/>
        </w:rPr>
        <w:t xml:space="preserve">Varsh Kuttaiah — Founder / Realtor / Angel Investor</w:t>
      </w:r>
    </w:p>
    <w:p>
      <w:pPr>
        <w:pStyle w:val="ListParagraph"/>
        <w:numPr>
          <w:ilvl w:val="0"/>
          <w:numId w:val="2"/>
        </w:numPr>
        <w:spacing w:after="80"/>
      </w:pPr>
      <w:r>
        <w:rPr>
          <w:color w:val="1F1F1F"/>
          <w:sz w:val="21"/>
          <w:szCs w:val="21"/>
        </w:rPr>
        <w:t xml:space="preserve">Himanshi Singh — Founder, Navastit</w:t>
      </w:r>
    </w:p>
    <w:p>
      <w:pPr>
        <w:pStyle w:val="ListParagraph"/>
        <w:numPr>
          <w:ilvl w:val="0"/>
          <w:numId w:val="2"/>
        </w:numPr>
        <w:spacing w:after="80"/>
      </w:pPr>
      <w:r>
        <w:rPr>
          <w:color w:val="1F1F1F"/>
          <w:sz w:val="21"/>
          <w:szCs w:val="21"/>
        </w:rPr>
        <w:t xml:space="preserve">Rahul Bhat — Founder, Cloud Elegance</w:t>
      </w:r>
    </w:p>
    <w:p>
      <w:pPr>
        <w:pStyle w:val="ListParagraph"/>
        <w:numPr>
          <w:ilvl w:val="0"/>
          <w:numId w:val="2"/>
        </w:numPr>
        <w:spacing w:after="80"/>
      </w:pPr>
      <w:r>
        <w:rPr>
          <w:color w:val="1F1F1F"/>
          <w:sz w:val="21"/>
          <w:szCs w:val="21"/>
        </w:rPr>
        <w:t xml:space="preserve">Mayank Sharma — Founder, Brilliance Academy</w:t>
      </w:r>
    </w:p>
    <w:p>
      <w:pPr>
        <w:pStyle w:val="ListParagraph"/>
        <w:numPr>
          <w:ilvl w:val="0"/>
          <w:numId w:val="2"/>
        </w:numPr>
        <w:spacing w:after="80"/>
      </w:pPr>
      <w:r>
        <w:rPr>
          <w:color w:val="1F1F1F"/>
          <w:sz w:val="21"/>
          <w:szCs w:val="21"/>
        </w:rPr>
        <w:t xml:space="preserve">Piyush Chowhan — Founder / CTO / Entrepreneur</w:t>
      </w:r>
    </w:p>
    <w:p>
      <w:pPr>
        <w:pStyle w:val="ListParagraph"/>
        <w:numPr>
          <w:ilvl w:val="0"/>
          <w:numId w:val="2"/>
        </w:numPr>
        <w:spacing w:after="80"/>
      </w:pPr>
      <w:r>
        <w:rPr>
          <w:color w:val="1F1F1F"/>
          <w:sz w:val="21"/>
          <w:szCs w:val="21"/>
        </w:rPr>
        <w:t xml:space="preserve">Rakshith Srivastava — Founder advisory / risk</w:t>
      </w:r>
    </w:p>
    <w:p>
      <w:pPr>
        <w:pStyle w:val="ListParagraph"/>
        <w:numPr>
          <w:ilvl w:val="0"/>
          <w:numId w:val="2"/>
        </w:numPr>
        <w:spacing w:after="80"/>
      </w:pPr>
      <w:r>
        <w:rPr>
          <w:color w:val="1F1F1F"/>
          <w:sz w:val="21"/>
          <w:szCs w:val="21"/>
        </w:rPr>
        <w:t xml:space="preserve">Shubham P Sardana — Founder</w:t>
      </w:r>
    </w:p>
    <w:p>
      <w:pPr>
        <w:pStyle w:val="ListParagraph"/>
        <w:numPr>
          <w:ilvl w:val="0"/>
          <w:numId w:val="2"/>
        </w:numPr>
        <w:spacing w:after="80"/>
      </w:pPr>
      <w:r>
        <w:rPr>
          <w:color w:val="1F1F1F"/>
          <w:sz w:val="21"/>
          <w:szCs w:val="21"/>
        </w:rPr>
        <w:t xml:space="preserve">Jayant Paleti — Co-Founder, Darwinbox</w:t>
      </w:r>
    </w:p>
    <w:p>
      <w:pPr>
        <w:pStyle w:val="ListParagraph"/>
        <w:numPr>
          <w:ilvl w:val="0"/>
          <w:numId w:val="2"/>
        </w:numPr>
        <w:spacing w:after="80"/>
      </w:pPr>
      <w:r>
        <w:rPr>
          <w:color w:val="1F1F1F"/>
          <w:sz w:val="21"/>
          <w:szCs w:val="21"/>
        </w:rPr>
        <w:t xml:space="preserve">Ayub Mohammed — Investor &amp; Advisor</w:t>
      </w:r>
    </w:p>
    <w:p>
      <w:pPr>
        <w:pStyle w:val="ListParagraph"/>
        <w:numPr>
          <w:ilvl w:val="0"/>
          <w:numId w:val="2"/>
        </w:numPr>
        <w:spacing w:after="80"/>
      </w:pPr>
      <w:r>
        <w:rPr>
          <w:color w:val="1F1F1F"/>
          <w:sz w:val="21"/>
          <w:szCs w:val="21"/>
        </w:rPr>
        <w:t xml:space="preserve">Antriksh Bhatia — Entrepreneur / Angel Investor</w:t>
      </w:r>
    </w:p>
    <w:p>
      <w:pPr>
        <w:pStyle w:val="ListParagraph"/>
        <w:numPr>
          <w:ilvl w:val="0"/>
          <w:numId w:val="2"/>
        </w:numPr>
        <w:spacing w:after="80"/>
      </w:pPr>
      <w:r>
        <w:rPr>
          <w:color w:val="1F1F1F"/>
          <w:sz w:val="21"/>
          <w:szCs w:val="21"/>
        </w:rPr>
        <w:t xml:space="preserve">Betul Mecit — Founder, AI4M Labs</w:t>
      </w:r>
    </w:p>
    <w:p>
      <w:pPr>
        <w:pStyle w:val="ListParagraph"/>
        <w:numPr>
          <w:ilvl w:val="0"/>
          <w:numId w:val="2"/>
        </w:numPr>
        <w:spacing w:after="80"/>
      </w:pPr>
      <w:r>
        <w:rPr>
          <w:color w:val="1F1F1F"/>
          <w:sz w:val="21"/>
          <w:szCs w:val="21"/>
        </w:rPr>
        <w:t xml:space="preserve">Saurabh Jain — Founder, Benepik</w:t>
      </w:r>
    </w:p>
    <w:p>
      <w:pPr>
        <w:pStyle w:val="ListParagraph"/>
        <w:numPr>
          <w:ilvl w:val="0"/>
          <w:numId w:val="2"/>
        </w:numPr>
        <w:spacing w:after="80"/>
      </w:pPr>
      <w:r>
        <w:rPr>
          <w:color w:val="1F1F1F"/>
          <w:sz w:val="21"/>
          <w:szCs w:val="21"/>
        </w:rPr>
        <w:t xml:space="preserve">Sajid Shaikh — Founder, Apex Consultancy</w:t>
      </w:r>
    </w:p>
    <w:p>
      <w:pPr>
        <w:pStyle w:val="ListParagraph"/>
        <w:numPr>
          <w:ilvl w:val="0"/>
          <w:numId w:val="2"/>
        </w:numPr>
        <w:spacing w:after="80"/>
      </w:pPr>
      <w:r>
        <w:rPr>
          <w:color w:val="1F1F1F"/>
          <w:sz w:val="21"/>
          <w:szCs w:val="21"/>
        </w:rPr>
        <w:t xml:space="preserve">Sanjeev Goswami — Founder</w:t>
      </w:r>
    </w:p>
    <w:p>
      <w:pPr>
        <w:pStyle w:val="ListParagraph"/>
        <w:numPr>
          <w:ilvl w:val="0"/>
          <w:numId w:val="2"/>
        </w:numPr>
        <w:spacing w:after="80"/>
      </w:pPr>
      <w:r>
        <w:rPr>
          <w:color w:val="1F1F1F"/>
          <w:sz w:val="21"/>
          <w:szCs w:val="21"/>
        </w:rPr>
        <w:t xml:space="preserve">Aryan Patel — Product Manager / AI / B2B / SaaS</w:t>
      </w:r>
    </w:p>
    <w:p>
      <w:pPr>
        <w:pStyle w:val="ListParagraph"/>
        <w:numPr>
          <w:ilvl w:val="0"/>
          <w:numId w:val="2"/>
        </w:numPr>
        <w:spacing w:after="80"/>
      </w:pPr>
      <w:r>
        <w:rPr>
          <w:color w:val="1F1F1F"/>
          <w:sz w:val="21"/>
          <w:szCs w:val="21"/>
        </w:rPr>
        <w:t xml:space="preserve">Utkarsh Garg — AI-native Product Builder</w:t>
      </w:r>
    </w:p>
    <w:p>
      <w:pPr>
        <w:pStyle w:val="ListParagraph"/>
        <w:numPr>
          <w:ilvl w:val="0"/>
          <w:numId w:val="2"/>
        </w:numPr>
        <w:spacing w:after="80"/>
      </w:pPr>
      <w:r>
        <w:rPr>
          <w:color w:val="1F1F1F"/>
          <w:sz w:val="21"/>
          <w:szCs w:val="21"/>
        </w:rPr>
        <w:t xml:space="preserve">Amit Chandwani</w:t>
      </w:r>
    </w:p>
    <w:p>
      <w:pPr>
        <w:pStyle w:val="ListParagraph"/>
        <w:numPr>
          <w:ilvl w:val="0"/>
          <w:numId w:val="2"/>
        </w:numPr>
        <w:spacing w:after="80"/>
      </w:pPr>
      <w:r>
        <w:rPr>
          <w:color w:val="1F1F1F"/>
          <w:sz w:val="21"/>
          <w:szCs w:val="21"/>
        </w:rPr>
        <w:t xml:space="preserve">Sarthak Gupta</w:t>
      </w:r>
    </w:p>
    <w:p>
      <w:pPr>
        <w:pStyle w:val="ListParagraph"/>
        <w:numPr>
          <w:ilvl w:val="0"/>
          <w:numId w:val="2"/>
        </w:numPr>
        <w:spacing w:after="80"/>
      </w:pPr>
      <w:r>
        <w:rPr>
          <w:color w:val="1F1F1F"/>
          <w:sz w:val="21"/>
          <w:szCs w:val="21"/>
        </w:rPr>
        <w:t xml:space="preserve">Kothakonda Saini</w:t>
      </w:r>
    </w:p>
    <w:p>
      <w:pPr>
        <w:pStyle w:val="ListParagraph"/>
        <w:numPr>
          <w:ilvl w:val="0"/>
          <w:numId w:val="2"/>
        </w:numPr>
        <w:spacing w:after="80"/>
      </w:pPr>
      <w:r>
        <w:rPr>
          <w:color w:val="1F1F1F"/>
          <w:sz w:val="21"/>
          <w:szCs w:val="21"/>
        </w:rPr>
        <w:t xml:space="preserve">SAJID SAJI — Founder &amp; CEO, Bustler</w:t>
      </w:r>
    </w:p>
    <w:p>
      <w:pPr>
        <w:pStyle w:val="ListParagraph"/>
        <w:numPr>
          <w:ilvl w:val="0"/>
          <w:numId w:val="2"/>
        </w:numPr>
        <w:spacing w:after="80"/>
      </w:pPr>
      <w:r>
        <w:rPr>
          <w:color w:val="1F1F1F"/>
          <w:sz w:val="21"/>
          <w:szCs w:val="21"/>
        </w:rPr>
        <w:t xml:space="preserve">Ali Ajaz</w:t>
      </w:r>
    </w:p>
    <w:p>
      <w:pPr>
        <w:pStyle w:val="ListParagraph"/>
        <w:numPr>
          <w:ilvl w:val="0"/>
          <w:numId w:val="2"/>
        </w:numPr>
        <w:spacing w:after="80"/>
      </w:pPr>
      <w:r>
        <w:rPr>
          <w:color w:val="1F1F1F"/>
          <w:sz w:val="21"/>
          <w:szCs w:val="21"/>
        </w:rPr>
        <w:t xml:space="preserve">Jamshed V Rajan</w:t>
      </w:r>
    </w:p>
    <w:p>
      <w:pPr>
        <w:pStyle w:val="ListParagraph"/>
        <w:numPr>
          <w:ilvl w:val="0"/>
          <w:numId w:val="2"/>
        </w:numPr>
        <w:spacing w:after="80"/>
      </w:pPr>
      <w:r>
        <w:rPr>
          <w:color w:val="1F1F1F"/>
          <w:sz w:val="21"/>
          <w:szCs w:val="21"/>
        </w:rPr>
        <w:t xml:space="preserve">Prem Parmar</w:t>
      </w:r>
    </w:p>
    <w:p>
      <w:pPr>
        <w:pStyle w:val="ListParagraph"/>
        <w:numPr>
          <w:ilvl w:val="0"/>
          <w:numId w:val="2"/>
        </w:numPr>
        <w:spacing w:after="80"/>
      </w:pPr>
      <w:r>
        <w:rPr>
          <w:color w:val="1F1F1F"/>
          <w:sz w:val="21"/>
          <w:szCs w:val="21"/>
        </w:rPr>
        <w:t xml:space="preserve">Amrit K Goel</w:t>
      </w:r>
    </w:p>
    <w:p>
      <w:pPr>
        <w:spacing w:after="200"/>
      </w:pPr>
      <w:r>
        <w:rPr>
          <w:color w:val="1F1F1F"/>
          <w:sz w:val="21"/>
          <w:szCs w:val="21"/>
        </w:rPr>
        <w:t xml:space="preserve">Also referenced elsewhere in the conversation as earlier-contacted: Abhishek Agrawal, Archit Chauhan, CA Jinesh Pagaria, Aditya Singh, Vandana Tolani, Ajeet Khurana, Varun Sridhar, Elie Habib.</w:t>
      </w:r>
    </w:p>
    <w:p>
      <w:pPr>
        <w:pStyle w:val="Heading1"/>
        <w:pBdr>
          <w:bottom w:val="single" w:color="8A6D00" w:sz="8" w:space="4"/>
        </w:pBdr>
        <w:spacing w:after="160" w:before="360"/>
      </w:pPr>
      <w:r>
        <w:rPr>
          <w:b/>
          <w:bCs/>
          <w:color w:val="1F1F1F"/>
          <w:sz w:val="30"/>
          <w:szCs w:val="30"/>
        </w:rPr>
        <w:t xml:space="preserve">9. Connectors &amp; Referral Sources</w:t>
      </w:r>
    </w:p>
    <w:p>
      <w:pPr>
        <w:pBdr>
          <w:left w:val="single" w:color="8A6D00" w:sz="18" w:space="8"/>
        </w:pBdr>
        <w:shd w:fill="FFF6D9" w:val="clear"/>
        <w:spacing w:after="200" w:before="100"/>
        <w:ind w:left="100"/>
      </w:pPr>
      <w:r>
        <w:rPr>
          <w:i/>
          <w:iCs/>
          <w:color w:val="1F1F1F"/>
          <w:sz w:val="20"/>
          <w:szCs w:val="20"/>
        </w:rPr>
        <w:t xml:space="preserve">Confirmed with the founder (Aug 13): no movement on Girish, Vishal, or Raghvendra since July 7. Statuses below stand as-is.</w:t>
      </w:r>
    </w:p>
    <w:p>
      <w:pPr>
        <w:pStyle w:val="Heading3"/>
        <w:spacing w:after="80" w:before="200"/>
      </w:pPr>
      <w:r>
        <w:rPr>
          <w:b/>
          <w:bCs/>
          <w:color w:val="1F1F1F"/>
          <w:sz w:val="22"/>
          <w:szCs w:val="22"/>
        </w:rPr>
        <w:t xml:space="preserve">Girish B Hukkeri</w:t>
      </w:r>
    </w:p>
    <w:p>
      <w:pPr>
        <w:pStyle w:val="ListParagraph"/>
        <w:numPr>
          <w:ilvl w:val="0"/>
          <w:numId w:val="2"/>
        </w:numPr>
        <w:spacing w:after="80"/>
      </w:pPr>
      <w:r>
        <w:rPr>
          <w:color w:val="1F1F1F"/>
          <w:sz w:val="21"/>
          <w:szCs w:val="21"/>
        </w:rPr>
        <w:t xml:space="preserve">Role: Founder — i2u.ai / embryoFund ecosystem. Wide founder/CXO/operator network, ideal ICP overlap.</w:t>
      </w:r>
    </w:p>
    <w:p>
      <w:pPr>
        <w:pStyle w:val="ListParagraph"/>
        <w:numPr>
          <w:ilvl w:val="0"/>
          <w:numId w:val="2"/>
        </w:numPr>
        <w:spacing w:after="80"/>
      </w:pPr>
      <w:r>
        <w:rPr>
          <w:color w:val="1F1F1F"/>
          <w:sz w:val="21"/>
          <w:szCs w:val="21"/>
        </w:rPr>
        <w:t xml:space="preserve">Status: personal crisis disclosed Jun 26 (loan repayments, VC milestones pending). Full stop on Quorum contact. Confirmed unchanged as of Aug 13.</w:t>
      </w:r>
    </w:p>
    <w:p>
      <w:pPr>
        <w:pStyle w:val="ListParagraph"/>
        <w:numPr>
          <w:ilvl w:val="0"/>
          <w:numId w:val="2"/>
        </w:numPr>
        <w:spacing w:after="80"/>
      </w:pPr>
      <w:r>
        <w:rPr>
          <w:color w:val="1F1F1F"/>
          <w:sz w:val="21"/>
          <w:szCs w:val="21"/>
        </w:rPr>
        <w:t xml:space="preserve">Next step: respond as a human being if he surfaces, no agenda. Connector conversation resumes only on his terms.</w:t>
      </w:r>
    </w:p>
    <w:p>
      <w:pPr>
        <w:pStyle w:val="Heading3"/>
        <w:spacing w:after="80" w:before="200"/>
      </w:pPr>
      <w:r>
        <w:rPr>
          <w:b/>
          <w:bCs/>
          <w:color w:val="1F1F1F"/>
          <w:sz w:val="22"/>
          <w:szCs w:val="22"/>
        </w:rPr>
        <w:t xml:space="preserve">Vishal Arora (Mastercard / IIM-A alumnus, Canada)</w:t>
      </w:r>
    </w:p>
    <w:p>
      <w:pPr>
        <w:pStyle w:val="ListParagraph"/>
        <w:numPr>
          <w:ilvl w:val="0"/>
          <w:numId w:val="2"/>
        </w:numPr>
        <w:spacing w:after="80"/>
      </w:pPr>
      <w:r>
        <w:rPr>
          <w:color w:val="1F1F1F"/>
          <w:sz w:val="21"/>
          <w:szCs w:val="21"/>
        </w:rPr>
        <w:t xml:space="preserve">IIM-A alumni group post live since Jun 30. First inbound received Jul 5 (a comparison question, answered same-day).</w:t>
      </w:r>
    </w:p>
    <w:p>
      <w:pPr>
        <w:pStyle w:val="ListParagraph"/>
        <w:numPr>
          <w:ilvl w:val="0"/>
          <w:numId w:val="2"/>
        </w:numPr>
        <w:spacing w:after="80"/>
      </w:pPr>
      <w:r>
        <w:rPr>
          <w:color w:val="1F1F1F"/>
          <w:sz w:val="21"/>
          <w:szCs w:val="21"/>
        </w:rPr>
        <w:t xml:space="preserve">Jul 10 checkpoint resolved: confirmed with the founder (Aug 13) that the inbound thread did not convert into a booked session. Per the original plan, the next move is a personal, direct message to Vishal rather than another public post — this is now the live next action, not a pending check.</w:t>
      </w:r>
    </w:p>
    <w:p>
      <w:pPr>
        <w:pStyle w:val="Heading3"/>
        <w:spacing w:after="80" w:before="200"/>
      </w:pPr>
      <w:r>
        <w:rPr>
          <w:b/>
          <w:bCs/>
          <w:color w:val="1F1F1F"/>
          <w:sz w:val="22"/>
          <w:szCs w:val="22"/>
        </w:rPr>
        <w:t xml:space="preserve">Raghvendra — friend-support track</w:t>
      </w:r>
    </w:p>
    <w:p>
      <w:pPr>
        <w:pStyle w:val="ListParagraph"/>
        <w:numPr>
          <w:ilvl w:val="0"/>
          <w:numId w:val="2"/>
        </w:numPr>
        <w:spacing w:after="80"/>
      </w:pPr>
      <w:r>
        <w:rPr>
          <w:color w:val="1F1F1F"/>
          <w:sz w:val="21"/>
          <w:szCs w:val="21"/>
        </w:rPr>
        <w:t xml:space="preserve">Close friend; ran an early session treated as feedback, not conversion.</w:t>
      </w:r>
    </w:p>
    <w:p>
      <w:pPr>
        <w:pStyle w:val="ListParagraph"/>
        <w:numPr>
          <w:ilvl w:val="0"/>
          <w:numId w:val="2"/>
        </w:numPr>
        <w:spacing w:after="80"/>
      </w:pPr>
      <w:r>
        <w:rPr>
          <w:color w:val="1F1F1F"/>
          <w:sz w:val="21"/>
          <w:szCs w:val="21"/>
        </w:rPr>
        <w:t xml:space="preserve">Status: Quorum contact fully paused after an in-person meeting surfaced grounded, firsthand skepticism about AI solving judgment-level problems — not casual doubt, and not something that responds to reassurance. Confirmed unchanged as of Aug 13.</w:t>
      </w:r>
    </w:p>
    <w:p>
      <w:pPr>
        <w:pStyle w:val="ListParagraph"/>
        <w:numPr>
          <w:ilvl w:val="0"/>
          <w:numId w:val="2"/>
        </w:numPr>
        <w:spacing w:after="80"/>
      </w:pPr>
      <w:r>
        <w:rPr>
          <w:color w:val="1F1F1F"/>
          <w:sz w:val="21"/>
          <w:szCs w:val="21"/>
        </w:rPr>
        <w:t xml:space="preserve">Next step: no Quorum content unless it surfaces naturally from him. No scheduled re-engagement date.</w:t>
      </w:r>
    </w:p>
    <w:p>
      <w:pPr>
        <w:pStyle w:val="Heading1"/>
        <w:pBdr>
          <w:bottom w:val="single" w:color="8A6D00" w:sz="8" w:space="4"/>
        </w:pBdr>
        <w:spacing w:after="160" w:before="360"/>
      </w:pPr>
      <w:r>
        <w:rPr>
          <w:b/>
          <w:bCs/>
          <w:color w:val="1F1F1F"/>
          <w:sz w:val="30"/>
          <w:szCs w:val="30"/>
        </w:rPr>
        <w:t xml:space="preserve">10. Re-engagement Calendar</w:t>
      </w:r>
    </w:p>
    <w:p>
      <w:pPr>
        <w:pBdr>
          <w:left w:val="single" w:color="8A6D00" w:sz="18" w:space="8"/>
        </w:pBdr>
        <w:shd w:fill="FFF6D9" w:val="clear"/>
        <w:spacing w:after="200" w:before="100"/>
        <w:ind w:left="100"/>
      </w:pPr>
      <w:r>
        <w:rPr>
          <w:i/>
          <w:iCs/>
          <w:color w:val="1F1F1F"/>
          <w:sz w:val="20"/>
          <w:szCs w:val="20"/>
        </w:rPr>
        <w:t xml:space="preserve">Confirmed with the founder (Aug 13): every lead below is deliberately parked for now, regardless of scheduled date having passed. This is a hold, not a missed follow-up — do not re-engage any of these until an explicit signal to resume. The “new angle on file” column is kept for reference so the right hook is ready whenever that signal comes.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3900"/>
      </w:tblGrid>
      <w:tr>
        <w:trPr>
          <w:tblHeader/>
        </w:trPr>
        <w:tc>
          <w:tcPr>
            <w:tcW w:type="dxa" w:w="1900"/>
            <w:shd w:fill="2B2B2B" w:val="clear"/>
            <w:tcMar>
              <w:top w:type="dxa" w:w="80"/>
              <w:left w:type="dxa" w:w="100"/>
              <w:bottom w:type="dxa" w:w="80"/>
              <w:right w:type="dxa" w:w="100"/>
            </w:tcMar>
            <w:vAlign w:val="center"/>
          </w:tcPr>
          <w:p>
            <w:pPr>
              <w:jc w:val="left"/>
            </w:pPr>
            <w:r>
              <w:rPr>
                <w:b/>
                <w:bCs/>
                <w:color w:val="FFFFFF"/>
                <w:sz w:val="19"/>
                <w:szCs w:val="19"/>
              </w:rPr>
              <w:t xml:space="preserve">Lead</w:t>
            </w:r>
          </w:p>
        </w:tc>
        <w:tc>
          <w:tcPr>
            <w:tcW w:type="dxa" w:w="1900"/>
            <w:shd w:fill="2B2B2B" w:val="clear"/>
            <w:tcMar>
              <w:top w:type="dxa" w:w="80"/>
              <w:left w:type="dxa" w:w="100"/>
              <w:bottom w:type="dxa" w:w="80"/>
              <w:right w:type="dxa" w:w="100"/>
            </w:tcMar>
            <w:vAlign w:val="center"/>
          </w:tcPr>
          <w:p>
            <w:pPr>
              <w:jc w:val="left"/>
            </w:pPr>
            <w:r>
              <w:rPr>
                <w:b/>
                <w:bCs/>
                <w:color w:val="FFFFFF"/>
                <w:sz w:val="19"/>
                <w:szCs w:val="19"/>
              </w:rPr>
              <w:t xml:space="preserve">Originally scheduled</w:t>
            </w:r>
          </w:p>
        </w:tc>
        <w:tc>
          <w:tcPr>
            <w:tcW w:type="dxa" w:w="1900"/>
            <w:shd w:fill="2B2B2B" w:val="clear"/>
            <w:tcMar>
              <w:top w:type="dxa" w:w="80"/>
              <w:left w:type="dxa" w:w="100"/>
              <w:bottom w:type="dxa" w:w="80"/>
              <w:right w:type="dxa" w:w="100"/>
            </w:tcMar>
            <w:vAlign w:val="center"/>
          </w:tcPr>
          <w:p>
            <w:pPr>
              <w:jc w:val="left"/>
            </w:pPr>
            <w:r>
              <w:rPr>
                <w:b/>
                <w:bCs/>
                <w:color w:val="FFFFFF"/>
                <w:sz w:val="19"/>
                <w:szCs w:val="19"/>
              </w:rPr>
              <w:t xml:space="preserve">Status</w:t>
            </w:r>
          </w:p>
        </w:tc>
        <w:tc>
          <w:tcPr>
            <w:tcW w:type="dxa" w:w="3900"/>
            <w:shd w:fill="2B2B2B" w:val="clear"/>
            <w:tcMar>
              <w:top w:type="dxa" w:w="80"/>
              <w:left w:type="dxa" w:w="100"/>
              <w:bottom w:type="dxa" w:w="80"/>
              <w:right w:type="dxa" w:w="100"/>
            </w:tcMar>
            <w:vAlign w:val="center"/>
          </w:tcPr>
          <w:p>
            <w:pPr>
              <w:jc w:val="left"/>
            </w:pPr>
            <w:r>
              <w:rPr>
                <w:b/>
                <w:bCs/>
                <w:color w:val="FFFFFF"/>
                <w:sz w:val="19"/>
                <w:szCs w:val="19"/>
              </w:rPr>
              <w:t xml:space="preserve">New angle on file (for when resumed)</w:t>
            </w:r>
          </w:p>
        </w:tc>
      </w:tr>
      <w:tr>
        <w:tc>
          <w:tcPr>
            <w:tcW w:type="dxa" w:w="1900"/>
            <w:shd w:fill="F7F7F7" w:val="clear"/>
            <w:tcMar>
              <w:top w:type="dxa" w:w="80"/>
              <w:left w:type="dxa" w:w="100"/>
              <w:bottom w:type="dxa" w:w="80"/>
              <w:right w:type="dxa" w:w="100"/>
            </w:tcMar>
            <w:vAlign w:val="center"/>
          </w:tcPr>
          <w:p>
            <w:pPr>
              <w:jc w:val="left"/>
            </w:pPr>
            <w:r>
              <w:rPr>
                <w:color w:val="1F1F1F"/>
                <w:sz w:val="19"/>
                <w:szCs w:val="19"/>
              </w:rPr>
              <w:t xml:space="preserve">Puneet</w:t>
            </w:r>
          </w:p>
        </w:tc>
        <w:tc>
          <w:tcPr>
            <w:tcW w:type="dxa" w:w="1900"/>
            <w:shd w:fill="F7F7F7" w:val="clear"/>
            <w:tcMar>
              <w:top w:type="dxa" w:w="80"/>
              <w:left w:type="dxa" w:w="100"/>
              <w:bottom w:type="dxa" w:w="80"/>
              <w:right w:type="dxa" w:w="100"/>
            </w:tcMar>
            <w:vAlign w:val="center"/>
          </w:tcPr>
          <w:p>
            <w:pPr>
              <w:jc w:val="left"/>
            </w:pPr>
            <w:r>
              <w:rPr>
                <w:color w:val="1F1F1F"/>
                <w:sz w:val="19"/>
                <w:szCs w:val="19"/>
              </w:rPr>
              <w:t xml:space="preserve">Jul 7</w:t>
            </w:r>
          </w:p>
        </w:tc>
        <w:tc>
          <w:tcPr>
            <w:tcW w:type="dxa" w:w="1900"/>
            <w:shd w:fill="F7F7F7" w:val="clear"/>
            <w:tcMar>
              <w:top w:type="dxa" w:w="80"/>
              <w:left w:type="dxa" w:w="100"/>
              <w:bottom w:type="dxa" w:w="80"/>
              <w:right w:type="dxa" w:w="100"/>
            </w:tcMar>
            <w:vAlign w:val="center"/>
          </w:tcPr>
          <w:p>
            <w:pPr>
              <w:jc w:val="left"/>
            </w:pPr>
            <w:r>
              <w:rPr>
                <w:color w:val="1F1F1F"/>
                <w:sz w:val="19"/>
                <w:szCs w:val="19"/>
              </w:rPr>
              <w:t xml:space="preserve">Parked — hold</w:t>
            </w:r>
          </w:p>
        </w:tc>
        <w:tc>
          <w:tcPr>
            <w:tcW w:type="dxa" w:w="3900"/>
            <w:shd w:fill="F7F7F7" w:val="clear"/>
            <w:tcMar>
              <w:top w:type="dxa" w:w="80"/>
              <w:left w:type="dxa" w:w="100"/>
              <w:bottom w:type="dxa" w:w="80"/>
              <w:right w:type="dxa" w:w="100"/>
            </w:tcMar>
            <w:vAlign w:val="center"/>
          </w:tcPr>
          <w:p>
            <w:pPr>
              <w:jc w:val="left"/>
            </w:pPr>
            <w:r>
              <w:rPr>
                <w:color w:val="1F1F1F"/>
                <w:sz w:val="19"/>
                <w:szCs w:val="19"/>
              </w:rPr>
              <w:t xml:space="preserve">Calibration layer — tracks confidence before/after outcomes</w:t>
            </w:r>
          </w:p>
        </w:tc>
      </w:tr>
      <w:tr>
        <w:tc>
          <w:tcPr>
            <w:tcW w:type="dxa" w:w="1900"/>
            <w:tcMar>
              <w:top w:type="dxa" w:w="80"/>
              <w:left w:type="dxa" w:w="100"/>
              <w:bottom w:type="dxa" w:w="80"/>
              <w:right w:type="dxa" w:w="100"/>
            </w:tcMar>
            <w:vAlign w:val="center"/>
          </w:tcPr>
          <w:p>
            <w:pPr>
              <w:jc w:val="left"/>
            </w:pPr>
            <w:r>
              <w:rPr>
                <w:color w:val="1F1F1F"/>
                <w:sz w:val="19"/>
                <w:szCs w:val="19"/>
              </w:rPr>
              <w:t xml:space="preserve">Sarthak</w:t>
            </w:r>
          </w:p>
        </w:tc>
        <w:tc>
          <w:tcPr>
            <w:tcW w:type="dxa" w:w="1900"/>
            <w:tcMar>
              <w:top w:type="dxa" w:w="80"/>
              <w:left w:type="dxa" w:w="100"/>
              <w:bottom w:type="dxa" w:w="80"/>
              <w:right w:type="dxa" w:w="100"/>
            </w:tcMar>
            <w:vAlign w:val="center"/>
          </w:tcPr>
          <w:p>
            <w:pPr>
              <w:jc w:val="left"/>
            </w:pPr>
            <w:r>
              <w:rPr>
                <w:color w:val="1F1F1F"/>
                <w:sz w:val="19"/>
                <w:szCs w:val="19"/>
              </w:rPr>
              <w:t xml:space="preserve">Jul 8</w:t>
            </w:r>
          </w:p>
        </w:tc>
        <w:tc>
          <w:tcPr>
            <w:tcW w:type="dxa" w:w="1900"/>
            <w:tcMar>
              <w:top w:type="dxa" w:w="80"/>
              <w:left w:type="dxa" w:w="100"/>
              <w:bottom w:type="dxa" w:w="80"/>
              <w:right w:type="dxa" w:w="100"/>
            </w:tcMar>
            <w:vAlign w:val="center"/>
          </w:tcPr>
          <w:p>
            <w:pPr>
              <w:jc w:val="left"/>
            </w:pPr>
            <w:r>
              <w:rPr>
                <w:color w:val="1F1F1F"/>
                <w:sz w:val="19"/>
                <w:szCs w:val="19"/>
              </w:rPr>
              <w:t xml:space="preserve">Parked — hold</w:t>
            </w:r>
          </w:p>
        </w:tc>
        <w:tc>
          <w:tcPr>
            <w:tcW w:type="dxa" w:w="3900"/>
            <w:tcMar>
              <w:top w:type="dxa" w:w="80"/>
              <w:left w:type="dxa" w:w="100"/>
              <w:bottom w:type="dxa" w:w="80"/>
              <w:right w:type="dxa" w:w="100"/>
            </w:tcMar>
            <w:vAlign w:val="center"/>
          </w:tcPr>
          <w:p>
            <w:pPr>
              <w:jc w:val="left"/>
            </w:pPr>
            <w:r>
              <w:rPr>
                <w:color w:val="1F1F1F"/>
                <w:sz w:val="19"/>
                <w:szCs w:val="19"/>
              </w:rPr>
              <w:t xml:space="preserve">Logistics only, no product frame</w:t>
            </w:r>
          </w:p>
        </w:tc>
      </w:tr>
      <w:tr>
        <w:tc>
          <w:tcPr>
            <w:tcW w:type="dxa" w:w="1900"/>
            <w:shd w:fill="F7F7F7" w:val="clear"/>
            <w:tcMar>
              <w:top w:type="dxa" w:w="80"/>
              <w:left w:type="dxa" w:w="100"/>
              <w:bottom w:type="dxa" w:w="80"/>
              <w:right w:type="dxa" w:w="100"/>
            </w:tcMar>
            <w:vAlign w:val="center"/>
          </w:tcPr>
          <w:p>
            <w:pPr>
              <w:jc w:val="left"/>
            </w:pPr>
            <w:r>
              <w:rPr>
                <w:color w:val="1F1F1F"/>
                <w:sz w:val="19"/>
                <w:szCs w:val="19"/>
              </w:rPr>
              <w:t xml:space="preserve">Kovil</w:t>
            </w:r>
          </w:p>
        </w:tc>
        <w:tc>
          <w:tcPr>
            <w:tcW w:type="dxa" w:w="1900"/>
            <w:shd w:fill="F7F7F7" w:val="clear"/>
            <w:tcMar>
              <w:top w:type="dxa" w:w="80"/>
              <w:left w:type="dxa" w:w="100"/>
              <w:bottom w:type="dxa" w:w="80"/>
              <w:right w:type="dxa" w:w="100"/>
            </w:tcMar>
            <w:vAlign w:val="center"/>
          </w:tcPr>
          <w:p>
            <w:pPr>
              <w:jc w:val="left"/>
            </w:pPr>
            <w:r>
              <w:rPr>
                <w:color w:val="1F1F1F"/>
                <w:sz w:val="19"/>
                <w:szCs w:val="19"/>
              </w:rPr>
              <w:t xml:space="preserve">Jul 10</w:t>
            </w:r>
          </w:p>
        </w:tc>
        <w:tc>
          <w:tcPr>
            <w:tcW w:type="dxa" w:w="1900"/>
            <w:shd w:fill="F7F7F7" w:val="clear"/>
            <w:tcMar>
              <w:top w:type="dxa" w:w="80"/>
              <w:left w:type="dxa" w:w="100"/>
              <w:bottom w:type="dxa" w:w="80"/>
              <w:right w:type="dxa" w:w="100"/>
            </w:tcMar>
            <w:vAlign w:val="center"/>
          </w:tcPr>
          <w:p>
            <w:pPr>
              <w:jc w:val="left"/>
            </w:pPr>
            <w:r>
              <w:rPr>
                <w:color w:val="1F1F1F"/>
                <w:sz w:val="19"/>
                <w:szCs w:val="19"/>
              </w:rPr>
              <w:t xml:space="preserve">Parked — hold</w:t>
            </w:r>
          </w:p>
        </w:tc>
        <w:tc>
          <w:tcPr>
            <w:tcW w:type="dxa" w:w="3900"/>
            <w:shd w:fill="F7F7F7" w:val="clear"/>
            <w:tcMar>
              <w:top w:type="dxa" w:w="80"/>
              <w:left w:type="dxa" w:w="100"/>
              <w:bottom w:type="dxa" w:w="80"/>
              <w:right w:type="dxa" w:w="100"/>
            </w:tcMar>
            <w:vAlign w:val="center"/>
          </w:tcPr>
          <w:p>
            <w:pPr>
              <w:jc w:val="left"/>
            </w:pPr>
            <w:r>
              <w:rPr>
                <w:color w:val="1F1F1F"/>
                <w:sz w:val="19"/>
                <w:szCs w:val="19"/>
              </w:rPr>
              <w:t xml:space="preserve">Decision graph + memory architecture</w:t>
            </w:r>
          </w:p>
        </w:tc>
      </w:tr>
      <w:tr>
        <w:tc>
          <w:tcPr>
            <w:tcW w:type="dxa" w:w="1900"/>
            <w:tcMar>
              <w:top w:type="dxa" w:w="80"/>
              <w:left w:type="dxa" w:w="100"/>
              <w:bottom w:type="dxa" w:w="80"/>
              <w:right w:type="dxa" w:w="100"/>
            </w:tcMar>
            <w:vAlign w:val="center"/>
          </w:tcPr>
          <w:p>
            <w:pPr>
              <w:jc w:val="left"/>
            </w:pPr>
            <w:r>
              <w:rPr>
                <w:color w:val="1F1F1F"/>
                <w:sz w:val="19"/>
                <w:szCs w:val="19"/>
              </w:rPr>
              <w:t xml:space="preserve">Vishal (checkpoint)</w:t>
            </w:r>
          </w:p>
        </w:tc>
        <w:tc>
          <w:tcPr>
            <w:tcW w:type="dxa" w:w="1900"/>
            <w:tcMar>
              <w:top w:type="dxa" w:w="80"/>
              <w:left w:type="dxa" w:w="100"/>
              <w:bottom w:type="dxa" w:w="80"/>
              <w:right w:type="dxa" w:w="100"/>
            </w:tcMar>
            <w:vAlign w:val="center"/>
          </w:tcPr>
          <w:p>
            <w:pPr>
              <w:jc w:val="left"/>
            </w:pPr>
            <w:r>
              <w:rPr>
                <w:color w:val="1F1F1F"/>
                <w:sz w:val="19"/>
                <w:szCs w:val="19"/>
              </w:rPr>
              <w:t xml:space="preserve">Jul 10</w:t>
            </w:r>
          </w:p>
        </w:tc>
        <w:tc>
          <w:tcPr>
            <w:tcW w:type="dxa" w:w="1900"/>
            <w:tcMar>
              <w:top w:type="dxa" w:w="80"/>
              <w:left w:type="dxa" w:w="100"/>
              <w:bottom w:type="dxa" w:w="80"/>
              <w:right w:type="dxa" w:w="100"/>
            </w:tcMar>
            <w:vAlign w:val="center"/>
          </w:tcPr>
          <w:p>
            <w:pPr>
              <w:jc w:val="left"/>
            </w:pPr>
            <w:r>
              <w:rPr>
                <w:color w:val="1F1F1F"/>
                <w:sz w:val="19"/>
                <w:szCs w:val="19"/>
              </w:rPr>
              <w:t xml:space="preserve">Resolved — no conversion. See §9 for live next step (personal DM), not parked.</w:t>
            </w:r>
          </w:p>
        </w:tc>
        <w:tc>
          <w:tcPr>
            <w:tcW w:type="dxa" w:w="3900"/>
            <w:tcMar>
              <w:top w:type="dxa" w:w="80"/>
              <w:left w:type="dxa" w:w="100"/>
              <w:bottom w:type="dxa" w:w="80"/>
              <w:right w:type="dxa" w:w="100"/>
            </w:tcMar>
            <w:vAlign w:val="center"/>
          </w:tcPr>
          <w:p>
            <w:pPr>
              <w:jc w:val="left"/>
            </w:pPr>
            <w:r>
              <w:rPr>
                <w:color w:val="1F1F1F"/>
                <w:sz w:val="19"/>
                <w:szCs w:val="19"/>
              </w:rPr>
              <w:t xml:space="preserve">Personal direct message</w:t>
            </w:r>
          </w:p>
        </w:tc>
      </w:tr>
      <w:tr>
        <w:tc>
          <w:tcPr>
            <w:tcW w:type="dxa" w:w="1900"/>
            <w:shd w:fill="F7F7F7" w:val="clear"/>
            <w:tcMar>
              <w:top w:type="dxa" w:w="80"/>
              <w:left w:type="dxa" w:w="100"/>
              <w:bottom w:type="dxa" w:w="80"/>
              <w:right w:type="dxa" w:w="100"/>
            </w:tcMar>
            <w:vAlign w:val="center"/>
          </w:tcPr>
          <w:p>
            <w:pPr>
              <w:jc w:val="left"/>
            </w:pPr>
            <w:r>
              <w:rPr>
                <w:color w:val="1F1F1F"/>
                <w:sz w:val="19"/>
                <w:szCs w:val="19"/>
              </w:rPr>
              <w:t xml:space="preserve">Yugal</w:t>
            </w:r>
          </w:p>
        </w:tc>
        <w:tc>
          <w:tcPr>
            <w:tcW w:type="dxa" w:w="1900"/>
            <w:shd w:fill="F7F7F7" w:val="clear"/>
            <w:tcMar>
              <w:top w:type="dxa" w:w="80"/>
              <w:left w:type="dxa" w:w="100"/>
              <w:bottom w:type="dxa" w:w="80"/>
              <w:right w:type="dxa" w:w="100"/>
            </w:tcMar>
            <w:vAlign w:val="center"/>
          </w:tcPr>
          <w:p>
            <w:pPr>
              <w:jc w:val="left"/>
            </w:pPr>
            <w:r>
              <w:rPr>
                <w:color w:val="1F1F1F"/>
                <w:sz w:val="19"/>
                <w:szCs w:val="19"/>
              </w:rPr>
              <w:t xml:space="preserve">Jul 12</w:t>
            </w:r>
          </w:p>
        </w:tc>
        <w:tc>
          <w:tcPr>
            <w:tcW w:type="dxa" w:w="1900"/>
            <w:shd w:fill="F7F7F7" w:val="clear"/>
            <w:tcMar>
              <w:top w:type="dxa" w:w="80"/>
              <w:left w:type="dxa" w:w="100"/>
              <w:bottom w:type="dxa" w:w="80"/>
              <w:right w:type="dxa" w:w="100"/>
            </w:tcMar>
            <w:vAlign w:val="center"/>
          </w:tcPr>
          <w:p>
            <w:pPr>
              <w:jc w:val="left"/>
            </w:pPr>
            <w:r>
              <w:rPr>
                <w:color w:val="1F1F1F"/>
                <w:sz w:val="19"/>
                <w:szCs w:val="19"/>
              </w:rPr>
              <w:t xml:space="preserve">Parked — hold</w:t>
            </w:r>
          </w:p>
        </w:tc>
        <w:tc>
          <w:tcPr>
            <w:tcW w:type="dxa" w:w="3900"/>
            <w:shd w:fill="F7F7F7" w:val="clear"/>
            <w:tcMar>
              <w:top w:type="dxa" w:w="80"/>
              <w:left w:type="dxa" w:w="100"/>
              <w:bottom w:type="dxa" w:w="80"/>
              <w:right w:type="dxa" w:w="100"/>
            </w:tcMar>
            <w:vAlign w:val="center"/>
          </w:tcPr>
          <w:p>
            <w:pPr>
              <w:jc w:val="left"/>
            </w:pPr>
            <w:r>
              <w:rPr>
                <w:color w:val="1F1F1F"/>
                <w:sz w:val="19"/>
                <w:szCs w:val="19"/>
              </w:rPr>
              <w:t xml:space="preserve">“First paying user” + judgment record frame</w:t>
            </w:r>
          </w:p>
        </w:tc>
      </w:tr>
      <w:tr>
        <w:tc>
          <w:tcPr>
            <w:tcW w:type="dxa" w:w="1900"/>
            <w:tcMar>
              <w:top w:type="dxa" w:w="80"/>
              <w:left w:type="dxa" w:w="100"/>
              <w:bottom w:type="dxa" w:w="80"/>
              <w:right w:type="dxa" w:w="100"/>
            </w:tcMar>
            <w:vAlign w:val="center"/>
          </w:tcPr>
          <w:p>
            <w:pPr>
              <w:jc w:val="left"/>
            </w:pPr>
            <w:r>
              <w:rPr>
                <w:color w:val="1F1F1F"/>
                <w:sz w:val="19"/>
                <w:szCs w:val="19"/>
              </w:rPr>
              <w:t xml:space="preserve">Achint Sachdeva</w:t>
            </w:r>
          </w:p>
        </w:tc>
        <w:tc>
          <w:tcPr>
            <w:tcW w:type="dxa" w:w="1900"/>
            <w:tcMar>
              <w:top w:type="dxa" w:w="80"/>
              <w:left w:type="dxa" w:w="100"/>
              <w:bottom w:type="dxa" w:w="80"/>
              <w:right w:type="dxa" w:w="100"/>
            </w:tcMar>
            <w:vAlign w:val="center"/>
          </w:tcPr>
          <w:p>
            <w:pPr>
              <w:jc w:val="left"/>
            </w:pPr>
            <w:r>
              <w:rPr>
                <w:color w:val="1F1F1F"/>
                <w:sz w:val="19"/>
                <w:szCs w:val="19"/>
              </w:rPr>
              <w:t xml:space="preserve">Jul 14</w:t>
            </w:r>
          </w:p>
        </w:tc>
        <w:tc>
          <w:tcPr>
            <w:tcW w:type="dxa" w:w="1900"/>
            <w:tcMar>
              <w:top w:type="dxa" w:w="80"/>
              <w:left w:type="dxa" w:w="100"/>
              <w:bottom w:type="dxa" w:w="80"/>
              <w:right w:type="dxa" w:w="100"/>
            </w:tcMar>
            <w:vAlign w:val="center"/>
          </w:tcPr>
          <w:p>
            <w:pPr>
              <w:jc w:val="left"/>
            </w:pPr>
            <w:r>
              <w:rPr>
                <w:color w:val="1F1F1F"/>
                <w:sz w:val="19"/>
                <w:szCs w:val="19"/>
              </w:rPr>
              <w:t xml:space="preserve">Parked — hold</w:t>
            </w:r>
          </w:p>
        </w:tc>
        <w:tc>
          <w:tcPr>
            <w:tcW w:type="dxa" w:w="3900"/>
            <w:tcMar>
              <w:top w:type="dxa" w:w="80"/>
              <w:left w:type="dxa" w:w="100"/>
              <w:bottom w:type="dxa" w:w="80"/>
              <w:right w:type="dxa" w:w="100"/>
            </w:tcMar>
            <w:vAlign w:val="center"/>
          </w:tcPr>
          <w:p>
            <w:pPr>
              <w:jc w:val="left"/>
            </w:pPr>
            <w:r>
              <w:rPr>
                <w:color w:val="1F1F1F"/>
                <w:sz w:val="19"/>
                <w:szCs w:val="19"/>
              </w:rPr>
              <w:t xml:space="preserve">Decision continuity for layered venture build</w:t>
            </w:r>
          </w:p>
        </w:tc>
      </w:tr>
      <w:tr>
        <w:tc>
          <w:tcPr>
            <w:tcW w:type="dxa" w:w="1900"/>
            <w:shd w:fill="F7F7F7" w:val="clear"/>
            <w:tcMar>
              <w:top w:type="dxa" w:w="80"/>
              <w:left w:type="dxa" w:w="100"/>
              <w:bottom w:type="dxa" w:w="80"/>
              <w:right w:type="dxa" w:w="100"/>
            </w:tcMar>
            <w:vAlign w:val="center"/>
          </w:tcPr>
          <w:p>
            <w:pPr>
              <w:jc w:val="left"/>
            </w:pPr>
            <w:r>
              <w:rPr>
                <w:color w:val="1F1F1F"/>
                <w:sz w:val="19"/>
                <w:szCs w:val="19"/>
              </w:rPr>
              <w:t xml:space="preserve">Sumit</w:t>
            </w:r>
          </w:p>
        </w:tc>
        <w:tc>
          <w:tcPr>
            <w:tcW w:type="dxa" w:w="1900"/>
            <w:shd w:fill="F7F7F7" w:val="clear"/>
            <w:tcMar>
              <w:top w:type="dxa" w:w="80"/>
              <w:left w:type="dxa" w:w="100"/>
              <w:bottom w:type="dxa" w:w="80"/>
              <w:right w:type="dxa" w:w="100"/>
            </w:tcMar>
            <w:vAlign w:val="center"/>
          </w:tcPr>
          <w:p>
            <w:pPr>
              <w:jc w:val="left"/>
            </w:pPr>
            <w:r>
              <w:rPr>
                <w:color w:val="1F1F1F"/>
                <w:sz w:val="19"/>
                <w:szCs w:val="19"/>
              </w:rPr>
              <w:t xml:space="preserve">Jul 15</w:t>
            </w:r>
          </w:p>
        </w:tc>
        <w:tc>
          <w:tcPr>
            <w:tcW w:type="dxa" w:w="1900"/>
            <w:shd w:fill="F7F7F7" w:val="clear"/>
            <w:tcMar>
              <w:top w:type="dxa" w:w="80"/>
              <w:left w:type="dxa" w:w="100"/>
              <w:bottom w:type="dxa" w:w="80"/>
              <w:right w:type="dxa" w:w="100"/>
            </w:tcMar>
            <w:vAlign w:val="center"/>
          </w:tcPr>
          <w:p>
            <w:pPr>
              <w:jc w:val="left"/>
            </w:pPr>
            <w:r>
              <w:rPr>
                <w:color w:val="1F1F1F"/>
                <w:sz w:val="19"/>
                <w:szCs w:val="19"/>
              </w:rPr>
              <w:t xml:space="preserve">Parked — hold</w:t>
            </w:r>
          </w:p>
        </w:tc>
        <w:tc>
          <w:tcPr>
            <w:tcW w:type="dxa" w:w="3900"/>
            <w:shd w:fill="F7F7F7" w:val="clear"/>
            <w:tcMar>
              <w:top w:type="dxa" w:w="80"/>
              <w:left w:type="dxa" w:w="100"/>
              <w:bottom w:type="dxa" w:w="80"/>
              <w:right w:type="dxa" w:w="100"/>
            </w:tcMar>
            <w:vAlign w:val="center"/>
          </w:tcPr>
          <w:p>
            <w:pPr>
              <w:jc w:val="left"/>
            </w:pPr>
            <w:r>
              <w:rPr>
                <w:color w:val="1F1F1F"/>
                <w:sz w:val="19"/>
                <w:szCs w:val="19"/>
              </w:rPr>
              <w:t xml:space="preserve">XLRI + milestone: sessions ran through it</w:t>
            </w:r>
          </w:p>
        </w:tc>
      </w:tr>
      <w:tr>
        <w:tc>
          <w:tcPr>
            <w:tcW w:type="dxa" w:w="1900"/>
            <w:tcMar>
              <w:top w:type="dxa" w:w="80"/>
              <w:left w:type="dxa" w:w="100"/>
              <w:bottom w:type="dxa" w:w="80"/>
              <w:right w:type="dxa" w:w="100"/>
            </w:tcMar>
            <w:vAlign w:val="center"/>
          </w:tcPr>
          <w:p>
            <w:pPr>
              <w:jc w:val="left"/>
            </w:pPr>
            <w:r>
              <w:rPr>
                <w:color w:val="1F1F1F"/>
                <w:sz w:val="19"/>
                <w:szCs w:val="19"/>
              </w:rPr>
              <w:t xml:space="preserve">Chirag</w:t>
            </w:r>
          </w:p>
        </w:tc>
        <w:tc>
          <w:tcPr>
            <w:tcW w:type="dxa" w:w="1900"/>
            <w:tcMar>
              <w:top w:type="dxa" w:w="80"/>
              <w:left w:type="dxa" w:w="100"/>
              <w:bottom w:type="dxa" w:w="80"/>
              <w:right w:type="dxa" w:w="100"/>
            </w:tcMar>
            <w:vAlign w:val="center"/>
          </w:tcPr>
          <w:p>
            <w:pPr>
              <w:jc w:val="left"/>
            </w:pPr>
            <w:r>
              <w:rPr>
                <w:color w:val="1F1F1F"/>
                <w:sz w:val="19"/>
                <w:szCs w:val="19"/>
              </w:rPr>
              <w:t xml:space="preserve">~Jul 15</w:t>
            </w:r>
          </w:p>
        </w:tc>
        <w:tc>
          <w:tcPr>
            <w:tcW w:type="dxa" w:w="1900"/>
            <w:tcMar>
              <w:top w:type="dxa" w:w="80"/>
              <w:left w:type="dxa" w:w="100"/>
              <w:bottom w:type="dxa" w:w="80"/>
              <w:right w:type="dxa" w:w="100"/>
            </w:tcMar>
            <w:vAlign w:val="center"/>
          </w:tcPr>
          <w:p>
            <w:pPr>
              <w:jc w:val="left"/>
            </w:pPr>
            <w:r>
              <w:rPr>
                <w:color w:val="1F1F1F"/>
                <w:sz w:val="19"/>
                <w:szCs w:val="19"/>
              </w:rPr>
              <w:t xml:space="preserve">Parked — hold</w:t>
            </w:r>
          </w:p>
        </w:tc>
        <w:tc>
          <w:tcPr>
            <w:tcW w:type="dxa" w:w="3900"/>
            <w:tcMar>
              <w:top w:type="dxa" w:w="80"/>
              <w:left w:type="dxa" w:w="100"/>
              <w:bottom w:type="dxa" w:w="80"/>
              <w:right w:type="dxa" w:w="100"/>
            </w:tcMar>
            <w:vAlign w:val="center"/>
          </w:tcPr>
          <w:p>
            <w:pPr>
              <w:jc w:val="left"/>
            </w:pPr>
            <w:r>
              <w:rPr>
                <w:color w:val="1F1F1F"/>
                <w:sz w:val="19"/>
                <w:szCs w:val="19"/>
              </w:rPr>
              <w:t xml:space="preserve">Clean break, no reference to old conversation</w:t>
            </w:r>
          </w:p>
        </w:tc>
      </w:tr>
      <w:tr>
        <w:tc>
          <w:tcPr>
            <w:tcW w:type="dxa" w:w="1900"/>
            <w:shd w:fill="F7F7F7" w:val="clear"/>
            <w:tcMar>
              <w:top w:type="dxa" w:w="80"/>
              <w:left w:type="dxa" w:w="100"/>
              <w:bottom w:type="dxa" w:w="80"/>
              <w:right w:type="dxa" w:w="100"/>
            </w:tcMar>
            <w:vAlign w:val="center"/>
          </w:tcPr>
          <w:p>
            <w:pPr>
              <w:jc w:val="left"/>
            </w:pPr>
            <w:r>
              <w:rPr>
                <w:color w:val="1F1F1F"/>
                <w:sz w:val="19"/>
                <w:szCs w:val="19"/>
              </w:rPr>
              <w:t xml:space="preserve">Dora Suri</w:t>
            </w:r>
          </w:p>
        </w:tc>
        <w:tc>
          <w:tcPr>
            <w:tcW w:type="dxa" w:w="1900"/>
            <w:shd w:fill="F7F7F7" w:val="clear"/>
            <w:tcMar>
              <w:top w:type="dxa" w:w="80"/>
              <w:left w:type="dxa" w:w="100"/>
              <w:bottom w:type="dxa" w:w="80"/>
              <w:right w:type="dxa" w:w="100"/>
            </w:tcMar>
            <w:vAlign w:val="center"/>
          </w:tcPr>
          <w:p>
            <w:pPr>
              <w:jc w:val="left"/>
            </w:pPr>
            <w:r>
              <w:rPr>
                <w:color w:val="1F1F1F"/>
                <w:sz w:val="19"/>
                <w:szCs w:val="19"/>
              </w:rPr>
              <w:t xml:space="preserve">~Jul 18</w:t>
            </w:r>
          </w:p>
        </w:tc>
        <w:tc>
          <w:tcPr>
            <w:tcW w:type="dxa" w:w="1900"/>
            <w:shd w:fill="F7F7F7" w:val="clear"/>
            <w:tcMar>
              <w:top w:type="dxa" w:w="80"/>
              <w:left w:type="dxa" w:w="100"/>
              <w:bottom w:type="dxa" w:w="80"/>
              <w:right w:type="dxa" w:w="100"/>
            </w:tcMar>
            <w:vAlign w:val="center"/>
          </w:tcPr>
          <w:p>
            <w:pPr>
              <w:jc w:val="left"/>
            </w:pPr>
            <w:r>
              <w:rPr>
                <w:color w:val="1F1F1F"/>
                <w:sz w:val="19"/>
                <w:szCs w:val="19"/>
              </w:rPr>
              <w:t xml:space="preserve">Parked — hold</w:t>
            </w:r>
          </w:p>
        </w:tc>
        <w:tc>
          <w:tcPr>
            <w:tcW w:type="dxa" w:w="3900"/>
            <w:shd w:fill="F7F7F7" w:val="clear"/>
            <w:tcMar>
              <w:top w:type="dxa" w:w="80"/>
              <w:left w:type="dxa" w:w="100"/>
              <w:bottom w:type="dxa" w:w="80"/>
              <w:right w:type="dxa" w:w="100"/>
            </w:tcMar>
            <w:vAlign w:val="center"/>
          </w:tcPr>
          <w:p>
            <w:pPr>
              <w:jc w:val="left"/>
            </w:pPr>
            <w:r>
              <w:rPr>
                <w:color w:val="1F1F1F"/>
                <w:sz w:val="19"/>
                <w:szCs w:val="19"/>
              </w:rPr>
              <w:t xml:space="preserve">Genuine new hook only, no mention of referral</w:t>
            </w:r>
          </w:p>
        </w:tc>
      </w:tr>
      <w:tr>
        <w:tc>
          <w:tcPr>
            <w:tcW w:type="dxa" w:w="1900"/>
            <w:tcMar>
              <w:top w:type="dxa" w:w="80"/>
              <w:left w:type="dxa" w:w="100"/>
              <w:bottom w:type="dxa" w:w="80"/>
              <w:right w:type="dxa" w:w="100"/>
            </w:tcMar>
            <w:vAlign w:val="center"/>
          </w:tcPr>
          <w:p>
            <w:pPr>
              <w:jc w:val="left"/>
            </w:pPr>
            <w:r>
              <w:rPr>
                <w:color w:val="1F1F1F"/>
                <w:sz w:val="19"/>
                <w:szCs w:val="19"/>
              </w:rPr>
              <w:t xml:space="preserve">Dhruv Khandelwal</w:t>
            </w:r>
          </w:p>
        </w:tc>
        <w:tc>
          <w:tcPr>
            <w:tcW w:type="dxa" w:w="1900"/>
            <w:tcMar>
              <w:top w:type="dxa" w:w="80"/>
              <w:left w:type="dxa" w:w="100"/>
              <w:bottom w:type="dxa" w:w="80"/>
              <w:right w:type="dxa" w:w="100"/>
            </w:tcMar>
            <w:vAlign w:val="center"/>
          </w:tcPr>
          <w:p>
            <w:pPr>
              <w:jc w:val="left"/>
            </w:pPr>
            <w:r>
              <w:rPr>
                <w:color w:val="1F1F1F"/>
                <w:sz w:val="19"/>
                <w:szCs w:val="19"/>
              </w:rPr>
              <w:t xml:space="preserve">Jul 26</w:t>
            </w:r>
          </w:p>
        </w:tc>
        <w:tc>
          <w:tcPr>
            <w:tcW w:type="dxa" w:w="1900"/>
            <w:tcMar>
              <w:top w:type="dxa" w:w="80"/>
              <w:left w:type="dxa" w:w="100"/>
              <w:bottom w:type="dxa" w:w="80"/>
              <w:right w:type="dxa" w:w="100"/>
            </w:tcMar>
            <w:vAlign w:val="center"/>
          </w:tcPr>
          <w:p>
            <w:pPr>
              <w:jc w:val="left"/>
            </w:pPr>
            <w:r>
              <w:rPr>
                <w:color w:val="1F1F1F"/>
                <w:sz w:val="19"/>
                <w:szCs w:val="19"/>
              </w:rPr>
              <w:t xml:space="preserve">Parked — hold</w:t>
            </w:r>
          </w:p>
        </w:tc>
        <w:tc>
          <w:tcPr>
            <w:tcW w:type="dxa" w:w="3900"/>
            <w:tcMar>
              <w:top w:type="dxa" w:w="80"/>
              <w:left w:type="dxa" w:w="100"/>
              <w:bottom w:type="dxa" w:w="80"/>
              <w:right w:type="dxa" w:w="100"/>
            </w:tcMar>
            <w:vAlign w:val="center"/>
          </w:tcPr>
          <w:p>
            <w:pPr>
              <w:jc w:val="left"/>
            </w:pPr>
            <w:r>
              <w:rPr>
                <w:color w:val="1F1F1F"/>
                <w:sz w:val="19"/>
                <w:szCs w:val="19"/>
              </w:rPr>
              <w:t xml:space="preserve">“Product revamped, first paid user” — no session ask</w:t>
            </w:r>
          </w:p>
        </w:tc>
      </w:tr>
      <w:tr>
        <w:tc>
          <w:tcPr>
            <w:tcW w:type="dxa" w:w="1900"/>
            <w:shd w:fill="F7F7F7" w:val="clear"/>
            <w:tcMar>
              <w:top w:type="dxa" w:w="80"/>
              <w:left w:type="dxa" w:w="100"/>
              <w:bottom w:type="dxa" w:w="80"/>
              <w:right w:type="dxa" w:w="100"/>
            </w:tcMar>
            <w:vAlign w:val="center"/>
          </w:tcPr>
          <w:p>
            <w:pPr>
              <w:jc w:val="left"/>
            </w:pPr>
            <w:r>
              <w:rPr>
                <w:color w:val="1F1F1F"/>
                <w:sz w:val="19"/>
                <w:szCs w:val="19"/>
              </w:rPr>
              <w:t xml:space="preserve">Navneet Bali</w:t>
            </w:r>
          </w:p>
        </w:tc>
        <w:tc>
          <w:tcPr>
            <w:tcW w:type="dxa" w:w="1900"/>
            <w:shd w:fill="F7F7F7" w:val="clear"/>
            <w:tcMar>
              <w:top w:type="dxa" w:w="80"/>
              <w:left w:type="dxa" w:w="100"/>
              <w:bottom w:type="dxa" w:w="80"/>
              <w:right w:type="dxa" w:w="100"/>
            </w:tcMar>
            <w:vAlign w:val="center"/>
          </w:tcPr>
          <w:p>
            <w:pPr>
              <w:jc w:val="left"/>
            </w:pPr>
            <w:r>
              <w:rPr>
                <w:color w:val="1F1F1F"/>
                <w:sz w:val="19"/>
                <w:szCs w:val="19"/>
              </w:rPr>
              <w:t xml:space="preserve">Jul 31</w:t>
            </w:r>
          </w:p>
        </w:tc>
        <w:tc>
          <w:tcPr>
            <w:tcW w:type="dxa" w:w="1900"/>
            <w:shd w:fill="F7F7F7" w:val="clear"/>
            <w:tcMar>
              <w:top w:type="dxa" w:w="80"/>
              <w:left w:type="dxa" w:w="100"/>
              <w:bottom w:type="dxa" w:w="80"/>
              <w:right w:type="dxa" w:w="100"/>
            </w:tcMar>
            <w:vAlign w:val="center"/>
          </w:tcPr>
          <w:p>
            <w:pPr>
              <w:jc w:val="left"/>
            </w:pPr>
            <w:r>
              <w:rPr>
                <w:color w:val="1F1F1F"/>
                <w:sz w:val="19"/>
                <w:szCs w:val="19"/>
              </w:rPr>
              <w:t xml:space="preserve">Parked — hold</w:t>
            </w:r>
          </w:p>
        </w:tc>
        <w:tc>
          <w:tcPr>
            <w:tcW w:type="dxa" w:w="3900"/>
            <w:shd w:fill="F7F7F7" w:val="clear"/>
            <w:tcMar>
              <w:top w:type="dxa" w:w="80"/>
              <w:left w:type="dxa" w:w="100"/>
              <w:bottom w:type="dxa" w:w="80"/>
              <w:right w:type="dxa" w:w="100"/>
            </w:tcMar>
            <w:vAlign w:val="center"/>
          </w:tcPr>
          <w:p>
            <w:pPr>
              <w:jc w:val="left"/>
            </w:pPr>
            <w:r>
              <w:rPr>
                <w:color w:val="1F1F1F"/>
                <w:sz w:val="19"/>
                <w:szCs w:val="19"/>
              </w:rPr>
              <w:t xml:space="preserve">New angle only — was over-contacted at 5 msgs/12 days</w:t>
            </w:r>
          </w:p>
        </w:tc>
      </w:tr>
      <w:tr>
        <w:tc>
          <w:tcPr>
            <w:tcW w:type="dxa" w:w="1900"/>
            <w:tcMar>
              <w:top w:type="dxa" w:w="80"/>
              <w:left w:type="dxa" w:w="100"/>
              <w:bottom w:type="dxa" w:w="80"/>
              <w:right w:type="dxa" w:w="100"/>
            </w:tcMar>
            <w:vAlign w:val="center"/>
          </w:tcPr>
          <w:p>
            <w:pPr>
              <w:jc w:val="left"/>
            </w:pPr>
            <w:r>
              <w:rPr>
                <w:color w:val="1F1F1F"/>
                <w:sz w:val="19"/>
                <w:szCs w:val="19"/>
              </w:rPr>
              <w:t xml:space="preserve">Manmeet Singh</w:t>
            </w:r>
          </w:p>
        </w:tc>
        <w:tc>
          <w:tcPr>
            <w:tcW w:type="dxa" w:w="1900"/>
            <w:tcMar>
              <w:top w:type="dxa" w:w="80"/>
              <w:left w:type="dxa" w:w="100"/>
              <w:bottom w:type="dxa" w:w="80"/>
              <w:right w:type="dxa" w:w="100"/>
            </w:tcMar>
            <w:vAlign w:val="center"/>
          </w:tcPr>
          <w:p>
            <w:pPr>
              <w:jc w:val="left"/>
            </w:pPr>
            <w:r>
              <w:rPr>
                <w:color w:val="1F1F1F"/>
                <w:sz w:val="19"/>
                <w:szCs w:val="19"/>
              </w:rPr>
              <w:t xml:space="preserve">Aug 3</w:t>
            </w:r>
          </w:p>
        </w:tc>
        <w:tc>
          <w:tcPr>
            <w:tcW w:type="dxa" w:w="1900"/>
            <w:tcMar>
              <w:top w:type="dxa" w:w="80"/>
              <w:left w:type="dxa" w:w="100"/>
              <w:bottom w:type="dxa" w:w="80"/>
              <w:right w:type="dxa" w:w="100"/>
            </w:tcMar>
            <w:vAlign w:val="center"/>
          </w:tcPr>
          <w:p>
            <w:pPr>
              <w:jc w:val="left"/>
            </w:pPr>
            <w:r>
              <w:rPr>
                <w:color w:val="1F1F1F"/>
                <w:sz w:val="19"/>
                <w:szCs w:val="19"/>
              </w:rPr>
              <w:t xml:space="preserve">Parked — hold</w:t>
            </w:r>
          </w:p>
        </w:tc>
        <w:tc>
          <w:tcPr>
            <w:tcW w:type="dxa" w:w="3900"/>
            <w:tcMar>
              <w:top w:type="dxa" w:w="80"/>
              <w:left w:type="dxa" w:w="100"/>
              <w:bottom w:type="dxa" w:w="80"/>
              <w:right w:type="dxa" w:w="100"/>
            </w:tcMar>
            <w:vAlign w:val="center"/>
          </w:tcPr>
          <w:p>
            <w:pPr>
              <w:jc w:val="left"/>
            </w:pPr>
            <w:r>
              <w:rPr>
                <w:color w:val="1F1F1F"/>
                <w:sz w:val="19"/>
                <w:szCs w:val="19"/>
              </w:rPr>
              <w:t xml:space="preserve">Genuine milestone hook only, not a status check</w:t>
            </w:r>
          </w:p>
        </w:tc>
      </w:tr>
      <w:tr>
        <w:tc>
          <w:tcPr>
            <w:tcW w:type="dxa" w:w="1900"/>
            <w:shd w:fill="F7F7F7" w:val="clear"/>
            <w:tcMar>
              <w:top w:type="dxa" w:w="80"/>
              <w:left w:type="dxa" w:w="100"/>
              <w:bottom w:type="dxa" w:w="80"/>
              <w:right w:type="dxa" w:w="100"/>
            </w:tcMar>
            <w:vAlign w:val="center"/>
          </w:tcPr>
          <w:p>
            <w:pPr>
              <w:jc w:val="left"/>
            </w:pPr>
            <w:r>
              <w:rPr>
                <w:color w:val="1F1F1F"/>
                <w:sz w:val="19"/>
                <w:szCs w:val="19"/>
              </w:rPr>
              <w:t xml:space="preserve">Rakesh Santhapur</w:t>
            </w:r>
          </w:p>
        </w:tc>
        <w:tc>
          <w:tcPr>
            <w:tcW w:type="dxa" w:w="1900"/>
            <w:shd w:fill="F7F7F7" w:val="clear"/>
            <w:tcMar>
              <w:top w:type="dxa" w:w="80"/>
              <w:left w:type="dxa" w:w="100"/>
              <w:bottom w:type="dxa" w:w="80"/>
              <w:right w:type="dxa" w:w="100"/>
            </w:tcMar>
            <w:vAlign w:val="center"/>
          </w:tcPr>
          <w:p>
            <w:pPr>
              <w:jc w:val="left"/>
            </w:pPr>
            <w:r>
              <w:rPr>
                <w:color w:val="1F1F1F"/>
                <w:sz w:val="19"/>
                <w:szCs w:val="19"/>
              </w:rPr>
              <w:t xml:space="preserve">Aug 3</w:t>
            </w:r>
          </w:p>
        </w:tc>
        <w:tc>
          <w:tcPr>
            <w:tcW w:type="dxa" w:w="1900"/>
            <w:shd w:fill="F7F7F7" w:val="clear"/>
            <w:tcMar>
              <w:top w:type="dxa" w:w="80"/>
              <w:left w:type="dxa" w:w="100"/>
              <w:bottom w:type="dxa" w:w="80"/>
              <w:right w:type="dxa" w:w="100"/>
            </w:tcMar>
            <w:vAlign w:val="center"/>
          </w:tcPr>
          <w:p>
            <w:pPr>
              <w:jc w:val="left"/>
            </w:pPr>
            <w:r>
              <w:rPr>
                <w:color w:val="1F1F1F"/>
                <w:sz w:val="19"/>
                <w:szCs w:val="19"/>
              </w:rPr>
              <w:t xml:space="preserve">Parked — hold</w:t>
            </w:r>
          </w:p>
        </w:tc>
        <w:tc>
          <w:tcPr>
            <w:tcW w:type="dxa" w:w="3900"/>
            <w:shd w:fill="F7F7F7" w:val="clear"/>
            <w:tcMar>
              <w:top w:type="dxa" w:w="80"/>
              <w:left w:type="dxa" w:w="100"/>
              <w:bottom w:type="dxa" w:w="80"/>
              <w:right w:type="dxa" w:w="100"/>
            </w:tcMar>
            <w:vAlign w:val="center"/>
          </w:tcPr>
          <w:p>
            <w:pPr>
              <w:jc w:val="left"/>
            </w:pPr>
            <w:r>
              <w:rPr>
                <w:color w:val="1F1F1F"/>
                <w:sz w:val="19"/>
                <w:szCs w:val="19"/>
              </w:rPr>
              <w:t xml:space="preserve">Same as Manmeet</w:t>
            </w:r>
          </w:p>
        </w:tc>
      </w:tr>
      <w:tr>
        <w:tc>
          <w:tcPr>
            <w:tcW w:type="dxa" w:w="1900"/>
            <w:tcMar>
              <w:top w:type="dxa" w:w="80"/>
              <w:left w:type="dxa" w:w="100"/>
              <w:bottom w:type="dxa" w:w="80"/>
              <w:right w:type="dxa" w:w="100"/>
            </w:tcMar>
            <w:vAlign w:val="center"/>
          </w:tcPr>
          <w:p>
            <w:pPr>
              <w:jc w:val="left"/>
            </w:pPr>
            <w:r>
              <w:rPr>
                <w:color w:val="1F1F1F"/>
                <w:sz w:val="19"/>
                <w:szCs w:val="19"/>
              </w:rPr>
              <w:t xml:space="preserve">Surbhi Allagh</w:t>
            </w:r>
          </w:p>
        </w:tc>
        <w:tc>
          <w:tcPr>
            <w:tcW w:type="dxa" w:w="1900"/>
            <w:tcMar>
              <w:top w:type="dxa" w:w="80"/>
              <w:left w:type="dxa" w:w="100"/>
              <w:bottom w:type="dxa" w:w="80"/>
              <w:right w:type="dxa" w:w="100"/>
            </w:tcMar>
            <w:vAlign w:val="center"/>
          </w:tcPr>
          <w:p>
            <w:pPr>
              <w:jc w:val="left"/>
            </w:pPr>
            <w:r>
              <w:rPr>
                <w:color w:val="1F1F1F"/>
                <w:sz w:val="19"/>
                <w:szCs w:val="19"/>
              </w:rPr>
              <w:t xml:space="preserve">Aug 3</w:t>
            </w:r>
          </w:p>
        </w:tc>
        <w:tc>
          <w:tcPr>
            <w:tcW w:type="dxa" w:w="1900"/>
            <w:tcMar>
              <w:top w:type="dxa" w:w="80"/>
              <w:left w:type="dxa" w:w="100"/>
              <w:bottom w:type="dxa" w:w="80"/>
              <w:right w:type="dxa" w:w="100"/>
            </w:tcMar>
            <w:vAlign w:val="center"/>
          </w:tcPr>
          <w:p>
            <w:pPr>
              <w:jc w:val="left"/>
            </w:pPr>
            <w:r>
              <w:rPr>
                <w:color w:val="1F1F1F"/>
                <w:sz w:val="19"/>
                <w:szCs w:val="19"/>
              </w:rPr>
              <w:t xml:space="preserve">Parked — hold</w:t>
            </w:r>
          </w:p>
        </w:tc>
        <w:tc>
          <w:tcPr>
            <w:tcW w:type="dxa" w:w="3900"/>
            <w:tcMar>
              <w:top w:type="dxa" w:w="80"/>
              <w:left w:type="dxa" w:w="100"/>
              <w:bottom w:type="dxa" w:w="80"/>
              <w:right w:type="dxa" w:w="100"/>
            </w:tcMar>
            <w:vAlign w:val="center"/>
          </w:tcPr>
          <w:p>
            <w:pPr>
              <w:jc w:val="left"/>
            </w:pPr>
            <w:r>
              <w:rPr>
                <w:color w:val="1F1F1F"/>
                <w:sz w:val="19"/>
                <w:szCs w:val="19"/>
              </w:rPr>
              <w:t xml:space="preserve">30-day gap — genuine new hook, not a repeat ask</w:t>
            </w:r>
          </w:p>
        </w:tc>
      </w:tr>
      <w:tr>
        <w:tc>
          <w:tcPr>
            <w:tcW w:type="dxa" w:w="1900"/>
            <w:shd w:fill="F7F7F7" w:val="clear"/>
            <w:tcMar>
              <w:top w:type="dxa" w:w="80"/>
              <w:left w:type="dxa" w:w="100"/>
              <w:bottom w:type="dxa" w:w="80"/>
              <w:right w:type="dxa" w:w="100"/>
            </w:tcMar>
            <w:vAlign w:val="center"/>
          </w:tcPr>
          <w:p>
            <w:pPr>
              <w:jc w:val="left"/>
            </w:pPr>
            <w:r>
              <w:rPr>
                <w:color w:val="1F1F1F"/>
                <w:sz w:val="19"/>
                <w:szCs w:val="19"/>
              </w:rPr>
              <w:t xml:space="preserve">Jay Ingle</w:t>
            </w:r>
          </w:p>
        </w:tc>
        <w:tc>
          <w:tcPr>
            <w:tcW w:type="dxa" w:w="1900"/>
            <w:shd w:fill="F7F7F7" w:val="clear"/>
            <w:tcMar>
              <w:top w:type="dxa" w:w="80"/>
              <w:left w:type="dxa" w:w="100"/>
              <w:bottom w:type="dxa" w:w="80"/>
              <w:right w:type="dxa" w:w="100"/>
            </w:tcMar>
            <w:vAlign w:val="center"/>
          </w:tcPr>
          <w:p>
            <w:pPr>
              <w:jc w:val="left"/>
            </w:pPr>
            <w:r>
              <w:rPr>
                <w:color w:val="1F1F1F"/>
                <w:sz w:val="19"/>
                <w:szCs w:val="19"/>
              </w:rPr>
              <w:t xml:space="preserve">~Aug 6</w:t>
            </w:r>
          </w:p>
        </w:tc>
        <w:tc>
          <w:tcPr>
            <w:tcW w:type="dxa" w:w="1900"/>
            <w:shd w:fill="F7F7F7" w:val="clear"/>
            <w:tcMar>
              <w:top w:type="dxa" w:w="80"/>
              <w:left w:type="dxa" w:w="100"/>
              <w:bottom w:type="dxa" w:w="80"/>
              <w:right w:type="dxa" w:w="100"/>
            </w:tcMar>
            <w:vAlign w:val="center"/>
          </w:tcPr>
          <w:p>
            <w:pPr>
              <w:jc w:val="left"/>
            </w:pPr>
            <w:r>
              <w:rPr>
                <w:color w:val="1F1F1F"/>
                <w:sz w:val="19"/>
                <w:szCs w:val="19"/>
              </w:rPr>
              <w:t xml:space="preserve">Parked — hold</w:t>
            </w:r>
          </w:p>
        </w:tc>
        <w:tc>
          <w:tcPr>
            <w:tcW w:type="dxa" w:w="3900"/>
            <w:shd w:fill="F7F7F7" w:val="clear"/>
            <w:tcMar>
              <w:top w:type="dxa" w:w="80"/>
              <w:left w:type="dxa" w:w="100"/>
              <w:bottom w:type="dxa" w:w="80"/>
              <w:right w:type="dxa" w:w="100"/>
            </w:tcMar>
            <w:vAlign w:val="center"/>
          </w:tcPr>
          <w:p>
            <w:pPr>
              <w:jc w:val="left"/>
            </w:pPr>
            <w:r>
              <w:rPr>
                <w:color w:val="1F1F1F"/>
                <w:sz w:val="19"/>
                <w:szCs w:val="19"/>
              </w:rPr>
              <w:t xml:space="preserve">“Didn't want this to go fully cold. Offer still stands.”</w:t>
            </w:r>
          </w:p>
        </w:tc>
      </w:tr>
      <w:tr>
        <w:tc>
          <w:tcPr>
            <w:tcW w:type="dxa" w:w="1900"/>
            <w:tcMar>
              <w:top w:type="dxa" w:w="80"/>
              <w:left w:type="dxa" w:w="100"/>
              <w:bottom w:type="dxa" w:w="80"/>
              <w:right w:type="dxa" w:w="100"/>
            </w:tcMar>
            <w:vAlign w:val="center"/>
          </w:tcPr>
          <w:p>
            <w:pPr>
              <w:jc w:val="left"/>
            </w:pPr>
            <w:r>
              <w:rPr>
                <w:color w:val="1F1F1F"/>
                <w:sz w:val="19"/>
                <w:szCs w:val="19"/>
              </w:rPr>
              <w:t xml:space="preserve">Aditya Pittie</w:t>
            </w:r>
          </w:p>
        </w:tc>
        <w:tc>
          <w:tcPr>
            <w:tcW w:type="dxa" w:w="1900"/>
            <w:tcMar>
              <w:top w:type="dxa" w:w="80"/>
              <w:left w:type="dxa" w:w="100"/>
              <w:bottom w:type="dxa" w:w="80"/>
              <w:right w:type="dxa" w:w="100"/>
            </w:tcMar>
            <w:vAlign w:val="center"/>
          </w:tcPr>
          <w:p>
            <w:pPr>
              <w:jc w:val="left"/>
            </w:pPr>
            <w:r>
              <w:rPr>
                <w:color w:val="1F1F1F"/>
                <w:sz w:val="19"/>
                <w:szCs w:val="19"/>
              </w:rPr>
              <w:t xml:space="preserve">~Jun 30 / Jul 1</w:t>
            </w:r>
          </w:p>
        </w:tc>
        <w:tc>
          <w:tcPr>
            <w:tcW w:type="dxa" w:w="1900"/>
            <w:tcMar>
              <w:top w:type="dxa" w:w="80"/>
              <w:left w:type="dxa" w:w="100"/>
              <w:bottom w:type="dxa" w:w="80"/>
              <w:right w:type="dxa" w:w="100"/>
            </w:tcMar>
            <w:vAlign w:val="center"/>
          </w:tcPr>
          <w:p>
            <w:pPr>
              <w:jc w:val="left"/>
            </w:pPr>
            <w:r>
              <w:rPr>
                <w:color w:val="1F1F1F"/>
                <w:sz w:val="19"/>
                <w:szCs w:val="19"/>
              </w:rPr>
              <w:t xml:space="preserve">Parked — hold</w:t>
            </w:r>
          </w:p>
        </w:tc>
        <w:tc>
          <w:tcPr>
            <w:tcW w:type="dxa" w:w="3900"/>
            <w:tcMar>
              <w:top w:type="dxa" w:w="80"/>
              <w:left w:type="dxa" w:w="100"/>
              <w:bottom w:type="dxa" w:w="80"/>
              <w:right w:type="dxa" w:w="100"/>
            </w:tcMar>
            <w:vAlign w:val="center"/>
          </w:tcPr>
          <w:p>
            <w:pPr>
              <w:jc w:val="left"/>
            </w:pPr>
            <w:r>
              <w:rPr>
                <w:color w:val="1F1F1F"/>
                <w:sz w:val="19"/>
                <w:szCs w:val="19"/>
              </w:rPr>
              <w:t xml:space="preserve">LinkedIn DM only — email channel is closed</w:t>
            </w:r>
          </w:p>
        </w:tc>
      </w:tr>
      <w:tr>
        <w:tc>
          <w:tcPr>
            <w:tcW w:type="dxa" w:w="1900"/>
            <w:shd w:fill="F7F7F7" w:val="clear"/>
            <w:tcMar>
              <w:top w:type="dxa" w:w="80"/>
              <w:left w:type="dxa" w:w="100"/>
              <w:bottom w:type="dxa" w:w="80"/>
              <w:right w:type="dxa" w:w="100"/>
            </w:tcMar>
            <w:vAlign w:val="center"/>
          </w:tcPr>
          <w:p>
            <w:pPr>
              <w:jc w:val="left"/>
            </w:pPr>
            <w:r>
              <w:rPr>
                <w:color w:val="1F1F1F"/>
                <w:sz w:val="19"/>
                <w:szCs w:val="19"/>
              </w:rPr>
              <w:t xml:space="preserve">Dezerv</w:t>
            </w:r>
          </w:p>
        </w:tc>
        <w:tc>
          <w:tcPr>
            <w:tcW w:type="dxa" w:w="1900"/>
            <w:shd w:fill="F7F7F7" w:val="clear"/>
            <w:tcMar>
              <w:top w:type="dxa" w:w="80"/>
              <w:left w:type="dxa" w:w="100"/>
              <w:bottom w:type="dxa" w:w="80"/>
              <w:right w:type="dxa" w:w="100"/>
            </w:tcMar>
            <w:vAlign w:val="center"/>
          </w:tcPr>
          <w:p>
            <w:pPr>
              <w:jc w:val="left"/>
            </w:pPr>
            <w:r>
              <w:rPr>
                <w:color w:val="1F1F1F"/>
                <w:sz w:val="19"/>
                <w:szCs w:val="19"/>
              </w:rPr>
              <w:t xml:space="preserve">~Sep 2026</w:t>
            </w:r>
          </w:p>
        </w:tc>
        <w:tc>
          <w:tcPr>
            <w:tcW w:type="dxa" w:w="1900"/>
            <w:shd w:fill="F7F7F7" w:val="clear"/>
            <w:tcMar>
              <w:top w:type="dxa" w:w="80"/>
              <w:left w:type="dxa" w:w="100"/>
              <w:bottom w:type="dxa" w:w="80"/>
              <w:right w:type="dxa" w:w="100"/>
            </w:tcMar>
            <w:vAlign w:val="center"/>
          </w:tcPr>
          <w:p>
            <w:pPr>
              <w:jc w:val="left"/>
            </w:pPr>
            <w:r>
              <w:rPr>
                <w:color w:val="1F1F1F"/>
                <w:sz w:val="19"/>
                <w:szCs w:val="19"/>
              </w:rPr>
              <w:t xml:space="preserve">Not yet due</w:t>
            </w:r>
          </w:p>
        </w:tc>
        <w:tc>
          <w:tcPr>
            <w:tcW w:type="dxa" w:w="3900"/>
            <w:shd w:fill="F7F7F7" w:val="clear"/>
            <w:tcMar>
              <w:top w:type="dxa" w:w="80"/>
              <w:left w:type="dxa" w:w="100"/>
              <w:bottom w:type="dxa" w:w="80"/>
              <w:right w:type="dxa" w:w="100"/>
            </w:tcMar>
            <w:vAlign w:val="center"/>
          </w:tcPr>
          <w:p>
            <w:pPr>
              <w:jc w:val="left"/>
            </w:pPr>
            <w:r>
              <w:rPr>
                <w:color w:val="1F1F1F"/>
                <w:sz w:val="19"/>
                <w:szCs w:val="19"/>
              </w:rPr>
              <w:t xml:space="preserve">Only if a genuinely different strategic angle materialises</w:t>
            </w:r>
          </w:p>
        </w:tc>
      </w:tr>
    </w:tbl>
    <w:p>
      <w:pPr>
        <w:spacing w:after="120"/>
      </w:pPr>
    </w:p>
    <w:p>
      <w:pPr>
        <w:pStyle w:val="Heading3"/>
        <w:spacing w:after="80" w:before="200"/>
      </w:pPr>
      <w:r>
        <w:rPr>
          <w:b/>
          <w:bCs/>
          <w:color w:val="1F1F1F"/>
          <w:sz w:val="22"/>
          <w:szCs w:val="22"/>
        </w:rPr>
        <w:t xml:space="preserve">Three rules for every re-engagement (unchanged)</w:t>
      </w:r>
    </w:p>
    <w:p>
      <w:pPr>
        <w:pStyle w:val="ListParagraph"/>
        <w:numPr>
          <w:ilvl w:val="0"/>
          <w:numId w:val="2"/>
        </w:numPr>
        <w:spacing w:after="80"/>
      </w:pPr>
      <w:r>
        <w:rPr>
          <w:color w:val="1F1F1F"/>
          <w:sz w:val="21"/>
          <w:szCs w:val="21"/>
        </w:rPr>
        <w:t xml:space="preserve">Never repeat the original ask. If it didn't work once, change what you're asking for, not the volume or tone.</w:t>
      </w:r>
    </w:p>
    <w:p>
      <w:pPr>
        <w:pStyle w:val="ListParagraph"/>
        <w:numPr>
          <w:ilvl w:val="0"/>
          <w:numId w:val="2"/>
        </w:numPr>
        <w:spacing w:after="80"/>
      </w:pPr>
      <w:r>
        <w:rPr>
          <w:color w:val="1F1F1F"/>
          <w:sz w:val="21"/>
          <w:szCs w:val="21"/>
        </w:rPr>
        <w:t xml:space="preserve">Never reference the old silence. Don't open with “following up again.” Start clean.</w:t>
      </w:r>
    </w:p>
    <w:p>
      <w:pPr>
        <w:pStyle w:val="ListParagraph"/>
        <w:numPr>
          <w:ilvl w:val="0"/>
          <w:numId w:val="2"/>
        </w:numPr>
        <w:spacing w:after="80"/>
      </w:pPr>
      <w:r>
        <w:rPr>
          <w:color w:val="1F1F1F"/>
          <w:sz w:val="21"/>
          <w:szCs w:val="21"/>
        </w:rPr>
        <w:t xml:space="preserve">Never send without a genuine new hook. A product milestone, first paying user, or new use case. A weak hook means wait for one.</w:t>
      </w:r>
    </w:p>
    <w:p>
      <w:pPr>
        <w:spacing w:after="200"/>
      </w:pPr>
    </w:p>
    <w:p>
      <w:pPr>
        <w:pStyle w:val="Heading1"/>
        <w:pBdr>
          <w:bottom w:val="single" w:color="8A6D00" w:sz="8" w:space="4"/>
        </w:pBdr>
        <w:spacing w:after="160" w:before="360"/>
      </w:pPr>
      <w:r>
        <w:rPr>
          <w:b/>
          <w:bCs/>
          <w:color w:val="1F1F1F"/>
          <w:sz w:val="30"/>
          <w:szCs w:val="30"/>
        </w:rPr>
        <w:t xml:space="preserve">11. Daily WhatsApp System</w:t>
      </w:r>
    </w:p>
    <w:p>
      <w:pPr>
        <w:pBdr>
          <w:left w:val="single" w:color="8A6D00" w:sz="18" w:space="8"/>
        </w:pBdr>
        <w:shd w:fill="FFF6D9" w:val="clear"/>
        <w:spacing w:after="200" w:before="100"/>
        <w:ind w:left="100"/>
      </w:pPr>
      <w:r>
        <w:rPr>
          <w:i/>
          <w:iCs/>
          <w:color w:val="1F1F1F"/>
          <w:sz w:val="20"/>
          <w:szCs w:val="20"/>
        </w:rPr>
        <w:t xml:space="preserve">Confirmed with the founder (Aug 13): the daily cadence for Gagan Dhir and Viral Malwania has been stopped. This was a deliberate pause, not a lapse — it can be reopened when useful. Treat the format rules and templates below as ready-to-resume, not currently active.</w:t>
      </w:r>
    </w:p>
    <w:p>
      <w:pPr>
        <w:spacing w:after="140"/>
      </w:pPr>
      <w:r>
        <w:rPr>
          <w:color w:val="1F1F1F"/>
          <w:sz w:val="21"/>
          <w:szCs w:val="21"/>
        </w:rPr>
        <w:t xml:space="preserve">Purpose: maintain a daily touchpoint with high-engagement users without creating social debt or requiring replies. Format rules (locked): warm personal opener; one light reference to Mirror as a reminder, not a check-in; explicit “no reply needed” every message, non-negotiable; never a question that requires an answer; never name-drop other users; vary phrasing daily, same structure.</w:t>
      </w:r>
    </w:p>
    <w:p>
      <w:pPr>
        <w:spacing w:after="140"/>
      </w:pPr>
      <w:r>
        <w:rPr>
          <w:color w:val="1F1F1F"/>
          <w:sz w:val="21"/>
          <w:szCs w:val="21"/>
        </w:rPr>
        <w:t xml:space="preserve">Templates on file — Gagan (formal/warm register): “Good morning Gagan sir 🙏 Dropping your daily Mirror reminder — no need to reply to this, just there whenever something comes up today.” Viral (casual/energetic register): “Hey Viral 🙂 Daily drop — Mirror's there whenever. No reply needed, just keeping the habit alive!”</w:t>
      </w:r>
    </w:p>
    <w:p>
      <w:pPr>
        <w:spacing w:after="200"/>
      </w:pPr>
      <w:r>
        <w:rPr>
          <w:color w:val="1F1F1F"/>
          <w:sz w:val="21"/>
          <w:szCs w:val="21"/>
        </w:rPr>
        <w:t xml:space="preserve">Day-lock ask and the daily nudge remain permanently separate tracks — never merge a scheduling question into a “no reply needed” message. Periodic checkpoint calls (e.g. the Jun 30 Gagan call) have two objectives: a usage diagnostic, and a direct ask for 2–3 specific referral names from his network.</w:t>
      </w:r>
    </w:p>
    <w:p>
      <w:pPr>
        <w:pStyle w:val="Heading1"/>
        <w:pBdr>
          <w:bottom w:val="single" w:color="8A6D00" w:sz="8" w:space="4"/>
        </w:pBdr>
        <w:spacing w:after="160" w:before="360"/>
      </w:pPr>
      <w:r>
        <w:rPr>
          <w:b/>
          <w:bCs/>
          <w:color w:val="1F1F1F"/>
          <w:sz w:val="30"/>
          <w:szCs w:val="30"/>
        </w:rPr>
        <w:t xml:space="preserve">12. Messaging Scripts Library</w:t>
      </w:r>
    </w:p>
    <w:p>
      <w:pPr>
        <w:spacing w:after="140"/>
      </w:pPr>
      <w:r>
        <w:rPr>
          <w:color w:val="1F1F1F"/>
          <w:sz w:val="21"/>
          <w:szCs w:val="21"/>
        </w:rPr>
        <w:t xml:space="preserve">The July 7 script library (Scripts 1–6, 13, 15–22) is unchanged and still the working set for warm/pipeline outreach — not reproduced in full here to avoid duplication; see the July 7 handover for exact wording. Below are new scripts and copy that came out of the Aug 11 update, specific to the Meta funnel and cold-lead conversations.</w:t>
      </w:r>
    </w:p>
    <w:p>
      <w:pPr>
        <w:pStyle w:val="Heading3"/>
        <w:spacing w:after="80" w:before="200"/>
      </w:pPr>
      <w:r>
        <w:rPr>
          <w:b/>
          <w:bCs/>
          <w:color w:val="1F1F1F"/>
          <w:sz w:val="22"/>
          <w:szCs w:val="22"/>
        </w:rPr>
        <w:t xml:space="preserve">Script 23 — Meta ₹299 ad, static/video creative</w:t>
      </w:r>
    </w:p>
    <w:p>
      <w:pPr>
        <w:pBdr>
          <w:left w:val="single" w:color="8A6D00" w:sz="18" w:space="8"/>
        </w:pBdr>
        <w:shd w:fill="FFF6D9" w:val="clear"/>
        <w:spacing w:after="200" w:before="100"/>
        <w:ind w:left="100"/>
      </w:pPr>
      <w:r>
        <w:rPr>
          <w:i/>
          <w:iCs/>
          <w:color w:val="1F1F1F"/>
          <w:sz w:val="20"/>
          <w:szCs w:val="20"/>
        </w:rPr>
        <w:t xml:space="preserve">Headline: “WHAT'S THE DECISION YOU'VE BEEN GOING IN CIRCLES ON?”
Offer: “₹299 · 30-minute live founder-led Decision Session. Refundable if genuinely no value.”</w:t>
      </w:r>
    </w:p>
    <w:p>
      <w:pPr>
        <w:pStyle w:val="Heading3"/>
        <w:spacing w:after="80" w:before="200"/>
      </w:pPr>
      <w:r>
        <w:rPr>
          <w:b/>
          <w:bCs/>
          <w:color w:val="1F1F1F"/>
          <w:sz w:val="22"/>
          <w:szCs w:val="22"/>
        </w:rPr>
        <w:t xml:space="preserve">Script 24 — Meta free-tier ad creative</w:t>
      </w:r>
    </w:p>
    <w:p>
      <w:pPr>
        <w:pBdr>
          <w:left w:val="single" w:color="8A6D00" w:sz="18" w:space="8"/>
        </w:pBdr>
        <w:shd w:fill="FFF6D9" w:val="clear"/>
        <w:spacing w:after="200" w:before="100"/>
        <w:ind w:left="100"/>
      </w:pPr>
      <w:r>
        <w:rPr>
          <w:i/>
          <w:iCs/>
          <w:color w:val="1F1F1F"/>
          <w:sz w:val="20"/>
          <w:szCs w:val="20"/>
        </w:rPr>
        <w:t xml:space="preserve">Headline: “You've asked everyone. You're still not sure.”
CTA line: “Understand the decision first. Try Quorum free.”</w:t>
      </w:r>
    </w:p>
    <w:p>
      <w:pPr>
        <w:pStyle w:val="Heading3"/>
        <w:spacing w:after="80" w:before="200"/>
      </w:pPr>
      <w:r>
        <w:rPr>
          <w:b/>
          <w:bCs/>
          <w:color w:val="1F1F1F"/>
          <w:sz w:val="22"/>
          <w:szCs w:val="22"/>
        </w:rPr>
        <w:t xml:space="preserve">Script 25 — Cold-Meta paid-session close (Arunjot K pattern)</w:t>
      </w:r>
    </w:p>
    <w:p>
      <w:pPr>
        <w:spacing w:after="140"/>
      </w:pPr>
      <w:r>
        <w:rPr>
          <w:color w:val="1F1F1F"/>
          <w:sz w:val="21"/>
          <w:szCs w:val="21"/>
        </w:rPr>
        <w:t xml:space="preserve">Not a scripted pitch — a structure: 5 opening questions to sharpen the decision, run the full-quality session on the Elite account, discuss the structural read and perspectives, ask what changed / what was useful, then introduce the ₹999 offer framed as continuity across future decisions rather than “more AI.” Use this in place of Script 5 specifically when the lead arrived via the ₹299 Meta funnel rather than warm outreach.</w:t>
      </w:r>
    </w:p>
    <w:p>
      <w:pPr>
        <w:pStyle w:val="Heading3"/>
        <w:spacing w:after="80" w:before="200"/>
      </w:pPr>
      <w:r>
        <w:rPr>
          <w:b/>
          <w:bCs/>
          <w:color w:val="1F1F1F"/>
          <w:sz w:val="22"/>
          <w:szCs w:val="22"/>
        </w:rPr>
        <w:t xml:space="preserve">Script 26 — Redirecting an out-of-scope use case (Neeta pattern)</w:t>
      </w:r>
    </w:p>
    <w:p>
      <w:pPr>
        <w:spacing w:after="140"/>
      </w:pPr>
      <w:r>
        <w:rPr>
          <w:color w:val="1F1F1F"/>
          <w:sz w:val="21"/>
          <w:szCs w:val="21"/>
        </w:rPr>
        <w:t xml:space="preserve">When a lead asks Quorum to pick between external options it can't itself source (e.g. which mutual fund, which vendor): clarify plainly that Quorum isn't for sourcing the options, then pivot to what it is for — structuring the decision between options they already have. Keep this short and non-defensive; it's a scope clarification, not an objection to overcome.</w:t>
      </w:r>
    </w:p>
    <w:p>
      <w:pPr>
        <w:pStyle w:val="Heading3"/>
        <w:spacing w:after="80" w:before="200"/>
      </w:pPr>
      <w:r>
        <w:rPr>
          <w:b/>
          <w:bCs/>
          <w:color w:val="1F1F1F"/>
          <w:sz w:val="22"/>
          <w:szCs w:val="22"/>
        </w:rPr>
        <w:t xml:space="preserve">Script 27 — Founder-to-founder complimentary session offer (Kamal pattern)</w:t>
      </w:r>
    </w:p>
    <w:p>
      <w:pPr>
        <w:spacing w:after="200"/>
      </w:pPr>
      <w:r>
        <w:rPr>
          <w:color w:val="1F1F1F"/>
          <w:sz w:val="21"/>
          <w:szCs w:val="21"/>
        </w:rPr>
        <w:t xml:space="preserve">For founders being benchmarked against, not sold to: reframe explicitly as founder-to-founder conversation, make the session complimentary rather than ₹299, and don't expose unnecessary internal mechanics. The goal is relationship and feedback, not a transactional close.</w:t>
      </w:r>
    </w:p>
    <w:p>
      <w:pPr>
        <w:pStyle w:val="Heading1"/>
        <w:pBdr>
          <w:bottom w:val="single" w:color="8A6D00" w:sz="8" w:space="4"/>
        </w:pBdr>
        <w:spacing w:after="160" w:before="360"/>
      </w:pPr>
      <w:r>
        <w:rPr>
          <w:b/>
          <w:bCs/>
          <w:color w:val="1F1F1F"/>
          <w:sz w:val="30"/>
          <w:szCs w:val="30"/>
        </w:rPr>
        <w:t xml:space="preserve">13. Product State — What's Been Built (per code review)</w:t>
      </w:r>
    </w:p>
    <w:p>
      <w:pPr>
        <w:spacing w:after="140"/>
      </w:pPr>
      <w:r>
        <w:rPr>
          <w:color w:val="1F1F1F"/>
          <w:sz w:val="21"/>
          <w:szCs w:val="21"/>
        </w:rPr>
        <w:t xml:space="preserve">Everything below is sourced from a direct read of the current codebase (quorum_clean.zip), not a GTM status update — cross-check before quoting specifics to a prospect.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2B2B2B" w:val="clear"/>
            <w:tcMar>
              <w:top w:type="dxa" w:w="80"/>
              <w:left w:type="dxa" w:w="100"/>
              <w:bottom w:type="dxa" w:w="80"/>
              <w:right w:type="dxa" w:w="100"/>
            </w:tcMar>
            <w:vAlign w:val="center"/>
          </w:tcPr>
          <w:p>
            <w:pPr>
              <w:jc w:val="left"/>
            </w:pPr>
            <w:r>
              <w:rPr>
                <w:b/>
                <w:bCs/>
                <w:color w:val="FFFFFF"/>
                <w:sz w:val="19"/>
                <w:szCs w:val="19"/>
              </w:rPr>
              <w:t xml:space="preserve">Feature</w:t>
            </w:r>
          </w:p>
        </w:tc>
        <w:tc>
          <w:tcPr>
            <w:tcW w:type="dxa" w:w="6700"/>
            <w:shd w:fill="2B2B2B" w:val="clear"/>
            <w:tcMar>
              <w:top w:type="dxa" w:w="80"/>
              <w:left w:type="dxa" w:w="100"/>
              <w:bottom w:type="dxa" w:w="80"/>
              <w:right w:type="dxa" w:w="100"/>
            </w:tcMar>
            <w:vAlign w:val="center"/>
          </w:tcPr>
          <w:p>
            <w:pPr>
              <w:jc w:val="left"/>
            </w:pPr>
            <w:r>
              <w:rPr>
                <w:b/>
                <w:bCs/>
                <w:color w:val="FFFFFF"/>
                <w:sz w:val="19"/>
                <w:szCs w:val="19"/>
              </w:rPr>
              <w:t xml:space="preserve">Detail</w:t>
            </w:r>
          </w:p>
        </w:tc>
      </w:tr>
      <w:tr>
        <w:tc>
          <w:tcPr>
            <w:tcW w:type="dxa" w:w="2600"/>
            <w:shd w:fill="F7F7F7" w:val="clear"/>
            <w:tcMar>
              <w:top w:type="dxa" w:w="80"/>
              <w:left w:type="dxa" w:w="100"/>
              <w:bottom w:type="dxa" w:w="80"/>
              <w:right w:type="dxa" w:w="100"/>
            </w:tcMar>
            <w:vAlign w:val="center"/>
          </w:tcPr>
          <w:p>
            <w:pPr>
              <w:jc w:val="left"/>
            </w:pPr>
            <w:r>
              <w:rPr>
                <w:color w:val="1F1F1F"/>
                <w:sz w:val="19"/>
                <w:szCs w:val="19"/>
              </w:rPr>
              <w:t xml:space="preserve">Six-advisor council</w:t>
            </w:r>
          </w:p>
        </w:tc>
        <w:tc>
          <w:tcPr>
            <w:tcW w:type="dxa" w:w="6700"/>
            <w:shd w:fill="F7F7F7" w:val="clear"/>
            <w:tcMar>
              <w:top w:type="dxa" w:w="80"/>
              <w:left w:type="dxa" w:w="100"/>
              <w:bottom w:type="dxa" w:w="80"/>
              <w:right w:type="dxa" w:w="100"/>
            </w:tcMar>
            <w:vAlign w:val="center"/>
          </w:tcPr>
          <w:p>
            <w:pPr>
              <w:jc w:val="left"/>
            </w:pPr>
            <w:r>
              <w:rPr>
                <w:color w:val="1F1F1F"/>
                <w:sz w:val="19"/>
                <w:szCs w:val="19"/>
              </w:rPr>
              <w:t xml:space="preserve">Contrarian, Risk Architect, Pattern Analyst, Stakeholder Mirror, Elder, Competitor + Council Synthesis. See §2.</w:t>
            </w:r>
          </w:p>
        </w:tc>
      </w:tr>
      <w:tr>
        <w:tc>
          <w:tcPr>
            <w:tcW w:type="dxa" w:w="2600"/>
            <w:tcMar>
              <w:top w:type="dxa" w:w="80"/>
              <w:left w:type="dxa" w:w="100"/>
              <w:bottom w:type="dxa" w:w="80"/>
              <w:right w:type="dxa" w:w="100"/>
            </w:tcMar>
            <w:vAlign w:val="center"/>
          </w:tcPr>
          <w:p>
            <w:pPr>
              <w:jc w:val="left"/>
            </w:pPr>
            <w:r>
              <w:rPr>
                <w:color w:val="1F1F1F"/>
                <w:sz w:val="19"/>
                <w:szCs w:val="19"/>
              </w:rPr>
              <w:t xml:space="preserve">Examiner / rule engine (R1–R12)</w:t>
            </w:r>
          </w:p>
        </w:tc>
        <w:tc>
          <w:tcPr>
            <w:tcW w:type="dxa" w:w="6700"/>
            <w:tcMar>
              <w:top w:type="dxa" w:w="80"/>
              <w:left w:type="dxa" w:w="100"/>
              <w:bottom w:type="dxa" w:w="80"/>
              <w:right w:type="dxa" w:w="100"/>
            </w:tcMar>
            <w:vAlign w:val="center"/>
          </w:tcPr>
          <w:p>
            <w:pPr>
              <w:jc w:val="left"/>
            </w:pPr>
            <w:r>
              <w:rPr>
                <w:color w:val="1F1F1F"/>
                <w:sz w:val="19"/>
                <w:szCs w:val="19"/>
              </w:rPr>
              <w:t xml:space="preserve">Detects upstream blockers, irreversibility, missing info, value conflicts, time pressure, multi-party dynamics. Fires the gut/emotional and JTBD context questions every session. Confirmed live, unchanged in substance from July 7 — restructured as a standalone layer rather than a named advisor.</w:t>
            </w:r>
          </w:p>
        </w:tc>
      </w:tr>
      <w:tr>
        <w:tc>
          <w:tcPr>
            <w:tcW w:type="dxa" w:w="2600"/>
            <w:shd w:fill="F7F7F7" w:val="clear"/>
            <w:tcMar>
              <w:top w:type="dxa" w:w="80"/>
              <w:left w:type="dxa" w:w="100"/>
              <w:bottom w:type="dxa" w:w="80"/>
              <w:right w:type="dxa" w:w="100"/>
            </w:tcMar>
            <w:vAlign w:val="center"/>
          </w:tcPr>
          <w:p>
            <w:pPr>
              <w:jc w:val="left"/>
            </w:pPr>
            <w:r>
              <w:rPr>
                <w:color w:val="1F1F1F"/>
                <w:sz w:val="19"/>
                <w:szCs w:val="19"/>
              </w:rPr>
              <w:t xml:space="preserve">Dynamic persona ordering</w:t>
            </w:r>
          </w:p>
        </w:tc>
        <w:tc>
          <w:tcPr>
            <w:tcW w:type="dxa" w:w="6700"/>
            <w:shd w:fill="F7F7F7" w:val="clear"/>
            <w:tcMar>
              <w:top w:type="dxa" w:w="80"/>
              <w:left w:type="dxa" w:w="100"/>
              <w:bottom w:type="dxa" w:w="80"/>
              <w:right w:type="dxa" w:w="100"/>
            </w:tcMar>
            <w:vAlign w:val="center"/>
          </w:tcPr>
          <w:p>
            <w:pPr>
              <w:jc w:val="left"/>
            </w:pPr>
            <w:r>
              <w:rPr>
                <w:color w:val="1F1F1F"/>
                <w:sz w:val="19"/>
                <w:szCs w:val="19"/>
              </w:rPr>
              <w:t xml:space="preserve">New since July 7. Reorders the six-advisor grid per session based on which rules fired, with a smaller fallback from raw dimension scores, plus a small user-style boost after 5+ sessions.</w:t>
            </w:r>
          </w:p>
        </w:tc>
      </w:tr>
      <w:tr>
        <w:tc>
          <w:tcPr>
            <w:tcW w:type="dxa" w:w="2600"/>
            <w:tcMar>
              <w:top w:type="dxa" w:w="80"/>
              <w:left w:type="dxa" w:w="100"/>
              <w:bottom w:type="dxa" w:w="80"/>
              <w:right w:type="dxa" w:w="100"/>
            </w:tcMar>
            <w:vAlign w:val="center"/>
          </w:tcPr>
          <w:p>
            <w:pPr>
              <w:jc w:val="left"/>
            </w:pPr>
            <w:r>
              <w:rPr>
                <w:color w:val="1F1F1F"/>
                <w:sz w:val="19"/>
                <w:szCs w:val="19"/>
              </w:rPr>
              <w:t xml:space="preserve">End-to-end encryption (AES-256-GCM)</w:t>
            </w:r>
          </w:p>
        </w:tc>
        <w:tc>
          <w:tcPr>
            <w:tcW w:type="dxa" w:w="6700"/>
            <w:tcMar>
              <w:top w:type="dxa" w:w="80"/>
              <w:left w:type="dxa" w:w="100"/>
              <w:bottom w:type="dxa" w:w="80"/>
              <w:right w:type="dxa" w:w="100"/>
            </w:tcMar>
            <w:vAlign w:val="center"/>
          </w:tcPr>
          <w:p>
            <w:pPr>
              <w:jc w:val="left"/>
            </w:pPr>
            <w:r>
              <w:rPr>
                <w:color w:val="1F1F1F"/>
                <w:sz w:val="19"/>
                <w:szCs w:val="19"/>
              </w:rPr>
              <w:t xml:space="preserve">All decision text, context, examiner responses, and outcomes field-encrypted before reaching the database. Unchanged from July 7.</w:t>
            </w:r>
          </w:p>
        </w:tc>
      </w:tr>
      <w:tr>
        <w:tc>
          <w:tcPr>
            <w:tcW w:type="dxa" w:w="2600"/>
            <w:shd w:fill="F7F7F7" w:val="clear"/>
            <w:tcMar>
              <w:top w:type="dxa" w:w="80"/>
              <w:left w:type="dxa" w:w="100"/>
              <w:bottom w:type="dxa" w:w="80"/>
              <w:right w:type="dxa" w:w="100"/>
            </w:tcMar>
            <w:vAlign w:val="center"/>
          </w:tcPr>
          <w:p>
            <w:pPr>
              <w:jc w:val="left"/>
            </w:pPr>
            <w:r>
              <w:rPr>
                <w:color w:val="1F1F1F"/>
                <w:sz w:val="19"/>
                <w:szCs w:val="19"/>
              </w:rPr>
              <w:t xml:space="preserve">Decision Graph</w:t>
            </w:r>
          </w:p>
        </w:tc>
        <w:tc>
          <w:tcPr>
            <w:tcW w:type="dxa" w:w="6700"/>
            <w:shd w:fill="F7F7F7" w:val="clear"/>
            <w:tcMar>
              <w:top w:type="dxa" w:w="80"/>
              <w:left w:type="dxa" w:w="100"/>
              <w:bottom w:type="dxa" w:w="80"/>
              <w:right w:type="dxa" w:w="100"/>
            </w:tcMar>
            <w:vAlign w:val="center"/>
          </w:tcPr>
          <w:p>
            <w:pPr>
              <w:jc w:val="left"/>
            </w:pPr>
            <w:r>
              <w:rPr>
                <w:color w:val="1F1F1F"/>
                <w:sz w:val="19"/>
                <w:szCs w:val="19"/>
              </w:rPr>
              <w:t xml:space="preserve">Interactive visual map of how a user's decisions connect — structural similarities, shared biases, contradictions. Unchanged from July 7; code shows an explainability payload added so the UI can explain why two decisions connect on edge click.</w:t>
            </w:r>
          </w:p>
        </w:tc>
      </w:tr>
      <w:tr>
        <w:tc>
          <w:tcPr>
            <w:tcW w:type="dxa" w:w="2600"/>
            <w:tcMar>
              <w:top w:type="dxa" w:w="80"/>
              <w:left w:type="dxa" w:w="100"/>
              <w:bottom w:type="dxa" w:w="80"/>
              <w:right w:type="dxa" w:w="100"/>
            </w:tcMar>
            <w:vAlign w:val="center"/>
          </w:tcPr>
          <w:p>
            <w:pPr>
              <w:jc w:val="left"/>
            </w:pPr>
            <w:r>
              <w:rPr>
                <w:color w:val="1F1F1F"/>
                <w:sz w:val="19"/>
                <w:szCs w:val="19"/>
              </w:rPr>
              <w:t xml:space="preserve">Calibration / Bias Fingerprint</w:t>
            </w:r>
          </w:p>
        </w:tc>
        <w:tc>
          <w:tcPr>
            <w:tcW w:type="dxa" w:w="6700"/>
            <w:tcMar>
              <w:top w:type="dxa" w:w="80"/>
              <w:left w:type="dxa" w:w="100"/>
              <w:bottom w:type="dxa" w:w="80"/>
              <w:right w:type="dxa" w:w="100"/>
            </w:tcMar>
            <w:vAlign w:val="center"/>
          </w:tcPr>
          <w:p>
            <w:pPr>
              <w:jc w:val="left"/>
            </w:pPr>
            <w:r>
              <w:rPr>
                <w:color w:val="1F1F1F"/>
                <w:sz w:val="19"/>
                <w:szCs w:val="19"/>
              </w:rPr>
              <w:t xml:space="preserve">Now a dimensional calibration engine — compares pre- vs. post-outcome confidence per structural dimension (stakes, irreversibility, stakeholder complexity, etc.), not just a single global score. This is more granular than the July 7 doc described.</w:t>
            </w:r>
          </w:p>
        </w:tc>
      </w:tr>
      <w:tr>
        <w:tc>
          <w:tcPr>
            <w:tcW w:type="dxa" w:w="2600"/>
            <w:shd w:fill="F7F7F7" w:val="clear"/>
            <w:tcMar>
              <w:top w:type="dxa" w:w="80"/>
              <w:left w:type="dxa" w:w="100"/>
              <w:bottom w:type="dxa" w:w="80"/>
              <w:right w:type="dxa" w:w="100"/>
            </w:tcMar>
            <w:vAlign w:val="center"/>
          </w:tcPr>
          <w:p>
            <w:pPr>
              <w:jc w:val="left"/>
            </w:pPr>
            <w:r>
              <w:rPr>
                <w:color w:val="1F1F1F"/>
                <w:sz w:val="19"/>
                <w:szCs w:val="19"/>
              </w:rPr>
              <w:t xml:space="preserve">Decision Continuity</w:t>
            </w:r>
          </w:p>
        </w:tc>
        <w:tc>
          <w:tcPr>
            <w:tcW w:type="dxa" w:w="6700"/>
            <w:shd w:fill="F7F7F7" w:val="clear"/>
            <w:tcMar>
              <w:top w:type="dxa" w:w="80"/>
              <w:left w:type="dxa" w:w="100"/>
              <w:bottom w:type="dxa" w:w="80"/>
              <w:right w:type="dxa" w:w="100"/>
            </w:tcMar>
            <w:vAlign w:val="center"/>
          </w:tcPr>
          <w:p>
            <w:pPr>
              <w:jc w:val="left"/>
            </w:pPr>
            <w:r>
              <w:rPr>
                <w:color w:val="1F1F1F"/>
                <w:sz w:val="19"/>
                <w:szCs w:val="19"/>
              </w:rPr>
              <w:t xml:space="preserve">Revisiting a decision reasons from the parent session's synthesis, examiner answers, commitments, and any logged outcome. Unchanged from July 7.</w:t>
            </w:r>
          </w:p>
        </w:tc>
      </w:tr>
      <w:tr>
        <w:tc>
          <w:tcPr>
            <w:tcW w:type="dxa" w:w="2600"/>
            <w:tcMar>
              <w:top w:type="dxa" w:w="80"/>
              <w:left w:type="dxa" w:w="100"/>
              <w:bottom w:type="dxa" w:w="80"/>
              <w:right w:type="dxa" w:w="100"/>
            </w:tcMar>
            <w:vAlign w:val="center"/>
          </w:tcPr>
          <w:p>
            <w:pPr>
              <w:jc w:val="left"/>
            </w:pPr>
            <w:r>
              <w:rPr>
                <w:color w:val="1F1F1F"/>
                <w:sz w:val="19"/>
                <w:szCs w:val="19"/>
              </w:rPr>
              <w:t xml:space="preserve">Monthly Judgment Review, Push Notifications</w:t>
            </w:r>
          </w:p>
        </w:tc>
        <w:tc>
          <w:tcPr>
            <w:tcW w:type="dxa" w:w="6700"/>
            <w:tcMar>
              <w:top w:type="dxa" w:w="80"/>
              <w:left w:type="dxa" w:w="100"/>
              <w:bottom w:type="dxa" w:w="80"/>
              <w:right w:type="dxa" w:w="100"/>
            </w:tcMar>
            <w:vAlign w:val="center"/>
          </w:tcPr>
          <w:p>
            <w:pPr>
              <w:jc w:val="left"/>
            </w:pPr>
            <w:r>
              <w:rPr>
                <w:color w:val="1F1F1F"/>
                <w:sz w:val="19"/>
                <w:szCs w:val="19"/>
              </w:rPr>
              <w:t xml:space="preserve">Unchanged from July 7 — rolling 30-day snapshot; 30 nudge variants across 7 themes.</w:t>
            </w:r>
          </w:p>
        </w:tc>
      </w:tr>
      <w:tr>
        <w:tc>
          <w:tcPr>
            <w:tcW w:type="dxa" w:w="2600"/>
            <w:shd w:fill="F7F7F7" w:val="clear"/>
            <w:tcMar>
              <w:top w:type="dxa" w:w="80"/>
              <w:left w:type="dxa" w:w="100"/>
              <w:bottom w:type="dxa" w:w="80"/>
              <w:right w:type="dxa" w:w="100"/>
            </w:tcMar>
            <w:vAlign w:val="center"/>
          </w:tcPr>
          <w:p>
            <w:pPr>
              <w:jc w:val="left"/>
            </w:pPr>
            <w:r>
              <w:rPr>
                <w:color w:val="1F1F1F"/>
                <w:sz w:val="19"/>
                <w:szCs w:val="19"/>
              </w:rPr>
              <w:t xml:space="preserve">Opt-in case-study capture</w:t>
            </w:r>
          </w:p>
        </w:tc>
        <w:tc>
          <w:tcPr>
            <w:tcW w:type="dxa" w:w="6700"/>
            <w:shd w:fill="F7F7F7" w:val="clear"/>
            <w:tcMar>
              <w:top w:type="dxa" w:w="80"/>
              <w:left w:type="dxa" w:w="100"/>
              <w:bottom w:type="dxa" w:w="80"/>
              <w:right w:type="dxa" w:w="100"/>
            </w:tcMar>
            <w:vAlign w:val="center"/>
          </w:tcPr>
          <w:p>
            <w:pPr>
              <w:jc w:val="left"/>
            </w:pPr>
            <w:r>
              <w:rPr>
                <w:color w:val="1F1F1F"/>
                <w:sz w:val="19"/>
                <w:szCs w:val="19"/>
              </w:rPr>
              <w:t xml:space="preserve">New since July 7, not mentioned in any GTM update. AI drafts an anonymized starting point from a session for a human reviewer; nothing is ever published automatically or by default. Could formalise/replace the manual “sample session debrief” process (see original §20) once there's a review workflow around it.</w:t>
            </w:r>
          </w:p>
        </w:tc>
      </w:tr>
      <w:tr>
        <w:tc>
          <w:tcPr>
            <w:tcW w:type="dxa" w:w="2600"/>
            <w:tcMar>
              <w:top w:type="dxa" w:w="80"/>
              <w:left w:type="dxa" w:w="100"/>
              <w:bottom w:type="dxa" w:w="80"/>
              <w:right w:type="dxa" w:w="100"/>
            </w:tcMar>
            <w:vAlign w:val="center"/>
          </w:tcPr>
          <w:p>
            <w:pPr>
              <w:jc w:val="left"/>
            </w:pPr>
            <w:r>
              <w:rPr>
                <w:color w:val="1F1F1F"/>
                <w:sz w:val="19"/>
                <w:szCs w:val="19"/>
              </w:rPr>
              <w:t xml:space="preserve">Institutional / org mode</w:t>
            </w:r>
          </w:p>
        </w:tc>
        <w:tc>
          <w:tcPr>
            <w:tcW w:type="dxa" w:w="6700"/>
            <w:tcMar>
              <w:top w:type="dxa" w:w="80"/>
              <w:left w:type="dxa" w:w="100"/>
              <w:bottom w:type="dxa" w:w="80"/>
              <w:right w:type="dxa" w:w="100"/>
            </w:tcMar>
            <w:vAlign w:val="center"/>
          </w:tcPr>
          <w:p>
            <w:pPr>
              <w:jc w:val="left"/>
            </w:pPr>
            <w:r>
              <w:rPr>
                <w:color w:val="1F1F1F"/>
                <w:sz w:val="19"/>
                <w:szCs w:val="19"/>
              </w:rPr>
              <w:t xml:space="preserve">Built (admin tooling to mint institutions and unlock codes, join/admin pages, benchmark/cohort-insight APIs) but confirmed with the founder (Aug 13) to be deliberately kept off in Railway — a considered call to avoid confusing current users right now, not an oversight. Gated behind NEXT_PUBLIC_INSTITUTIONAL_MODE_ENABLED. No action needed; revisit only if the GTM motion moves toward org/CXO embedding deliberately.</w:t>
            </w:r>
          </w:p>
        </w:tc>
      </w:tr>
      <w:tr>
        <w:tc>
          <w:tcPr>
            <w:tcW w:type="dxa" w:w="2600"/>
            <w:shd w:fill="F7F7F7" w:val="clear"/>
            <w:tcMar>
              <w:top w:type="dxa" w:w="80"/>
              <w:left w:type="dxa" w:w="100"/>
              <w:bottom w:type="dxa" w:w="80"/>
              <w:right w:type="dxa" w:w="100"/>
            </w:tcMar>
            <w:vAlign w:val="center"/>
          </w:tcPr>
          <w:p>
            <w:pPr>
              <w:jc w:val="left"/>
            </w:pPr>
            <w:r>
              <w:rPr>
                <w:color w:val="1F1F1F"/>
                <w:sz w:val="19"/>
                <w:szCs w:val="19"/>
              </w:rPr>
              <w:t xml:space="preserve">Automated cron layer</w:t>
            </w:r>
          </w:p>
        </w:tc>
        <w:tc>
          <w:tcPr>
            <w:tcW w:type="dxa" w:w="6700"/>
            <w:shd w:fill="F7F7F7" w:val="clear"/>
            <w:tcMar>
              <w:top w:type="dxa" w:w="80"/>
              <w:left w:type="dxa" w:w="100"/>
              <w:bottom w:type="dxa" w:w="80"/>
              <w:right w:type="dxa" w:w="100"/>
            </w:tcMar>
            <w:vAlign w:val="center"/>
          </w:tcPr>
          <w:p>
            <w:pPr>
              <w:jc w:val="left"/>
            </w:pPr>
            <w:r>
              <w:rPr>
                <w:color w:val="1F1F1F"/>
                <w:sz w:val="19"/>
                <w:szCs w:val="19"/>
              </w:rPr>
              <w:t xml:space="preserve">New since July 7. Daily nudge, avoidance detection, mirror-insight email, re-analyze email, and unsubscribe jobs are all built. Suggests the daily WhatsApp system (§11) may be partly redundant with or complementary to an in-product nudge system — worth checking which is actually driving engagement.</w:t>
            </w:r>
          </w:p>
        </w:tc>
      </w:tr>
    </w:tbl>
    <w:p>
      <w:pPr>
        <w:spacing w:after="200"/>
      </w:pPr>
    </w:p>
    <w:p>
      <w:pPr>
        <w:pStyle w:val="Heading1"/>
        <w:pBdr>
          <w:bottom w:val="single" w:color="8A6D00" w:sz="8" w:space="4"/>
        </w:pBdr>
        <w:spacing w:after="160" w:before="360"/>
      </w:pPr>
      <w:r>
        <w:rPr>
          <w:b/>
          <w:bCs/>
          <w:color w:val="1F1F1F"/>
          <w:sz w:val="30"/>
          <w:szCs w:val="30"/>
        </w:rPr>
        <w:t xml:space="preserve">14. Product Backlog</w:t>
      </w:r>
    </w:p>
    <w:p>
      <w:pPr>
        <w:spacing w:after="140"/>
      </w:pPr>
      <w:r>
        <w:rPr>
          <w:color w:val="1F1F1F"/>
          <w:sz w:val="21"/>
          <w:szCs w:val="21"/>
        </w:rPr>
        <w:t xml:space="preserve">Carried forward from July 7, with statuses updated per the code review above.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400"/>
        <w:gridCol w:w="2300"/>
        <w:gridCol w:w="3600"/>
      </w:tblGrid>
      <w:tr>
        <w:trPr>
          <w:tblHeader/>
        </w:trPr>
        <w:tc>
          <w:tcPr>
            <w:tcW w:type="dxa" w:w="3400"/>
            <w:shd w:fill="2B2B2B" w:val="clear"/>
            <w:tcMar>
              <w:top w:type="dxa" w:w="80"/>
              <w:left w:type="dxa" w:w="100"/>
              <w:bottom w:type="dxa" w:w="80"/>
              <w:right w:type="dxa" w:w="100"/>
            </w:tcMar>
            <w:vAlign w:val="center"/>
          </w:tcPr>
          <w:p>
            <w:pPr>
              <w:jc w:val="left"/>
            </w:pPr>
            <w:r>
              <w:rPr>
                <w:b/>
                <w:bCs/>
                <w:color w:val="FFFFFF"/>
                <w:sz w:val="19"/>
                <w:szCs w:val="19"/>
              </w:rPr>
              <w:t xml:space="preserve">Item</w:t>
            </w:r>
          </w:p>
        </w:tc>
        <w:tc>
          <w:tcPr>
            <w:tcW w:type="dxa" w:w="2300"/>
            <w:shd w:fill="2B2B2B" w:val="clear"/>
            <w:tcMar>
              <w:top w:type="dxa" w:w="80"/>
              <w:left w:type="dxa" w:w="100"/>
              <w:bottom w:type="dxa" w:w="80"/>
              <w:right w:type="dxa" w:w="100"/>
            </w:tcMar>
            <w:vAlign w:val="center"/>
          </w:tcPr>
          <w:p>
            <w:pPr>
              <w:jc w:val="left"/>
            </w:pPr>
            <w:r>
              <w:rPr>
                <w:b/>
                <w:bCs/>
                <w:color w:val="FFFFFF"/>
                <w:sz w:val="19"/>
                <w:szCs w:val="19"/>
              </w:rPr>
              <w:t xml:space="preserve">Status (July 7)</w:t>
            </w:r>
          </w:p>
        </w:tc>
        <w:tc>
          <w:tcPr>
            <w:tcW w:type="dxa" w:w="3600"/>
            <w:shd w:fill="2B2B2B" w:val="clear"/>
            <w:tcMar>
              <w:top w:type="dxa" w:w="80"/>
              <w:left w:type="dxa" w:w="100"/>
              <w:bottom w:type="dxa" w:w="80"/>
              <w:right w:type="dxa" w:w="100"/>
            </w:tcMar>
            <w:vAlign w:val="center"/>
          </w:tcPr>
          <w:p>
            <w:pPr>
              <w:jc w:val="left"/>
            </w:pPr>
            <w:r>
              <w:rPr>
                <w:b/>
                <w:bCs/>
                <w:color w:val="FFFFFF"/>
                <w:sz w:val="19"/>
                <w:szCs w:val="19"/>
              </w:rPr>
              <w:t xml:space="preserve">Status (Aug 13, per code)</w:t>
            </w:r>
          </w:p>
        </w:tc>
      </w:tr>
      <w:tr>
        <w:tc>
          <w:tcPr>
            <w:tcW w:type="dxa" w:w="3400"/>
            <w:shd w:fill="F7F7F7" w:val="clear"/>
            <w:tcMar>
              <w:top w:type="dxa" w:w="80"/>
              <w:left w:type="dxa" w:w="100"/>
              <w:bottom w:type="dxa" w:w="80"/>
              <w:right w:type="dxa" w:w="100"/>
            </w:tcMar>
            <w:vAlign w:val="center"/>
          </w:tcPr>
          <w:p>
            <w:pPr>
              <w:jc w:val="left"/>
            </w:pPr>
            <w:r>
              <w:rPr>
                <w:color w:val="1F1F1F"/>
                <w:sz w:val="19"/>
                <w:szCs w:val="19"/>
              </w:rPr>
              <w:t xml:space="preserve">Context as first-class input (mood, fear state, archetype)</w:t>
            </w:r>
          </w:p>
        </w:tc>
        <w:tc>
          <w:tcPr>
            <w:tcW w:type="dxa" w:w="2300"/>
            <w:shd w:fill="F7F7F7" w:val="clear"/>
            <w:tcMar>
              <w:top w:type="dxa" w:w="80"/>
              <w:left w:type="dxa" w:w="100"/>
              <w:bottom w:type="dxa" w:w="80"/>
              <w:right w:type="dxa" w:w="100"/>
            </w:tcMar>
            <w:vAlign w:val="center"/>
          </w:tcPr>
          <w:p>
            <w:pPr>
              <w:jc w:val="left"/>
            </w:pPr>
            <w:r>
              <w:rPr>
                <w:color w:val="1F1F1F"/>
                <w:sz w:val="19"/>
                <w:szCs w:val="19"/>
              </w:rPr>
              <w:t xml:space="preserve">Open</w:t>
            </w:r>
          </w:p>
        </w:tc>
        <w:tc>
          <w:tcPr>
            <w:tcW w:type="dxa" w:w="3600"/>
            <w:shd w:fill="F7F7F7" w:val="clear"/>
            <w:tcMar>
              <w:top w:type="dxa" w:w="80"/>
              <w:left w:type="dxa" w:w="100"/>
              <w:bottom w:type="dxa" w:w="80"/>
              <w:right w:type="dxa" w:w="100"/>
            </w:tcMar>
            <w:vAlign w:val="center"/>
          </w:tcPr>
          <w:p>
            <w:pPr>
              <w:jc w:val="left"/>
            </w:pPr>
            <w:r>
              <w:rPr>
                <w:color w:val="1F1F1F"/>
                <w:sz w:val="19"/>
                <w:szCs w:val="19"/>
              </w:rPr>
              <w:t xml:space="preserve">No direct evidence found of this being built — treat as still open unless confirmed otherwise</w:t>
            </w:r>
          </w:p>
        </w:tc>
      </w:tr>
      <w:tr>
        <w:tc>
          <w:tcPr>
            <w:tcW w:type="dxa" w:w="3400"/>
            <w:tcMar>
              <w:top w:type="dxa" w:w="80"/>
              <w:left w:type="dxa" w:w="100"/>
              <w:bottom w:type="dxa" w:w="80"/>
              <w:right w:type="dxa" w:w="100"/>
            </w:tcMar>
            <w:vAlign w:val="center"/>
          </w:tcPr>
          <w:p>
            <w:pPr>
              <w:jc w:val="left"/>
            </w:pPr>
            <w:r>
              <w:rPr>
                <w:color w:val="1F1F1F"/>
                <w:sz w:val="19"/>
                <w:szCs w:val="19"/>
              </w:rPr>
              <w:t xml:space="preserve">Samskara / context layer (active archetype surfacing)</w:t>
            </w:r>
          </w:p>
        </w:tc>
        <w:tc>
          <w:tcPr>
            <w:tcW w:type="dxa" w:w="2300"/>
            <w:tcMar>
              <w:top w:type="dxa" w:w="80"/>
              <w:left w:type="dxa" w:w="100"/>
              <w:bottom w:type="dxa" w:w="80"/>
              <w:right w:type="dxa" w:w="100"/>
            </w:tcMar>
            <w:vAlign w:val="center"/>
          </w:tcPr>
          <w:p>
            <w:pPr>
              <w:jc w:val="left"/>
            </w:pPr>
            <w:r>
              <w:rPr>
                <w:color w:val="1F1F1F"/>
                <w:sz w:val="19"/>
                <w:szCs w:val="19"/>
              </w:rPr>
              <w:t xml:space="preserve">Open</w:t>
            </w:r>
          </w:p>
        </w:tc>
        <w:tc>
          <w:tcPr>
            <w:tcW w:type="dxa" w:w="3600"/>
            <w:tcMar>
              <w:top w:type="dxa" w:w="80"/>
              <w:left w:type="dxa" w:w="100"/>
              <w:bottom w:type="dxa" w:w="80"/>
              <w:right w:type="dxa" w:w="100"/>
            </w:tcMar>
            <w:vAlign w:val="center"/>
          </w:tcPr>
          <w:p>
            <w:pPr>
              <w:jc w:val="left"/>
            </w:pPr>
            <w:r>
              <w:rPr>
                <w:color w:val="1F1F1F"/>
                <w:sz w:val="19"/>
                <w:szCs w:val="19"/>
              </w:rPr>
              <w:t xml:space="preserve">Same as above — unconfirmed</w:t>
            </w:r>
          </w:p>
        </w:tc>
      </w:tr>
      <w:tr>
        <w:tc>
          <w:tcPr>
            <w:tcW w:type="dxa" w:w="3400"/>
            <w:shd w:fill="F7F7F7" w:val="clear"/>
            <w:tcMar>
              <w:top w:type="dxa" w:w="80"/>
              <w:left w:type="dxa" w:w="100"/>
              <w:bottom w:type="dxa" w:w="80"/>
              <w:right w:type="dxa" w:w="100"/>
            </w:tcMar>
            <w:vAlign w:val="center"/>
          </w:tcPr>
          <w:p>
            <w:pPr>
              <w:jc w:val="left"/>
            </w:pPr>
            <w:r>
              <w:rPr>
                <w:color w:val="1F1F1F"/>
                <w:sz w:val="19"/>
                <w:szCs w:val="19"/>
              </w:rPr>
              <w:t xml:space="preserve">Calibration/profiling visible at onboarding</w:t>
            </w:r>
          </w:p>
        </w:tc>
        <w:tc>
          <w:tcPr>
            <w:tcW w:type="dxa" w:w="2300"/>
            <w:shd w:fill="F7F7F7" w:val="clear"/>
            <w:tcMar>
              <w:top w:type="dxa" w:w="80"/>
              <w:left w:type="dxa" w:w="100"/>
              <w:bottom w:type="dxa" w:w="80"/>
              <w:right w:type="dxa" w:w="100"/>
            </w:tcMar>
            <w:vAlign w:val="center"/>
          </w:tcPr>
          <w:p>
            <w:pPr>
              <w:jc w:val="left"/>
            </w:pPr>
            <w:r>
              <w:rPr>
                <w:color w:val="1F1F1F"/>
                <w:sz w:val="19"/>
                <w:szCs w:val="19"/>
              </w:rPr>
              <w:t xml:space="preserve">Open</w:t>
            </w:r>
          </w:p>
        </w:tc>
        <w:tc>
          <w:tcPr>
            <w:tcW w:type="dxa" w:w="3600"/>
            <w:shd w:fill="F7F7F7" w:val="clear"/>
            <w:tcMar>
              <w:top w:type="dxa" w:w="80"/>
              <w:left w:type="dxa" w:w="100"/>
              <w:bottom w:type="dxa" w:w="80"/>
              <w:right w:type="dxa" w:w="100"/>
            </w:tcMar>
            <w:vAlign w:val="center"/>
          </w:tcPr>
          <w:p>
            <w:pPr>
              <w:jc w:val="left"/>
            </w:pPr>
            <w:r>
              <w:rPr>
                <w:color w:val="1F1F1F"/>
                <w:sz w:val="19"/>
                <w:szCs w:val="19"/>
              </w:rPr>
              <w:t xml:space="preserve">Unconfirmed — the calibration engine itself is more built out (see §13), but onboarding visibility wasn't verifiable from this review</w:t>
            </w:r>
          </w:p>
        </w:tc>
      </w:tr>
      <w:tr>
        <w:tc>
          <w:tcPr>
            <w:tcW w:type="dxa" w:w="3400"/>
            <w:tcMar>
              <w:top w:type="dxa" w:w="80"/>
              <w:left w:type="dxa" w:w="100"/>
              <w:bottom w:type="dxa" w:w="80"/>
              <w:right w:type="dxa" w:w="100"/>
            </w:tcMar>
            <w:vAlign w:val="center"/>
          </w:tcPr>
          <w:p>
            <w:pPr>
              <w:jc w:val="left"/>
            </w:pPr>
            <w:r>
              <w:rPr>
                <w:color w:val="1F1F1F"/>
                <w:sz w:val="19"/>
                <w:szCs w:val="19"/>
              </w:rPr>
              <w:t xml:space="preserve">Risk-aversion bias surfaced explicitly</w:t>
            </w:r>
          </w:p>
        </w:tc>
        <w:tc>
          <w:tcPr>
            <w:tcW w:type="dxa" w:w="2300"/>
            <w:tcMar>
              <w:top w:type="dxa" w:w="80"/>
              <w:left w:type="dxa" w:w="100"/>
              <w:bottom w:type="dxa" w:w="80"/>
              <w:right w:type="dxa" w:w="100"/>
            </w:tcMar>
            <w:vAlign w:val="center"/>
          </w:tcPr>
          <w:p>
            <w:pPr>
              <w:jc w:val="left"/>
            </w:pPr>
            <w:r>
              <w:rPr>
                <w:color w:val="1F1F1F"/>
                <w:sz w:val="19"/>
                <w:szCs w:val="19"/>
              </w:rPr>
              <w:t xml:space="preserve">Partially resolved — Bias Fingerprint live</w:t>
            </w:r>
          </w:p>
        </w:tc>
        <w:tc>
          <w:tcPr>
            <w:tcW w:type="dxa" w:w="3600"/>
            <w:tcMar>
              <w:top w:type="dxa" w:w="80"/>
              <w:left w:type="dxa" w:w="100"/>
              <w:bottom w:type="dxa" w:w="80"/>
              <w:right w:type="dxa" w:w="100"/>
            </w:tcMar>
            <w:vAlign w:val="center"/>
          </w:tcPr>
          <w:p>
            <w:pPr>
              <w:jc w:val="left"/>
            </w:pPr>
            <w:r>
              <w:rPr>
                <w:color w:val="1F1F1F"/>
                <w:sz w:val="19"/>
                <w:szCs w:val="19"/>
              </w:rPr>
              <w:t xml:space="preserve">Further along — now a per-dimension calibration engine, not just a single score</w:t>
            </w:r>
          </w:p>
        </w:tc>
      </w:tr>
      <w:tr>
        <w:tc>
          <w:tcPr>
            <w:tcW w:type="dxa" w:w="3400"/>
            <w:shd w:fill="F7F7F7" w:val="clear"/>
            <w:tcMar>
              <w:top w:type="dxa" w:w="80"/>
              <w:left w:type="dxa" w:w="100"/>
              <w:bottom w:type="dxa" w:w="80"/>
              <w:right w:type="dxa" w:w="100"/>
            </w:tcMar>
            <w:vAlign w:val="center"/>
          </w:tcPr>
          <w:p>
            <w:pPr>
              <w:jc w:val="left"/>
            </w:pPr>
            <w:r>
              <w:rPr>
                <w:color w:val="1F1F1F"/>
                <w:sz w:val="19"/>
                <w:szCs w:val="19"/>
              </w:rPr>
              <w:t xml:space="preserve">Examiner should fire every time</w:t>
            </w:r>
          </w:p>
        </w:tc>
        <w:tc>
          <w:tcPr>
            <w:tcW w:type="dxa" w:w="2300"/>
            <w:shd w:fill="F7F7F7" w:val="clear"/>
            <w:tcMar>
              <w:top w:type="dxa" w:w="80"/>
              <w:left w:type="dxa" w:w="100"/>
              <w:bottom w:type="dxa" w:w="80"/>
              <w:right w:type="dxa" w:w="100"/>
            </w:tcMar>
            <w:vAlign w:val="center"/>
          </w:tcPr>
          <w:p>
            <w:pPr>
              <w:jc w:val="left"/>
            </w:pPr>
            <w:r>
              <w:rPr>
                <w:color w:val="1F1F1F"/>
                <w:sz w:val="19"/>
                <w:szCs w:val="19"/>
              </w:rPr>
              <w:t xml:space="preserve">Resolved — rule engine R1–R12 live</w:t>
            </w:r>
          </w:p>
        </w:tc>
        <w:tc>
          <w:tcPr>
            <w:tcW w:type="dxa" w:w="3600"/>
            <w:shd w:fill="F7F7F7" w:val="clear"/>
            <w:tcMar>
              <w:top w:type="dxa" w:w="80"/>
              <w:left w:type="dxa" w:w="100"/>
              <w:bottom w:type="dxa" w:w="80"/>
              <w:right w:type="dxa" w:w="100"/>
            </w:tcMar>
            <w:vAlign w:val="center"/>
          </w:tcPr>
          <w:p>
            <w:pPr>
              <w:jc w:val="left"/>
            </w:pPr>
            <w:r>
              <w:rPr>
                <w:color w:val="1F1F1F"/>
                <w:sz w:val="19"/>
                <w:szCs w:val="19"/>
              </w:rPr>
              <w:t xml:space="preserve">Confirmed still resolved</w:t>
            </w:r>
          </w:p>
        </w:tc>
      </w:tr>
      <w:tr>
        <w:tc>
          <w:tcPr>
            <w:tcW w:type="dxa" w:w="3400"/>
            <w:tcMar>
              <w:top w:type="dxa" w:w="80"/>
              <w:left w:type="dxa" w:w="100"/>
              <w:bottom w:type="dxa" w:w="80"/>
              <w:right w:type="dxa" w:w="100"/>
            </w:tcMar>
            <w:vAlign w:val="center"/>
          </w:tcPr>
          <w:p>
            <w:pPr>
              <w:jc w:val="left"/>
            </w:pPr>
            <w:r>
              <w:rPr>
                <w:color w:val="1F1F1F"/>
                <w:sz w:val="19"/>
                <w:szCs w:val="19"/>
              </w:rPr>
              <w:t xml:space="preserve">Org/CXO embedding risk</w:t>
            </w:r>
          </w:p>
        </w:tc>
        <w:tc>
          <w:tcPr>
            <w:tcW w:type="dxa" w:w="2300"/>
            <w:tcMar>
              <w:top w:type="dxa" w:w="80"/>
              <w:left w:type="dxa" w:w="100"/>
              <w:bottom w:type="dxa" w:w="80"/>
              <w:right w:type="dxa" w:w="100"/>
            </w:tcMar>
            <w:vAlign w:val="center"/>
          </w:tcPr>
          <w:p>
            <w:pPr>
              <w:jc w:val="left"/>
            </w:pPr>
            <w:r>
              <w:rPr>
                <w:color w:val="1F1F1F"/>
                <w:sz w:val="19"/>
                <w:szCs w:val="19"/>
              </w:rPr>
              <w:t xml:space="preserve">Open — relevant to enterprise conversations</w:t>
            </w:r>
          </w:p>
        </w:tc>
        <w:tc>
          <w:tcPr>
            <w:tcW w:type="dxa" w:w="3600"/>
            <w:tcMar>
              <w:top w:type="dxa" w:w="80"/>
              <w:left w:type="dxa" w:w="100"/>
              <w:bottom w:type="dxa" w:w="80"/>
              <w:right w:type="dxa" w:w="100"/>
            </w:tcMar>
            <w:vAlign w:val="center"/>
          </w:tcPr>
          <w:p>
            <w:pPr>
              <w:jc w:val="left"/>
            </w:pPr>
            <w:r>
              <w:rPr>
                <w:color w:val="1F1F1F"/>
                <w:sz w:val="19"/>
                <w:szCs w:val="19"/>
              </w:rPr>
              <w:t xml:space="preserve">Built (institutional mode) but deliberately kept off — confirmed Aug 13 the founder wants it off for now to avoid confusing current users. Resolved as a considered hold, not an open item.</w:t>
            </w:r>
          </w:p>
        </w:tc>
      </w:tr>
      <w:tr>
        <w:tc>
          <w:tcPr>
            <w:tcW w:type="dxa" w:w="3400"/>
            <w:shd w:fill="F7F7F7" w:val="clear"/>
            <w:tcMar>
              <w:top w:type="dxa" w:w="80"/>
              <w:left w:type="dxa" w:w="100"/>
              <w:bottom w:type="dxa" w:w="80"/>
              <w:right w:type="dxa" w:w="100"/>
            </w:tcMar>
            <w:vAlign w:val="center"/>
          </w:tcPr>
          <w:p>
            <w:pPr>
              <w:jc w:val="left"/>
            </w:pPr>
            <w:r>
              <w:rPr>
                <w:color w:val="1F1F1F"/>
                <w:sz w:val="19"/>
                <w:szCs w:val="19"/>
              </w:rPr>
              <w:t xml:space="preserve">HNI benchmarking (needs larger decision corpus)</w:t>
            </w:r>
          </w:p>
        </w:tc>
        <w:tc>
          <w:tcPr>
            <w:tcW w:type="dxa" w:w="2300"/>
            <w:shd w:fill="F7F7F7" w:val="clear"/>
            <w:tcMar>
              <w:top w:type="dxa" w:w="80"/>
              <w:left w:type="dxa" w:w="100"/>
              <w:bottom w:type="dxa" w:w="80"/>
              <w:right w:type="dxa" w:w="100"/>
            </w:tcMar>
            <w:vAlign w:val="center"/>
          </w:tcPr>
          <w:p>
            <w:pPr>
              <w:jc w:val="left"/>
            </w:pPr>
            <w:r>
              <w:rPr>
                <w:color w:val="1F1F1F"/>
                <w:sz w:val="19"/>
                <w:szCs w:val="19"/>
              </w:rPr>
              <w:t xml:space="preserve">Partially built</w:t>
            </w:r>
          </w:p>
        </w:tc>
        <w:tc>
          <w:tcPr>
            <w:tcW w:type="dxa" w:w="3600"/>
            <w:shd w:fill="F7F7F7" w:val="clear"/>
            <w:tcMar>
              <w:top w:type="dxa" w:w="80"/>
              <w:left w:type="dxa" w:w="100"/>
              <w:bottom w:type="dxa" w:w="80"/>
              <w:right w:type="dxa" w:w="100"/>
            </w:tcMar>
            <w:vAlign w:val="center"/>
          </w:tcPr>
          <w:p>
            <w:pPr>
              <w:jc w:val="left"/>
            </w:pPr>
            <w:r>
              <w:rPr>
                <w:color w:val="1F1F1F"/>
                <w:sz w:val="19"/>
                <w:szCs w:val="19"/>
              </w:rPr>
              <w:t xml:space="preserve">Code shows a benchmark/cohort-insights API under the institutional-mode flag — likely the same effort, still gated off</w:t>
            </w:r>
          </w:p>
        </w:tc>
      </w:tr>
    </w:tbl>
    <w:p>
      <w:pPr>
        <w:spacing w:after="200"/>
      </w:pPr>
    </w:p>
    <w:p>
      <w:pPr>
        <w:pStyle w:val="Heading1"/>
        <w:pBdr>
          <w:bottom w:val="single" w:color="8A6D00" w:sz="8" w:space="4"/>
        </w:pBdr>
        <w:spacing w:after="160" w:before="360"/>
      </w:pPr>
      <w:r>
        <w:rPr>
          <w:b/>
          <w:bCs/>
          <w:color w:val="1F1F1F"/>
          <w:sz w:val="30"/>
          <w:szCs w:val="30"/>
        </w:rPr>
        <w:t xml:space="preserve">15. Locked Decisions — Do Not Re-litigate Without New Information</w:t>
      </w:r>
    </w:p>
    <w:p>
      <w:pPr>
        <w:spacing w:after="140"/>
      </w:pPr>
      <w:r>
        <w:rPr>
          <w:color w:val="1F1F1F"/>
          <w:sz w:val="21"/>
          <w:szCs w:val="21"/>
        </w:rPr>
        <w:t xml:space="preserve">Carried forward from July 7 (unchanged unless noted), plus new decisions from the Aug 11 update.</w:t>
      </w:r>
    </w:p>
    <w:p>
      <w:pPr>
        <w:pStyle w:val="Heading3"/>
        <w:spacing w:after="80" w:before="200"/>
      </w:pPr>
      <w:r>
        <w:rPr>
          <w:b/>
          <w:bCs/>
          <w:color w:val="1F1F1F"/>
          <w:sz w:val="22"/>
          <w:szCs w:val="22"/>
        </w:rPr>
        <w:t xml:space="preserve">From July 7 — still in force</w:t>
      </w:r>
    </w:p>
    <w:p>
      <w:pPr>
        <w:pStyle w:val="ListParagraph"/>
        <w:numPr>
          <w:ilvl w:val="0"/>
          <w:numId w:val="2"/>
        </w:numPr>
        <w:spacing w:after="80"/>
      </w:pPr>
      <w:r>
        <w:rPr>
          <w:color w:val="1F1F1F"/>
          <w:sz w:val="21"/>
          <w:szCs w:val="21"/>
        </w:rPr>
        <w:t xml:space="preserve">Pricing floor is ₹999/month founding. Never drop below it.</w:t>
      </w:r>
    </w:p>
    <w:p>
      <w:pPr>
        <w:pStyle w:val="ListParagraph"/>
        <w:numPr>
          <w:ilvl w:val="0"/>
          <w:numId w:val="2"/>
        </w:numPr>
        <w:spacing w:after="80"/>
      </w:pPr>
      <w:r>
        <w:rPr>
          <w:color w:val="1F1F1F"/>
          <w:sz w:val="21"/>
          <w:szCs w:val="21"/>
        </w:rPr>
        <w:t xml:space="preserve">Gift access is for connectors only — not a trial, not for pipeline leads.</w:t>
      </w:r>
    </w:p>
    <w:p>
      <w:pPr>
        <w:pStyle w:val="ListParagraph"/>
        <w:numPr>
          <w:ilvl w:val="0"/>
          <w:numId w:val="2"/>
        </w:numPr>
        <w:spacing w:after="80"/>
      </w:pPr>
      <w:r>
        <w:rPr>
          <w:color w:val="1F1F1F"/>
          <w:sz w:val="21"/>
          <w:szCs w:val="21"/>
        </w:rPr>
        <w:t xml:space="preserve">Never share the Mirror link before completing a session — applies to worked pipeline leads. The free-tier Meta funnel is a separate, self-serve motion and is a confirmed, deliberate exception — see §5.2.</w:t>
      </w:r>
    </w:p>
    <w:p>
      <w:pPr>
        <w:pStyle w:val="ListParagraph"/>
        <w:numPr>
          <w:ilvl w:val="0"/>
          <w:numId w:val="2"/>
        </w:numPr>
        <w:spacing w:after="80"/>
      </w:pPr>
      <w:r>
        <w:rPr>
          <w:color w:val="1F1F1F"/>
          <w:sz w:val="21"/>
          <w:szCs w:val="21"/>
        </w:rPr>
        <w:t xml:space="preserve">Maximum three follow-up messages per cycle to any single lead, then park and reset.</w:t>
      </w:r>
    </w:p>
    <w:p>
      <w:pPr>
        <w:pStyle w:val="ListParagraph"/>
        <w:numPr>
          <w:ilvl w:val="0"/>
          <w:numId w:val="2"/>
        </w:numPr>
        <w:spacing w:after="80"/>
      </w:pPr>
      <w:r>
        <w:rPr>
          <w:color w:val="1F1F1F"/>
          <w:sz w:val="21"/>
          <w:szCs w:val="21"/>
        </w:rPr>
        <w:t xml:space="preserve">The paid ask is made live, in session, at the close — never in a follow-up message.</w:t>
      </w:r>
    </w:p>
    <w:p>
      <w:pPr>
        <w:pStyle w:val="ListParagraph"/>
        <w:numPr>
          <w:ilvl w:val="0"/>
          <w:numId w:val="2"/>
        </w:numPr>
        <w:spacing w:after="80"/>
      </w:pPr>
      <w:r>
        <w:rPr>
          <w:color w:val="1F1F1F"/>
          <w:sz w:val="21"/>
          <w:szCs w:val="21"/>
        </w:rPr>
        <w:t xml:space="preserve">ICP credential requirement (XLRI/IIM-tier) has been loosened — confirmed Aug 13. Role and situation now do the qualifying work, not pedigree. See §3.</w:t>
      </w:r>
    </w:p>
    <w:p>
      <w:pPr>
        <w:pStyle w:val="ListParagraph"/>
        <w:numPr>
          <w:ilvl w:val="0"/>
          <w:numId w:val="2"/>
        </w:numPr>
        <w:spacing w:after="80"/>
      </w:pPr>
      <w:r>
        <w:rPr>
          <w:color w:val="1F1F1F"/>
          <w:sz w:val="21"/>
          <w:szCs w:val="21"/>
        </w:rPr>
        <w:t xml:space="preserve">The founding annual rate (now ₹9,999/year, confirmed correct — see §4) is mentioned only if asked.</w:t>
      </w:r>
    </w:p>
    <w:p>
      <w:pPr>
        <w:pStyle w:val="ListParagraph"/>
        <w:numPr>
          <w:ilvl w:val="0"/>
          <w:numId w:val="2"/>
        </w:numPr>
        <w:spacing w:after="80"/>
      </w:pPr>
      <w:r>
        <w:rPr>
          <w:color w:val="1F1F1F"/>
          <w:sz w:val="21"/>
          <w:szCs w:val="21"/>
        </w:rPr>
        <w:t xml:space="preserve">The public LinkedIn post is held until the first paying customer is secured. No exceptions.</w:t>
      </w:r>
    </w:p>
    <w:p>
      <w:pPr>
        <w:pStyle w:val="ListParagraph"/>
        <w:numPr>
          <w:ilvl w:val="0"/>
          <w:numId w:val="2"/>
        </w:numPr>
        <w:spacing w:after="80"/>
      </w:pPr>
      <w:r>
        <w:rPr>
          <w:color w:val="1F1F1F"/>
          <w:sz w:val="21"/>
          <w:szCs w:val="21"/>
        </w:rPr>
        <w:t xml:space="preserve">Re-engagement always uses a new angle. The same ask, repeated, is harassment, not re-engagement.</w:t>
      </w:r>
    </w:p>
    <w:p>
      <w:pPr>
        <w:pStyle w:val="ListParagraph"/>
        <w:numPr>
          <w:ilvl w:val="0"/>
          <w:numId w:val="2"/>
        </w:numPr>
        <w:spacing w:after="80"/>
      </w:pPr>
      <w:r>
        <w:rPr>
          <w:color w:val="1F1F1F"/>
          <w:sz w:val="21"/>
          <w:szCs w:val="21"/>
        </w:rPr>
        <w:t xml:space="preserve">No more than two messages to the same person in a single day. One is ideal.</w:t>
      </w:r>
    </w:p>
    <w:p>
      <w:pPr>
        <w:pStyle w:val="Heading3"/>
        <w:spacing w:after="80" w:before="200"/>
      </w:pPr>
      <w:r>
        <w:rPr>
          <w:b/>
          <w:bCs/>
          <w:color w:val="1F1F1F"/>
          <w:sz w:val="22"/>
          <w:szCs w:val="22"/>
        </w:rPr>
        <w:t xml:space="preserve">New from the Aug 11 update</w:t>
      </w:r>
    </w:p>
    <w:p>
      <w:pPr>
        <w:pStyle w:val="ListParagraph"/>
        <w:numPr>
          <w:ilvl w:val="0"/>
          <w:numId w:val="2"/>
        </w:numPr>
        <w:spacing w:after="80"/>
      </w:pPr>
      <w:r>
        <w:rPr>
          <w:color w:val="1F1F1F"/>
          <w:sz w:val="21"/>
          <w:szCs w:val="21"/>
        </w:rPr>
        <w:t xml:space="preserve">Keep both Meta creative formats (static + video) running — the image ad's good CTR means it wasn't killed prematurely; don't cut a working creative on a hunch.</w:t>
      </w:r>
    </w:p>
    <w:p>
      <w:pPr>
        <w:pStyle w:val="ListParagraph"/>
        <w:numPr>
          <w:ilvl w:val="0"/>
          <w:numId w:val="2"/>
        </w:numPr>
        <w:spacing w:after="80"/>
      </w:pPr>
      <w:r>
        <w:rPr>
          <w:color w:val="1F1F1F"/>
          <w:sz w:val="21"/>
          <w:szCs w:val="21"/>
        </w:rPr>
        <w:t xml:space="preserve">Don't kill the ₹299 campaign while testing the free-tier funnel — run them in parallel, not as a replacement.</w:t>
      </w:r>
    </w:p>
    <w:p>
      <w:pPr>
        <w:pStyle w:val="ListParagraph"/>
        <w:numPr>
          <w:ilvl w:val="0"/>
          <w:numId w:val="2"/>
        </w:numPr>
        <w:spacing w:after="80"/>
      </w:pPr>
      <w:r>
        <w:rPr>
          <w:color w:val="1F1F1F"/>
          <w:sz w:val="21"/>
          <w:szCs w:val="21"/>
        </w:rPr>
        <w:t xml:space="preserve">Investment/vendor selection is not Quorum's direct use case. Redirect to structuring the decision between options the user already has (see Script 26) rather than stretching the product to source options.</w:t>
      </w:r>
    </w:p>
    <w:p>
      <w:pPr>
        <w:pStyle w:val="ListParagraph"/>
        <w:numPr>
          <w:ilvl w:val="0"/>
          <w:numId w:val="2"/>
        </w:numPr>
        <w:spacing w:after="80"/>
      </w:pPr>
      <w:r>
        <w:rPr>
          <w:color w:val="1F1F1F"/>
          <w:sz w:val="21"/>
          <w:szCs w:val="21"/>
        </w:rPr>
        <w:t xml:space="preserve">Founder-to-founder sessions where the other party may be benchmarking Quorum (e.g. Kamal) go complimentary, not ₹299, and get reframed explicitly rather than treated as a normal transactional lead.</w:t>
      </w:r>
    </w:p>
    <w:p>
      <w:pPr>
        <w:pStyle w:val="Heading1"/>
        <w:pBdr>
          <w:bottom w:val="single" w:color="8A6D00" w:sz="8" w:space="4"/>
        </w:pBdr>
        <w:spacing w:after="160" w:before="360"/>
      </w:pPr>
      <w:r>
        <w:rPr>
          <w:b/>
          <w:bCs/>
          <w:color w:val="1F1F1F"/>
          <w:sz w:val="30"/>
          <w:szCs w:val="30"/>
        </w:rPr>
        <w:t xml:space="preserve">16. Key Learnings</w:t>
      </w:r>
    </w:p>
    <w:p>
      <w:pPr>
        <w:pStyle w:val="Heading3"/>
        <w:spacing w:after="80" w:before="200"/>
      </w:pPr>
      <w:r>
        <w:rPr>
          <w:b/>
          <w:bCs/>
          <w:color w:val="1F1F1F"/>
          <w:sz w:val="22"/>
          <w:szCs w:val="22"/>
        </w:rPr>
        <w:t xml:space="preserve">From the Aug 11 Track 1 update</w:t>
      </w:r>
    </w:p>
    <w:p>
      <w:pPr>
        <w:pStyle w:val="ListParagraph"/>
        <w:numPr>
          <w:ilvl w:val="0"/>
          <w:numId w:val="2"/>
        </w:numPr>
        <w:spacing w:after="80"/>
      </w:pPr>
      <w:r>
        <w:rPr>
          <w:color w:val="1F1F1F"/>
          <w:sz w:val="21"/>
          <w:szCs w:val="21"/>
        </w:rPr>
        <w:t xml:space="preserve">The ₹299 session is now validated by strangers, not just warm contacts — two cold Meta leads paid without any prior relationship. This is the strongest signal to date.</w:t>
      </w:r>
    </w:p>
    <w:p>
      <w:pPr>
        <w:pStyle w:val="ListParagraph"/>
        <w:numPr>
          <w:ilvl w:val="0"/>
          <w:numId w:val="2"/>
        </w:numPr>
        <w:spacing w:after="80"/>
      </w:pPr>
      <w:r>
        <w:rPr>
          <w:color w:val="1F1F1F"/>
          <w:sz w:val="21"/>
          <w:szCs w:val="21"/>
        </w:rPr>
        <w:t xml:space="preserve">The subscription is a harder, separate conversion from the paid session. Neeta experienced real value and still didn't subscribe — value experienced in-session doesn't automatically transfer to a recurring-cost decision.</w:t>
      </w:r>
    </w:p>
    <w:p>
      <w:pPr>
        <w:pStyle w:val="ListParagraph"/>
        <w:numPr>
          <w:ilvl w:val="0"/>
          <w:numId w:val="2"/>
        </w:numPr>
        <w:spacing w:after="80"/>
      </w:pPr>
      <w:r>
        <w:rPr>
          <w:color w:val="1F1F1F"/>
          <w:sz w:val="21"/>
          <w:szCs w:val="21"/>
        </w:rPr>
        <w:t xml:space="preserve">The free tier's job is DAU, not a price-sensitivity test — confirmed Aug 13. The product already converts free users to paid effectively, so widening the top of funnel is the whole point; don't over-read early free-tier numbers as evidence about the ₹299 price point.</w:t>
      </w:r>
    </w:p>
    <w:p>
      <w:pPr>
        <w:pStyle w:val="ListParagraph"/>
        <w:numPr>
          <w:ilvl w:val="0"/>
          <w:numId w:val="2"/>
        </w:numPr>
        <w:spacing w:after="80"/>
      </w:pPr>
      <w:r>
        <w:rPr>
          <w:color w:val="1F1F1F"/>
          <w:sz w:val="21"/>
          <w:szCs w:val="21"/>
        </w:rPr>
        <w:t xml:space="preserve">Landing-page → booking conversion, not traffic, is the current constraint on the paid funnel — visitor volume tripling didn't move booking count at all.</w:t>
      </w:r>
    </w:p>
    <w:p>
      <w:pPr>
        <w:pStyle w:val="ListParagraph"/>
        <w:numPr>
          <w:ilvl w:val="0"/>
          <w:numId w:val="2"/>
        </w:numPr>
        <w:spacing w:after="80"/>
      </w:pPr>
      <w:r>
        <w:rPr>
          <w:color w:val="1F1F1F"/>
          <w:sz w:val="21"/>
          <w:szCs w:val="21"/>
        </w:rPr>
        <w:t xml:space="preserve">The strongest message is a felt problem, not a product description: “you've heard enough opinions, the problem is you still don't understand the decision clearly” beats “AI council” / “six AI advisors” / “another chatbot” framing, consistent with the July 7 “Mirror frame” learning.</w:t>
      </w:r>
    </w:p>
    <w:p>
      <w:pPr>
        <w:pStyle w:val="ListParagraph"/>
        <w:numPr>
          <w:ilvl w:val="0"/>
          <w:numId w:val="2"/>
        </w:numPr>
        <w:spacing w:after="80"/>
      </w:pPr>
      <w:r>
        <w:rPr>
          <w:color w:val="1F1F1F"/>
          <w:sz w:val="21"/>
          <w:szCs w:val="21"/>
        </w:rPr>
        <w:t xml:space="preserve">Live session still beats sending a link, even for cold, paid-acquisition leads — Arunjot's and Prakhar's threads both moved toward a live session rather than an async look.</w:t>
      </w:r>
    </w:p>
    <w:p>
      <w:pPr>
        <w:pStyle w:val="ListParagraph"/>
        <w:numPr>
          <w:ilvl w:val="0"/>
          <w:numId w:val="2"/>
        </w:numPr>
        <w:spacing w:after="80"/>
      </w:pPr>
      <w:r>
        <w:rPr>
          <w:color w:val="1F1F1F"/>
          <w:sz w:val="21"/>
          <w:szCs w:val="21"/>
        </w:rPr>
        <w:t xml:space="preserve">Credential-based ICP filtering wasn't necessary — loosening the XLRI/IIM requirement tracks with what the Meta data already showed: cold, credential-unverified strangers converted to paid sessions just fine.</w:t>
      </w:r>
    </w:p>
    <w:p>
      <w:pPr>
        <w:pStyle w:val="ListParagraph"/>
        <w:numPr>
          <w:ilvl w:val="0"/>
          <w:numId w:val="2"/>
        </w:numPr>
        <w:spacing w:after="80"/>
      </w:pPr>
      <w:r>
        <w:rPr>
          <w:color w:val="1F1F1F"/>
          <w:sz w:val="21"/>
          <w:szCs w:val="21"/>
        </w:rPr>
        <w:t xml:space="preserve">Batch outreach needs a dedupe pass. Six names in the 11 Aug LinkedIn batch had already been contacted earlier — accidental, low-stakes this time, but worth a process fix before the next batch send.</w:t>
      </w:r>
    </w:p>
    <w:p>
      <w:pPr>
        <w:pStyle w:val="Heading3"/>
        <w:spacing w:after="80" w:before="200"/>
      </w:pPr>
      <w:r>
        <w:rPr>
          <w:b/>
          <w:bCs/>
          <w:color w:val="1F1F1F"/>
          <w:sz w:val="22"/>
          <w:szCs w:val="22"/>
        </w:rPr>
        <w:t xml:space="preserve">From July 7 — still holding</w:t>
      </w:r>
    </w:p>
    <w:p>
      <w:pPr>
        <w:pStyle w:val="ListParagraph"/>
        <w:numPr>
          <w:ilvl w:val="0"/>
          <w:numId w:val="2"/>
        </w:numPr>
        <w:spacing w:after="80"/>
      </w:pPr>
      <w:r>
        <w:rPr>
          <w:color w:val="1F1F1F"/>
          <w:sz w:val="21"/>
          <w:szCs w:val="21"/>
        </w:rPr>
        <w:t xml:space="preserve">Run it live, never explain it first — conviction comes from experience, not description.</w:t>
      </w:r>
    </w:p>
    <w:p>
      <w:pPr>
        <w:pStyle w:val="ListParagraph"/>
        <w:numPr>
          <w:ilvl w:val="0"/>
          <w:numId w:val="2"/>
        </w:numPr>
        <w:spacing w:after="80"/>
      </w:pPr>
      <w:r>
        <w:rPr>
          <w:color w:val="1F1F1F"/>
          <w:sz w:val="21"/>
          <w:szCs w:val="21"/>
        </w:rPr>
        <w:t xml:space="preserve">The session is the product, not a demo or a sales step.</w:t>
      </w:r>
    </w:p>
    <w:p>
      <w:pPr>
        <w:pStyle w:val="ListParagraph"/>
        <w:numPr>
          <w:ilvl w:val="0"/>
          <w:numId w:val="2"/>
        </w:numPr>
        <w:spacing w:after="80"/>
      </w:pPr>
      <w:r>
        <w:rPr>
          <w:color w:val="1F1F1F"/>
          <w:sz w:val="21"/>
          <w:szCs w:val="21"/>
        </w:rPr>
        <w:t xml:space="preserve">Silence after a strong message is not rejection, especially for senior, introspective people.</w:t>
      </w:r>
    </w:p>
    <w:p>
      <w:pPr>
        <w:pStyle w:val="ListParagraph"/>
        <w:numPr>
          <w:ilvl w:val="0"/>
          <w:numId w:val="2"/>
        </w:numPr>
        <w:spacing w:after="80"/>
      </w:pPr>
      <w:r>
        <w:rPr>
          <w:color w:val="1F1F1F"/>
          <w:sz w:val="21"/>
          <w:szCs w:val="21"/>
        </w:rPr>
        <w:t xml:space="preserve">Price resistance is conviction resistance — don't negotiate, revisit the session instead.</w:t>
      </w:r>
    </w:p>
    <w:p>
      <w:pPr>
        <w:pStyle w:val="ListParagraph"/>
        <w:numPr>
          <w:ilvl w:val="0"/>
          <w:numId w:val="2"/>
        </w:numPr>
        <w:spacing w:after="80"/>
      </w:pPr>
      <w:r>
        <w:rPr>
          <w:color w:val="1F1F1F"/>
          <w:sz w:val="21"/>
          <w:szCs w:val="21"/>
        </w:rPr>
        <w:t xml:space="preserve">Unprompted sharing is the strongest signal; “I will share this” is weaker than actually sharing.</w:t>
      </w:r>
    </w:p>
    <w:p>
      <w:pPr>
        <w:pStyle w:val="ListParagraph"/>
        <w:numPr>
          <w:ilvl w:val="0"/>
          <w:numId w:val="2"/>
        </w:numPr>
        <w:spacing w:after="80"/>
      </w:pPr>
      <w:r>
        <w:rPr>
          <w:color w:val="1F1F1F"/>
          <w:sz w:val="21"/>
          <w:szCs w:val="21"/>
        </w:rPr>
        <w:t xml:space="preserve">Change the entry point, not the volume, when an ask hasn't worked.</w:t>
      </w:r>
    </w:p>
    <w:p>
      <w:pPr>
        <w:pStyle w:val="Heading1"/>
        <w:pBdr>
          <w:bottom w:val="single" w:color="8A6D00" w:sz="8" w:space="4"/>
        </w:pBdr>
        <w:spacing w:after="160" w:before="360"/>
      </w:pPr>
      <w:r>
        <w:rPr>
          <w:b/>
          <w:bCs/>
          <w:color w:val="1F1F1F"/>
          <w:sz w:val="30"/>
          <w:szCs w:val="30"/>
        </w:rPr>
        <w:t xml:space="preserve">17. Open Items — August 13, 2026</w:t>
      </w:r>
    </w:p>
    <w:p>
      <w:pPr>
        <w:spacing w:after="140"/>
      </w:pPr>
      <w:r>
        <w:rPr>
          <w:color w:val="1F1F1F"/>
          <w:sz w:val="21"/>
          <w:szCs w:val="21"/>
        </w:rPr>
        <w:t xml:space="preserve">Most of what the previous draft flagged here is now resolved per the founder's Aug 13 answers (see §9–11, §13–15). What remains genuinely open:</w:t>
      </w:r>
    </w:p>
    <w:p>
      <w:pPr>
        <w:pStyle w:val="ListParagraph"/>
        <w:numPr>
          <w:ilvl w:val="0"/>
          <w:numId w:val="2"/>
        </w:numPr>
        <w:spacing w:after="80"/>
      </w:pPr>
      <w:r>
        <w:rPr>
          <w:color w:val="1F1F1F"/>
          <w:sz w:val="21"/>
          <w:szCs w:val="21"/>
        </w:rPr>
        <w:t xml:space="preserve">First paying ₹999/month subscriber — still the single most important unresolved item across both the July 7 and Aug 11 updates. Mayank Sharma is the live path; Arunjot K's booked session is the second.</w:t>
      </w:r>
    </w:p>
    <w:p>
      <w:pPr>
        <w:pStyle w:val="ListParagraph"/>
        <w:numPr>
          <w:ilvl w:val="0"/>
          <w:numId w:val="2"/>
        </w:numPr>
        <w:spacing w:after="80"/>
      </w:pPr>
      <w:r>
        <w:rPr>
          <w:color w:val="1F1F1F"/>
          <w:sz w:val="21"/>
          <w:szCs w:val="21"/>
        </w:rPr>
        <w:t xml:space="preserve">Send Vishal a personal, direct message — the Jul 10 checkpoint is resolved (no conversion via the group thread), so this is now the live next action, not a pending decision. See §9.</w:t>
      </w:r>
    </w:p>
    <w:p>
      <w:pPr>
        <w:pStyle w:val="ListParagraph"/>
        <w:numPr>
          <w:ilvl w:val="0"/>
          <w:numId w:val="2"/>
        </w:numPr>
        <w:spacing w:after="80"/>
      </w:pPr>
      <w:r>
        <w:rPr>
          <w:color w:val="1F1F1F"/>
          <w:sz w:val="21"/>
          <w:szCs w:val="21"/>
        </w:rPr>
        <w:t xml:space="preserve">Meta paid funnel's landing-page → booking conversion needs attention — traffic tripled without moving bookings. Diagnosing and fixing that page/offer is higher-leverage right now than more ad spend.</w:t>
      </w:r>
    </w:p>
    <w:p>
      <w:pPr>
        <w:pStyle w:val="ListParagraph"/>
        <w:numPr>
          <w:ilvl w:val="0"/>
          <w:numId w:val="2"/>
        </w:numPr>
        <w:spacing w:after="80"/>
      </w:pPr>
      <w:r>
        <w:rPr>
          <w:color w:val="1F1F1F"/>
          <w:sz w:val="21"/>
          <w:szCs w:val="21"/>
        </w:rPr>
        <w:t xml:space="preserve">Add a dedupe check to the outreach process before the next LinkedIn batch, given the accidental repeat contact in the 11 Aug batch (§8).</w:t>
      </w:r>
    </w:p>
    <w:p>
      <w:pPr>
        <w:pStyle w:val="ListParagraph"/>
        <w:numPr>
          <w:ilvl w:val="0"/>
          <w:numId w:val="2"/>
        </w:numPr>
        <w:spacing w:after="80"/>
      </w:pPr>
      <w:r>
        <w:rPr>
          <w:color w:val="1F1F1F"/>
          <w:sz w:val="21"/>
          <w:szCs w:val="21"/>
        </w:rPr>
        <w:t xml:space="preserve">Resume signal for parked leads (§10) and the daily WhatsApp cadence (§11) — both are deliberately on hold; no action needed until the founder decides to reopen either.</w:t>
      </w:r>
    </w:p>
    <w:p>
      <w:pPr>
        <w:spacing w:after="200"/>
      </w:pPr>
    </w:p>
    <w:p>
      <w:pPr>
        <w:pStyle w:val="Heading1"/>
        <w:pBdr>
          <w:bottom w:val="single" w:color="8A6D00" w:sz="8" w:space="4"/>
        </w:pBdr>
        <w:spacing w:after="160" w:before="360"/>
      </w:pPr>
      <w:r>
        <w:rPr>
          <w:b/>
          <w:bCs/>
          <w:color w:val="1F1F1F"/>
          <w:sz w:val="30"/>
          <w:szCs w:val="30"/>
        </w:rPr>
        <w:t xml:space="preserve">18. Metrics Snapshot — August 13, 2026</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200"/>
        <w:gridCol w:w="5100"/>
      </w:tblGrid>
      <w:tr>
        <w:trPr>
          <w:tblHeader/>
        </w:trPr>
        <w:tc>
          <w:tcPr>
            <w:tcW w:type="dxa" w:w="4200"/>
            <w:shd w:fill="2B2B2B" w:val="clear"/>
            <w:tcMar>
              <w:top w:type="dxa" w:w="80"/>
              <w:left w:type="dxa" w:w="100"/>
              <w:bottom w:type="dxa" w:w="80"/>
              <w:right w:type="dxa" w:w="100"/>
            </w:tcMar>
            <w:vAlign w:val="center"/>
          </w:tcPr>
          <w:p>
            <w:pPr>
              <w:jc w:val="left"/>
            </w:pPr>
            <w:r>
              <w:rPr>
                <w:b/>
                <w:bCs/>
                <w:color w:val="FFFFFF"/>
                <w:sz w:val="19"/>
                <w:szCs w:val="19"/>
              </w:rPr>
              <w:t xml:space="preserve">Metric</w:t>
            </w:r>
          </w:p>
        </w:tc>
        <w:tc>
          <w:tcPr>
            <w:tcW w:type="dxa" w:w="5100"/>
            <w:shd w:fill="2B2B2B" w:val="clear"/>
            <w:tcMar>
              <w:top w:type="dxa" w:w="80"/>
              <w:left w:type="dxa" w:w="100"/>
              <w:bottom w:type="dxa" w:w="80"/>
              <w:right w:type="dxa" w:w="100"/>
            </w:tcMar>
            <w:vAlign w:val="center"/>
          </w:tcPr>
          <w:p>
            <w:pPr>
              <w:jc w:val="left"/>
            </w:pPr>
            <w:r>
              <w:rPr>
                <w:b/>
                <w:bCs/>
                <w:color w:val="FFFFFF"/>
                <w:sz w:val="19"/>
                <w:szCs w:val="19"/>
              </w:rPr>
              <w:t xml:space="preserve">Value / status</w:t>
            </w:r>
          </w:p>
        </w:tc>
      </w:tr>
      <w:tr>
        <w:tc>
          <w:tcPr>
            <w:tcW w:type="dxa" w:w="4200"/>
            <w:shd w:fill="F7F7F7" w:val="clear"/>
            <w:tcMar>
              <w:top w:type="dxa" w:w="80"/>
              <w:left w:type="dxa" w:w="100"/>
              <w:bottom w:type="dxa" w:w="80"/>
              <w:right w:type="dxa" w:w="100"/>
            </w:tcMar>
            <w:vAlign w:val="center"/>
          </w:tcPr>
          <w:p>
            <w:pPr>
              <w:jc w:val="left"/>
            </w:pPr>
            <w:r>
              <w:rPr>
                <w:color w:val="1F1F1F"/>
                <w:sz w:val="19"/>
                <w:szCs w:val="19"/>
              </w:rPr>
              <w:t xml:space="preserve">Paid ₹999/month subscribers</w:t>
            </w:r>
          </w:p>
        </w:tc>
        <w:tc>
          <w:tcPr>
            <w:tcW w:type="dxa" w:w="5100"/>
            <w:shd w:fill="F7F7F7" w:val="clear"/>
            <w:tcMar>
              <w:top w:type="dxa" w:w="80"/>
              <w:left w:type="dxa" w:w="100"/>
              <w:bottom w:type="dxa" w:w="80"/>
              <w:right w:type="dxa" w:w="100"/>
            </w:tcMar>
            <w:vAlign w:val="center"/>
          </w:tcPr>
          <w:p>
            <w:pPr>
              <w:jc w:val="left"/>
            </w:pPr>
            <w:r>
              <w:rPr>
                <w:color w:val="1F1F1F"/>
                <w:sz w:val="19"/>
                <w:szCs w:val="19"/>
              </w:rPr>
              <w:t xml:space="preserve">0 confirmed. Mayank Sharma pending (Sun/Mon follow-up); Arunjot K session pending.</w:t>
            </w:r>
          </w:p>
        </w:tc>
      </w:tr>
      <w:tr>
        <w:tc>
          <w:tcPr>
            <w:tcW w:type="dxa" w:w="4200"/>
            <w:tcMar>
              <w:top w:type="dxa" w:w="80"/>
              <w:left w:type="dxa" w:w="100"/>
              <w:bottom w:type="dxa" w:w="80"/>
              <w:right w:type="dxa" w:w="100"/>
            </w:tcMar>
            <w:vAlign w:val="center"/>
          </w:tcPr>
          <w:p>
            <w:pPr>
              <w:jc w:val="left"/>
            </w:pPr>
            <w:r>
              <w:rPr>
                <w:color w:val="1F1F1F"/>
                <w:sz w:val="19"/>
                <w:szCs w:val="19"/>
              </w:rPr>
              <w:t xml:space="preserve">₹299 paid sessions (Meta funnel)</w:t>
            </w:r>
          </w:p>
        </w:tc>
        <w:tc>
          <w:tcPr>
            <w:tcW w:type="dxa" w:w="5100"/>
            <w:tcMar>
              <w:top w:type="dxa" w:w="80"/>
              <w:left w:type="dxa" w:w="100"/>
              <w:bottom w:type="dxa" w:w="80"/>
              <w:right w:type="dxa" w:w="100"/>
            </w:tcMar>
            <w:vAlign w:val="center"/>
          </w:tcPr>
          <w:p>
            <w:pPr>
              <w:jc w:val="left"/>
            </w:pPr>
            <w:r>
              <w:rPr>
                <w:color w:val="1F1F1F"/>
                <w:sz w:val="19"/>
                <w:szCs w:val="19"/>
              </w:rPr>
              <w:t xml:space="preserve">2 confirmed (Neeta, Arunjot K)</w:t>
            </w:r>
          </w:p>
        </w:tc>
      </w:tr>
      <w:tr>
        <w:tc>
          <w:tcPr>
            <w:tcW w:type="dxa" w:w="4200"/>
            <w:shd w:fill="F7F7F7" w:val="clear"/>
            <w:tcMar>
              <w:top w:type="dxa" w:w="80"/>
              <w:left w:type="dxa" w:w="100"/>
              <w:bottom w:type="dxa" w:w="80"/>
              <w:right w:type="dxa" w:w="100"/>
            </w:tcMar>
            <w:vAlign w:val="center"/>
          </w:tcPr>
          <w:p>
            <w:pPr>
              <w:jc w:val="left"/>
            </w:pPr>
            <w:r>
              <w:rPr>
                <w:color w:val="1F1F1F"/>
                <w:sz w:val="19"/>
                <w:szCs w:val="19"/>
              </w:rPr>
              <w:t xml:space="preserve">Meta paid funnel — visitor→booking conversion</w:t>
            </w:r>
          </w:p>
        </w:tc>
        <w:tc>
          <w:tcPr>
            <w:tcW w:type="dxa" w:w="5100"/>
            <w:shd w:fill="F7F7F7" w:val="clear"/>
            <w:tcMar>
              <w:top w:type="dxa" w:w="80"/>
              <w:left w:type="dxa" w:w="100"/>
              <w:bottom w:type="dxa" w:w="80"/>
              <w:right w:type="dxa" w:w="100"/>
            </w:tcMar>
            <w:vAlign w:val="center"/>
          </w:tcPr>
          <w:p>
            <w:pPr>
              <w:jc w:val="left"/>
            </w:pPr>
            <w:r>
              <w:rPr>
                <w:color w:val="1F1F1F"/>
                <w:sz w:val="19"/>
                <w:szCs w:val="19"/>
              </w:rPr>
              <w:t xml:space="preserve">Declined from ~1.67% (~120 visitors) to ~0.5% (~400 visitors) across two measurement points</w:t>
            </w:r>
          </w:p>
        </w:tc>
      </w:tr>
      <w:tr>
        <w:tc>
          <w:tcPr>
            <w:tcW w:type="dxa" w:w="4200"/>
            <w:tcMar>
              <w:top w:type="dxa" w:w="80"/>
              <w:left w:type="dxa" w:w="100"/>
              <w:bottom w:type="dxa" w:w="80"/>
              <w:right w:type="dxa" w:w="100"/>
            </w:tcMar>
            <w:vAlign w:val="center"/>
          </w:tcPr>
          <w:p>
            <w:pPr>
              <w:jc w:val="left"/>
            </w:pPr>
            <w:r>
              <w:rPr>
                <w:color w:val="1F1F1F"/>
                <w:sz w:val="19"/>
                <w:szCs w:val="19"/>
              </w:rPr>
              <w:t xml:space="preserve">Meta free-tier funnel</w:t>
            </w:r>
          </w:p>
        </w:tc>
        <w:tc>
          <w:tcPr>
            <w:tcW w:type="dxa" w:w="5100"/>
            <w:tcMar>
              <w:top w:type="dxa" w:w="80"/>
              <w:left w:type="dxa" w:w="100"/>
              <w:bottom w:type="dxa" w:w="80"/>
              <w:right w:type="dxa" w:w="100"/>
            </w:tcMar>
            <w:vAlign w:val="center"/>
          </w:tcPr>
          <w:p>
            <w:pPr>
              <w:jc w:val="left"/>
            </w:pPr>
            <w:r>
              <w:rPr>
                <w:color w:val="1F1F1F"/>
                <w:sz w:val="19"/>
                <w:szCs w:val="19"/>
              </w:rPr>
              <w:t xml:space="preserve">Newly launched, purpose is DAU growth — no performance data yet</w:t>
            </w:r>
          </w:p>
        </w:tc>
      </w:tr>
      <w:tr>
        <w:tc>
          <w:tcPr>
            <w:tcW w:type="dxa" w:w="4200"/>
            <w:shd w:fill="F7F7F7" w:val="clear"/>
            <w:tcMar>
              <w:top w:type="dxa" w:w="80"/>
              <w:left w:type="dxa" w:w="100"/>
              <w:bottom w:type="dxa" w:w="80"/>
              <w:right w:type="dxa" w:w="100"/>
            </w:tcMar>
            <w:vAlign w:val="center"/>
          </w:tcPr>
          <w:p>
            <w:pPr>
              <w:jc w:val="left"/>
            </w:pPr>
            <w:r>
              <w:rPr>
                <w:color w:val="1F1F1F"/>
                <w:sz w:val="19"/>
                <w:szCs w:val="19"/>
              </w:rPr>
              <w:t xml:space="preserve">Active 🟢 leads</w:t>
            </w:r>
          </w:p>
        </w:tc>
        <w:tc>
          <w:tcPr>
            <w:tcW w:type="dxa" w:w="5100"/>
            <w:shd w:fill="F7F7F7" w:val="clear"/>
            <w:tcMar>
              <w:top w:type="dxa" w:w="80"/>
              <w:left w:type="dxa" w:w="100"/>
              <w:bottom w:type="dxa" w:w="80"/>
              <w:right w:type="dxa" w:w="100"/>
            </w:tcMar>
            <w:vAlign w:val="center"/>
          </w:tcPr>
          <w:p>
            <w:pPr>
              <w:jc w:val="left"/>
            </w:pPr>
            <w:r>
              <w:rPr>
                <w:color w:val="1F1F1F"/>
                <w:sz w:val="19"/>
                <w:szCs w:val="19"/>
              </w:rPr>
              <w:t xml:space="preserve">6 (Mayank, Arunjot K, Neeta, Kamal, Shivi Sharma, Nishit Agarwal)</w:t>
            </w:r>
          </w:p>
        </w:tc>
      </w:tr>
      <w:tr>
        <w:tc>
          <w:tcPr>
            <w:tcW w:type="dxa" w:w="4200"/>
            <w:tcMar>
              <w:top w:type="dxa" w:w="80"/>
              <w:left w:type="dxa" w:w="100"/>
              <w:bottom w:type="dxa" w:w="80"/>
              <w:right w:type="dxa" w:w="100"/>
            </w:tcMar>
            <w:vAlign w:val="center"/>
          </w:tcPr>
          <w:p>
            <w:pPr>
              <w:jc w:val="left"/>
            </w:pPr>
            <w:r>
              <w:rPr>
                <w:color w:val="1F1F1F"/>
                <w:sz w:val="19"/>
                <w:szCs w:val="19"/>
              </w:rPr>
              <w:t xml:space="preserve">Warm 🟡 leads</w:t>
            </w:r>
          </w:p>
        </w:tc>
        <w:tc>
          <w:tcPr>
            <w:tcW w:type="dxa" w:w="5100"/>
            <w:tcMar>
              <w:top w:type="dxa" w:w="80"/>
              <w:left w:type="dxa" w:w="100"/>
              <w:bottom w:type="dxa" w:w="80"/>
              <w:right w:type="dxa" w:w="100"/>
            </w:tcMar>
            <w:vAlign w:val="center"/>
          </w:tcPr>
          <w:p>
            <w:pPr>
              <w:jc w:val="left"/>
            </w:pPr>
            <w:r>
              <w:rPr>
                <w:color w:val="1F1F1F"/>
                <w:sz w:val="19"/>
                <w:szCs w:val="19"/>
              </w:rPr>
              <w:t xml:space="preserve">Simarjit, Prakhar, Naotaka, Rohan, Gajendra, Ryan Fernando, + 11-person 11 Aug batch</w:t>
            </w:r>
          </w:p>
        </w:tc>
      </w:tr>
      <w:tr>
        <w:tc>
          <w:tcPr>
            <w:tcW w:type="dxa" w:w="4200"/>
            <w:shd w:fill="F7F7F7" w:val="clear"/>
            <w:tcMar>
              <w:top w:type="dxa" w:w="80"/>
              <w:left w:type="dxa" w:w="100"/>
              <w:bottom w:type="dxa" w:w="80"/>
              <w:right w:type="dxa" w:w="100"/>
            </w:tcMar>
            <w:vAlign w:val="center"/>
          </w:tcPr>
          <w:p>
            <w:pPr>
              <w:jc w:val="left"/>
            </w:pPr>
            <w:r>
              <w:rPr>
                <w:color w:val="1F1F1F"/>
                <w:sz w:val="19"/>
                <w:szCs w:val="19"/>
              </w:rPr>
              <w:t xml:space="preserve">July 7 pipeline (Girish, Vishal, Raghvendra, parked leads)</w:t>
            </w:r>
          </w:p>
        </w:tc>
        <w:tc>
          <w:tcPr>
            <w:tcW w:type="dxa" w:w="5100"/>
            <w:shd w:fill="F7F7F7" w:val="clear"/>
            <w:tcMar>
              <w:top w:type="dxa" w:w="80"/>
              <w:left w:type="dxa" w:w="100"/>
              <w:bottom w:type="dxa" w:w="80"/>
              <w:right w:type="dxa" w:w="100"/>
            </w:tcMar>
            <w:vAlign w:val="center"/>
          </w:tcPr>
          <w:p>
            <w:pPr>
              <w:jc w:val="left"/>
            </w:pPr>
            <w:r>
              <w:rPr>
                <w:color w:val="1F1F1F"/>
                <w:sz w:val="19"/>
                <w:szCs w:val="19"/>
              </w:rPr>
              <w:t xml:space="preserve">Confirmed no movement / deliberately parked as of Aug 13 — a hold, not a gap</w:t>
            </w:r>
          </w:p>
        </w:tc>
      </w:tr>
      <w:tr>
        <w:tc>
          <w:tcPr>
            <w:tcW w:type="dxa" w:w="4200"/>
            <w:tcMar>
              <w:top w:type="dxa" w:w="80"/>
              <w:left w:type="dxa" w:w="100"/>
              <w:bottom w:type="dxa" w:w="80"/>
              <w:right w:type="dxa" w:w="100"/>
            </w:tcMar>
            <w:vAlign w:val="center"/>
          </w:tcPr>
          <w:p>
            <w:pPr>
              <w:jc w:val="left"/>
            </w:pPr>
            <w:r>
              <w:rPr>
                <w:color w:val="1F1F1F"/>
                <w:sz w:val="19"/>
                <w:szCs w:val="19"/>
              </w:rPr>
              <w:t xml:space="preserve">Daily WhatsApp cadence (Gagan, Viral)</w:t>
            </w:r>
          </w:p>
        </w:tc>
        <w:tc>
          <w:tcPr>
            <w:tcW w:type="dxa" w:w="5100"/>
            <w:tcMar>
              <w:top w:type="dxa" w:w="80"/>
              <w:left w:type="dxa" w:w="100"/>
              <w:bottom w:type="dxa" w:w="80"/>
              <w:right w:type="dxa" w:w="100"/>
            </w:tcMar>
            <w:vAlign w:val="center"/>
          </w:tcPr>
          <w:p>
            <w:pPr>
              <w:jc w:val="left"/>
            </w:pPr>
            <w:r>
              <w:rPr>
                <w:color w:val="1F1F1F"/>
                <w:sz w:val="19"/>
                <w:szCs w:val="19"/>
              </w:rPr>
              <w:t xml:space="preserve">Stopped — deliberate pause, reopenable on decision</w:t>
            </w:r>
          </w:p>
        </w:tc>
      </w:tr>
      <w:tr>
        <w:tc>
          <w:tcPr>
            <w:tcW w:type="dxa" w:w="4200"/>
            <w:shd w:fill="F7F7F7" w:val="clear"/>
            <w:tcMar>
              <w:top w:type="dxa" w:w="80"/>
              <w:left w:type="dxa" w:w="100"/>
              <w:bottom w:type="dxa" w:w="80"/>
              <w:right w:type="dxa" w:w="100"/>
            </w:tcMar>
            <w:vAlign w:val="center"/>
          </w:tcPr>
          <w:p>
            <w:pPr>
              <w:jc w:val="left"/>
            </w:pPr>
            <w:r>
              <w:rPr>
                <w:color w:val="1F1F1F"/>
                <w:sz w:val="19"/>
                <w:szCs w:val="19"/>
              </w:rPr>
              <w:t xml:space="preserve">Institutional/org mode</w:t>
            </w:r>
          </w:p>
        </w:tc>
        <w:tc>
          <w:tcPr>
            <w:tcW w:type="dxa" w:w="5100"/>
            <w:shd w:fill="F7F7F7" w:val="clear"/>
            <w:tcMar>
              <w:top w:type="dxa" w:w="80"/>
              <w:left w:type="dxa" w:w="100"/>
              <w:bottom w:type="dxa" w:w="80"/>
              <w:right w:type="dxa" w:w="100"/>
            </w:tcMar>
            <w:vAlign w:val="center"/>
          </w:tcPr>
          <w:p>
            <w:pPr>
              <w:jc w:val="left"/>
            </w:pPr>
            <w:r>
              <w:rPr>
                <w:color w:val="1F1F1F"/>
                <w:sz w:val="19"/>
                <w:szCs w:val="19"/>
              </w:rPr>
              <w:t xml:space="preserve">Built, deliberately off in Railway — considered hold, not launched</w:t>
            </w:r>
          </w:p>
        </w:tc>
      </w:tr>
    </w:tbl>
    <w:p>
      <w:pPr>
        <w:spacing w:after="200"/>
      </w:pPr>
    </w:p>
    <w:p>
      <w:pPr>
        <w:pStyle w:val="Heading1"/>
        <w:pBdr>
          <w:bottom w:val="single" w:color="8A6D00" w:sz="8" w:space="4"/>
        </w:pBdr>
        <w:spacing w:after="160" w:before="360"/>
      </w:pPr>
      <w:r>
        <w:rPr>
          <w:b/>
          <w:bCs/>
          <w:color w:val="1F1F1F"/>
          <w:sz w:val="30"/>
          <w:szCs w:val="30"/>
        </w:rPr>
        <w:t xml:space="preserve">19. Scope Note</w:t>
      </w:r>
    </w:p>
    <w:p>
      <w:pPr>
        <w:spacing w:after="100"/>
      </w:pPr>
      <w:r>
        <w:rPr>
          <w:color w:val="1F1F1F"/>
          <w:sz w:val="21"/>
          <w:szCs w:val="21"/>
        </w:rPr>
        <w:t xml:space="preserve">As with the July 7 handover, this document intentionally excludes Track 2 (website) and Track 3 (founding-team/hiring/candidates) — both remain separate, ongoing threads outside this doc's scope.</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2026-08-14T01:28:05.466Z</dcterms:created>
  <dcterms:modified xsi:type="dcterms:W3CDTF">2026-08-14T01:28:05.477Z</dcterms:modified>
</cp:coreProperties>
</file>

<file path=docProps/custom.xml><?xml version="1.0" encoding="utf-8"?>
<Properties xmlns="http://schemas.openxmlformats.org/officeDocument/2006/custom-properties" xmlns:vt="http://schemas.openxmlformats.org/officeDocument/2006/docPropsVTypes"/>
</file>