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Abstract</w:t>
      </w:r>
      <w:r>
        <w:t xml:space="preserve"> </w:t>
      </w:r>
      <w:r>
        <w:t xml:space="preserve">goes</w:t>
      </w:r>
      <w:r>
        <w:t xml:space="preserve"> </w:t>
      </w:r>
      <w:r>
        <w:t xml:space="preserve">here</w:t>
      </w:r>
    </w:p>
    <w:p>
      <w:pPr>
        <w:pStyle w:val="Heading1"/>
      </w:pPr>
      <w:bookmarkStart w:id="21" w:name="introduction"/>
      <w:bookmarkEnd w:id="21"/>
      <w:r>
        <w:t xml:space="preserve">Introduction</w:t>
      </w:r>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w:t>
      </w:r>
      <w:r>
        <w:t xml:space="preserve"> </w:t>
      </w:r>
      <w:r>
        <w:t xml:space="preserve">“</w:t>
      </w:r>
      <w:r>
        <w:t xml:space="preserve">quasi-stationary</w:t>
      </w:r>
      <w:r>
        <w:t xml:space="preserve">”</w:t>
      </w:r>
      <w:r>
        <w:t xml:space="preserve"> </w:t>
      </w:r>
      <w:r>
        <w:t xml:space="preserve">nature of southern hemisphere planetary waves based on</w:t>
      </w:r>
      <w:r>
        <w:t xml:space="preserve"> </w:t>
      </w:r>
      <w:r>
        <w:t xml:space="preserve">Loon and Jenne (1972)</w:t>
      </w:r>
      <w:r>
        <w:t xml:space="preserve">. In this foundational study, the authors analyzed data from 1957 and 1958 and found that while extratropical waves with wavenumber 1 to 6 had comparable amplitudes in daily fields, only wavenumbers 1 and 3 contributed significantly to the climatological field. From that, they concluded that only waves 1 and 3 recurr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extends</w:t>
      </w:r>
      <w:r>
        <w:t xml:space="preserve"> </w:t>
      </w:r>
      <w:r>
        <w:t xml:space="preserve">Loon and Jenne (1972)</w:t>
      </w:r>
      <w:r>
        <w:t xml:space="preserve">’s methodology into a quantitative measure of planetary wave stationarity, which we apply to both hemispheres.</w:t>
      </w:r>
    </w:p>
    <w:p>
      <w:pPr>
        <w:pStyle w:val="Heading1"/>
      </w:pPr>
      <w:bookmarkStart w:id="22" w:name="methods"/>
      <w:bookmarkEnd w:id="22"/>
      <w:r>
        <w:t xml:space="preserve">Methods</w:t>
      </w:r>
    </w:p>
    <w:p>
      <w:pPr>
        <w:pStyle w:val="Heading2"/>
      </w:pPr>
      <w:bookmarkStart w:id="23" w:name="planetary-waves"/>
      <w:bookmarkEnd w:id="23"/>
      <w:r>
        <w:t xml:space="preserve">Planetary waves</w:t>
      </w:r>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Heading2"/>
      </w:pPr>
      <w:bookmarkStart w:id="24" w:name="stationarity"/>
      <w:bookmarkEnd w:id="24"/>
      <w:r>
        <w:t xml:space="preserve">Stationarity</w:t>
      </w:r>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groupChr>
          <m:groupChrPr>
            <m:chr m:val="^"/>
            <m:pos m:val="top"/>
            <m:vertJc m:val="bot"/>
          </m:groupChrPr>
          <m:e>
            <m:r>
              <m:t>S</m:t>
            </m:r>
          </m:e>
        </m:groupChr>
        <m:r>
          <m:t>=</m:t>
        </m:r>
        <m:r>
          <m:t>1</m:t>
        </m:r>
      </m:oMath>
      <w:r>
        <w:t xml:space="preserve"> </w:t>
      </w:r>
      <w:r>
        <w:t xml:space="preserve">irrespective of sample size.</w:t>
      </w:r>
    </w:p>
    <w:p>
      <w:pPr>
        <w:pStyle w:val="BodyText"/>
      </w:pP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5" w:name="data"/>
      <w:bookmarkEnd w:id="25"/>
      <w:r>
        <w:t xml:space="preserve">Data</w:t>
      </w:r>
    </w:p>
    <w:p>
      <w:pPr>
        <w:pStyle w:val="FirstParagraph"/>
      </w:pPr>
      <w:r>
        <w:t xml:space="preserve">We use monthly geopotential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for each latitude circle, level and monthly record.</w:t>
      </w:r>
    </w:p>
    <w:p>
      <w:pPr>
        <w:pStyle w:val="BodyText"/>
      </w:pPr>
      <w:r>
        <w:t xml:space="preserve">We analyzed the data using the statistical programming language R</w:t>
      </w:r>
      <w:r>
        <w:t xml:space="preserve"> </w:t>
      </w:r>
      <w:r>
        <w:t xml:space="preserve">(R Core Team 2018)</w:t>
      </w:r>
      <w:r>
        <w:t xml:space="preserve">, using data.table and metR packages</w:t>
      </w:r>
      <w:r>
        <w:t xml:space="preserve"> </w:t>
      </w:r>
      <w:r>
        <w:t xml:space="preserve">(Dowle and Srinivasan 2018; Campitelli 2018)</w:t>
      </w:r>
      <w:r>
        <w:t xml:space="preserve"> </w:t>
      </w:r>
      <w:r>
        <w:t xml:space="preserve">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6" w:name="results"/>
      <w:bookmarkEnd w:id="26"/>
      <w:r>
        <w:t xml:space="preserve">Results</w:t>
      </w:r>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1948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FigureWithCaption"/>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p>
    <w:p>
      <w:pPr>
        <w:pStyle w:val="BodyText"/>
      </w:pPr>
      <w:r>
        <w:t xml:space="preserve">These observations are quantified in Figure</w:t>
      </w:r>
      <w:r>
        <w:t xml:space="preserve"> </w:t>
      </w:r>
      <w:r>
        <w:t xml:space="preserve">, which shows</w:t>
      </w:r>
      <w:r>
        <w:t xml:space="preserve"> </w:t>
      </w:r>
      <m:oMath>
        <m:groupChr>
          <m:groupChrPr>
            <m:chr m:val="^"/>
            <m:pos m:val="top"/>
            <m:vertJc m:val="bot"/>
          </m:groupChrPr>
          <m:e>
            <m:r>
              <m:t>S</m:t>
            </m:r>
          </m:e>
        </m:groupChr>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semianual cycle. It reaches its maximum in April and in August-September, plummeting to a deep minimum in June. Planetary wave 3 stationarity peaks in February and slowly decreases towards a November deep minimum after witch increases sharply.</w:t>
      </w:r>
    </w:p>
    <w:p>
      <w:pPr>
        <w:pStyle w:val="FigureWithCaption"/>
      </w:pPr>
      <w:r>
        <w:drawing>
          <wp:inline>
            <wp:extent cx="4620126" cy="3696101"/>
            <wp:effectExtent b="0" l="0" r="0" t="0"/>
            <wp:docPr descr="Quasi-stationary wave stationarity for wavenumbers 1 to 3" title="" id="1" name="Picture"/>
            <a:graphic>
              <a:graphicData uri="http://schemas.openxmlformats.org/drawingml/2006/picture">
                <pic:pic>
                  <pic:nvPicPr>
                    <pic:cNvPr descr="fig/QS-ZW/s-timeseri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w:t>
      </w:r>
    </w:p>
    <w:p>
      <w:pPr>
        <w:pStyle w:val="BodyText"/>
      </w:pPr>
      <w:r>
        <w:t xml:space="preserve">Because we computed</w:t>
      </w:r>
      <w:r>
        <w:t xml:space="preserve"> </w:t>
      </w:r>
      <m:oMath>
        <m:groupChr>
          <m:groupChrPr>
            <m:chr m:val="^"/>
            <m:pos m:val="top"/>
            <m:vertJc m:val="bot"/>
          </m:groupChrPr>
          <m:e>
            <m:r>
              <m:t>S</m:t>
            </m:r>
          </m:e>
        </m:groupChr>
      </m:oMath>
      <w:r>
        <w:t xml:space="preserve"> </w:t>
      </w:r>
      <w:r>
        <w:t xml:space="preserve">using the whole period, it represents the mean stationarity between. Figure</w:t>
      </w:r>
      <w:r>
        <w:t xml:space="preserve"> </w:t>
      </w:r>
      <w:r>
        <w:t xml:space="preserve"> </w:t>
      </w:r>
      <w:r>
        <w:t xml:space="preserve">shows how planetary wave stationarity changed for each wavenumber at each latitude.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0.49 with maximums in the 50’s, 70’s and 00’s. Planetary wave 3 stationarity jumped from zero to more than 0.5 in less than five years in the 50’s and then oscillated around 0.62 with a strong maximum in the late 80’s. These could indicate inhomogeneities caused by changes in the observational network –routine satellite observations began in 1979– but the absense of similar breaks for wavenumbers 1 or 2 suggest they represent real changes in the atmospheric circulation with unknown cause.</w:t>
      </w:r>
    </w:p>
    <w:p>
      <w:pPr>
        <w:pStyle w:val="Heading1"/>
      </w:pPr>
      <w:bookmarkStart w:id="31" w:name="conclusions"/>
      <w:bookmarkEnd w:id="31"/>
      <w:r>
        <w:t xml:space="preserve">Conclusions</w:t>
      </w:r>
    </w:p>
    <w:p>
      <w:pPr>
        <w:pStyle w:val="FirstParagraph"/>
      </w:pPr>
      <w:r>
        <w:t xml:space="preserve">Using a quantitative measure of planetary wave stationarity we showed that, in the southern hemisphere, planetary wave 1 stationarity is high and constant throught the year and period, while waves 2 and 3 vary both in intraseasonal and interdecadal timescales. Planetary wave 3 stationarity, in particular, increased dramatically in the 50’s.</w:t>
      </w:r>
    </w:p>
    <w:p>
      <w:pPr>
        <w:pStyle w:val="BodyText"/>
      </w:pPr>
      <w:r>
        <w:t xml:space="preserve">Plentary waves can be both forced by the surface and excited by internal variability. Assuming that the later process will not result in a phase preference, higher stationarity would be evidence of stronger forcing or, more strictly, stronger forcing response. In the northen hemisphere, topography and thermal contrast are the main forcings of plentary waves, which explains their highly and not variable stationary nature. In the southern hemisphere, only planetary wave 1 seems to be the result of mainly surface forcings. Planetary waves 2 and 3 seem to be composed of a comparable mix of internal variability and surface forcing.</w:t>
      </w:r>
    </w:p>
    <w:p>
      <w:pPr>
        <w:pStyle w:val="BodyText"/>
      </w:pPr>
      <w:r>
        <w:t xml:space="preserve">Interanual and intradecadal variability in planetary wave stationarity may serve to study variability in surface forcing response cause either by the strengh of the forcing or the sensibility of mean state of the atmosphere.</w:t>
      </w:r>
    </w:p>
    <w:p>
      <w:pPr>
        <w:pStyle w:val="BodyText"/>
      </w:pPr>
      <w:r>
        <w:t xml:space="preserve">xxx</w:t>
      </w:r>
    </w:p>
    <w:p>
      <w:pPr>
        <w:pStyle w:val="BodyText"/>
      </w:pPr>
      <w:r>
        <w:t xml:space="preserve">(Silvestri and Vera (2009 )</w:t>
      </w:r>
    </w:p>
    <w:p>
      <w:pPr>
        <w:pStyle w:val="BodyText"/>
      </w:pPr>
      <w:r>
        <w:t xml:space="preserve">xxxx</w:t>
      </w:r>
      <w:r>
        <w:t xml:space="preserve"> </w:t>
      </w:r>
      <w:r>
        <w:t xml:space="preserve">The literature on the topic is dominated by two main methodologies that imply differnet definitions: some studies have defined planetary waves by removing zonal averages from time-mean fields</w:t>
      </w:r>
      <w:r>
        <w:t xml:space="preserve"> </w:t>
      </w:r>
      <w:r>
        <w:t xml:space="preserve">(e.g. Loon and Jenne 1972,</w:t>
      </w:r>
      <w:r>
        <w:t xml:space="preserve"> </w:t>
      </w:r>
      <w:r>
        <w:t xml:space="preserve">Quintanar and Mechoso (1995)</w:t>
      </w:r>
      <w:r>
        <w:t xml:space="preserve">,</w:t>
      </w:r>
      <w:r>
        <w:t xml:space="preserve"> </w:t>
      </w:r>
      <w:r>
        <w:t xml:space="preserve">Raphael (2004)</w:t>
      </w:r>
      <w:r>
        <w:t xml:space="preserve">)</w:t>
      </w:r>
      <w:r>
        <w:t xml:space="preserve"> </w:t>
      </w:r>
      <w:r>
        <w:t xml:space="preserve">while others defined them by removing zonal averages from the instantaneous (e.g. daily, monthly or seasonal) fields</w:t>
      </w:r>
      <w:r>
        <w:t xml:space="preserve"> </w:t>
      </w:r>
      <w:r>
        <w:t xml:space="preserve">(e.g. Rao, Fernandez, and Franchito 2004,</w:t>
      </w:r>
      <w:r>
        <w:t xml:space="preserve"> </w:t>
      </w:r>
      <w:r>
        <w:t xml:space="preserve">Turner et al. (2017)</w:t>
      </w:r>
      <w:r>
        <w:t xml:space="preserve">,</w:t>
      </w:r>
      <w:r>
        <w:t xml:space="preserve"> </w:t>
      </w:r>
      <w:r>
        <w:t xml:space="preserve">Irving and Simmonds (2015)</w:t>
      </w:r>
      <w:r>
        <w:t xml:space="preserve">)</w:t>
      </w:r>
      <w:r>
        <w:t xml:space="preserve">.</w:t>
      </w:r>
    </w:p>
    <w:p>
      <w:pPr>
        <w:pStyle w:val="BodyText"/>
      </w:pPr>
      <w:r>
        <w:t xml:space="preserve">First, researchers should be aware of which phenomena they want to study and use the appropriate methods. The mean amplitude of zonal waves could be appropriate to study the vertical propagation of Rossby waves, for example. But zonal wave amplitude could lead to misleading results if used as the basis of local impacts studies because they are probably more influenced by phase effects.</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Although having a consistent nomenclature across papers is important, we believe this problem can be ameliorated by researchers detailing their definitions and methodology. This is also good for clarity and reproducibility. 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r>
        <w:pict>
          <v:rect style="width:0;height:1.5pt" o:hralign="center" o:hrstd="t" o:hr="t"/>
        </w:pict>
      </w:r>
    </w:p>
    <w:p>
      <w:pPr>
        <w:pStyle w:val="FirstParagraph"/>
      </w:pPr>
      <w:r>
        <w:t xml:space="preserve">We speculate that the level of stationarity responds to the nature of the forcings. Higly stationary planetary waves are explained mainly by stationary forcings while low stationary planetary waves respond mainly to the internal variation of the atmosphere. This suggests that in the southern midlatitudes, wave 2 and 3 consist of forced responses mixed with internat variability. Their annual cycle further suggests that the mean state of the atmosphere can modulate these responses.</w:t>
      </w:r>
    </w:p>
    <w:p>
      <w:pPr>
        <w:pStyle w:val="BodyText"/>
      </w:pPr>
      <w:r>
        <w:rPr>
          <w:i/>
        </w:rPr>
        <w:t xml:space="preserve">xx me falta un final acá xx</w:t>
      </w:r>
    </w:p>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2">
        <w:r>
          <w:rPr>
            <w:rStyle w:val="Hyperlink"/>
          </w:rPr>
          <w:t xml:space="preserve">https://github.com/eliocamp/metR</w:t>
        </w:r>
      </w:hyperlink>
      <w:r>
        <w:t xml:space="preserve">.</w:t>
      </w:r>
    </w:p>
    <w:p>
      <w:pPr>
        <w:pStyle w:val="Bibliography"/>
      </w:pPr>
      <w:r>
        <w:t xml:space="preserve">Campitelli, Elio, Leandro Díaz, and Carolina Vera. 2019. “How stationary are planetary waves in the Southern Hemisphere?: supplementary data.” doi:</w:t>
      </w:r>
      <w:hyperlink r:id="rId33">
        <w:r>
          <w:rPr>
            <w:rStyle w:val="Hyperlink"/>
          </w:rPr>
          <w:t xml:space="preserve">10.6084/m9.figshare.7599890</w:t>
        </w:r>
      </w:hyperlink>
      <w:r>
        <w:t xml:space="preserve">.</w:t>
      </w:r>
    </w:p>
    <w:p>
      <w:pPr>
        <w:pStyle w:val="Bibliography"/>
      </w:pPr>
      <w:r>
        <w:t xml:space="preserve">Dowle, Matt, and Arun Srinivasan. 2018.</w:t>
      </w:r>
      <w:r>
        <w:t xml:space="preserve"> </w:t>
      </w:r>
      <w:r>
        <w:rPr>
          <w:i/>
        </w:rPr>
        <w:t xml:space="preserve">Data.table: Extension of ‘Data.frame‘</w:t>
      </w:r>
      <w:r>
        <w:t xml:space="preserve">.</w:t>
      </w:r>
      <w:r>
        <w:t xml:space="preserve"> </w:t>
      </w:r>
      <w:hyperlink r:id="rId34">
        <w:r>
          <w:rPr>
            <w:rStyle w:val="Hyperlink"/>
          </w:rPr>
          <w:t xml:space="preserve">http://r-datatable.com</w:t>
        </w:r>
      </w:hyperlink>
      <w:r>
        <w:t xml:space="preserve">.</w:t>
      </w:r>
    </w:p>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 doi:</w:t>
      </w:r>
      <w:hyperlink r:id="rId35">
        <w:r>
          <w:rPr>
            <w:rStyle w:val="Hyperlink"/>
          </w:rPr>
          <w:t xml:space="preserve">10.1029/2010JD014102</w:t>
        </w:r>
      </w:hyperlink>
      <w:r>
        <w:t xml:space="preserve">.</w:t>
      </w:r>
    </w:p>
    <w:p>
      <w:pPr>
        <w:pStyle w:val="Bibliography"/>
      </w:pPr>
      <w:r>
        <w:t xml:space="preserve">Holton, James R., and Gregory J. Hakim. 2012.</w:t>
      </w:r>
      <w:r>
        <w:t xml:space="preserve"> </w:t>
      </w:r>
      <w:r>
        <w:rPr>
          <w:i/>
        </w:rPr>
        <w:t xml:space="preserve">An introduction to dynamic meteorology: Fifth edition</w:t>
      </w:r>
      <w:r>
        <w:t xml:space="preserve">. doi:</w:t>
      </w:r>
      <w:hyperlink r:id="rId36">
        <w:r>
          <w:rPr>
            <w:rStyle w:val="Hyperlink"/>
          </w:rPr>
          <w:t xml:space="preserve">10.1016/C2009-0-63394-8</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7">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8">
        <w:r>
          <w:rPr>
            <w:rStyle w:val="Hyperlink"/>
          </w:rPr>
          <w:t xml:space="preserve">10.1175/1520-0477(1996)077&lt;0437:TNYRP&gt;2.0.CO;2</w:t>
        </w:r>
      </w:hyperlink>
      <w:r>
        <w:t xml:space="preserve">.</w:t>
      </w:r>
    </w:p>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p>
      <w:pPr>
        <w:pStyle w:val="Bibliography"/>
      </w:pPr>
      <w:r>
        <w:t xml:space="preserve">Pain, H.J. 2005. “Simple Harmonic Motion.” In</w:t>
      </w:r>
      <w:r>
        <w:t xml:space="preserve"> </w:t>
      </w:r>
      <w:r>
        <w:rPr>
          <w:i/>
        </w:rPr>
        <w:t xml:space="preserve">The Physics of Vibrations and Waves</w:t>
      </w:r>
      <w:r>
        <w:t xml:space="preserve">, 570. doi:</w:t>
      </w:r>
      <w:hyperlink r:id="rId39">
        <w:r>
          <w:rPr>
            <w:rStyle w:val="Hyperlink"/>
          </w:rPr>
          <w:t xml:space="preserve">10.1002/0470016957</w:t>
        </w:r>
      </w:hyperlink>
      <w:r>
        <w:t xml:space="preserve">.</w:t>
      </w:r>
    </w:p>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 doi:</w:t>
      </w:r>
      <w:hyperlink r:id="rId40">
        <w:r>
          <w:rPr>
            <w:rStyle w:val="Hyperlink"/>
          </w:rPr>
          <w:t xml:space="preserve">10.1175/1520-0442(1995)008&lt;2659:QSWITS&gt;2.0.CO;2</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1">
        <w:r>
          <w:rPr>
            <w:rStyle w:val="Hyperlink"/>
          </w:rPr>
          <w:t xml:space="preserve">https://www.R-project.org/</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42">
        <w:r>
          <w:rPr>
            <w:rStyle w:val="Hyperlink"/>
          </w:rPr>
          <w:t xml:space="preserve">10.1029/2004GL020365</w:t>
        </w:r>
      </w:hyperlink>
      <w:r>
        <w:t xml:space="preserve">.</w:t>
      </w:r>
    </w:p>
    <w:p>
      <w:pPr>
        <w:pStyle w:val="Bibliography"/>
      </w:pPr>
      <w:r>
        <w:t xml:space="preserve">Singer, Irving A. 1967. “Steadiness of the Wind.”</w:t>
      </w:r>
      <w:r>
        <w:t xml:space="preserve"> </w:t>
      </w:r>
      <w:r>
        <w:rPr>
          <w:i/>
        </w:rPr>
        <w:t xml:space="preserve">Journal of Applied Meteorology</w:t>
      </w:r>
      <w:r>
        <w:t xml:space="preserve"> </w:t>
      </w:r>
      <w:r>
        <w:t xml:space="preserve">6 (6): 1033–8. doi:</w:t>
      </w:r>
      <w:hyperlink r:id="rId43">
        <w:r>
          <w:rPr>
            <w:rStyle w:val="Hyperlink"/>
          </w:rPr>
          <w:t xml:space="preserve">10.1175/1520-0450(1967)006&lt;1033:SOTW&gt;2.0.CO;2</w:t>
        </w:r>
      </w:hyperlink>
      <w:r>
        <w:t xml:space="preserve">.</w:t>
      </w:r>
    </w:p>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 doi:</w:t>
      </w:r>
      <w:hyperlink r:id="rId44">
        <w:r>
          <w:rPr>
            <w:rStyle w:val="Hyperlink"/>
          </w:rPr>
          <w:t xml:space="preserve">10.1029/2012JD017587,2012</w:t>
        </w:r>
      </w:hyperlink>
      <w:r>
        <w:t xml:space="preserve">.</w:t>
      </w:r>
    </w:p>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 doi:</w:t>
      </w:r>
      <w:hyperlink r:id="rId45">
        <w:r>
          <w:rPr>
            <w:rStyle w:val="Hyperlink"/>
          </w:rPr>
          <w:t xml:space="preserve">10.1175/1520-0493(1985)113&lt;0003:BITSH&gt;2.0.CO;2</w:t>
        </w:r>
      </w:hyperlink>
      <w:r>
        <w:t xml:space="preserve">.</w:t>
      </w:r>
    </w:p>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 doi:</w:t>
      </w:r>
      <w:hyperlink r:id="rId46">
        <w:r>
          <w:rPr>
            <w:rStyle w:val="Hyperlink"/>
          </w:rPr>
          <w:t xml:space="preserve">10.1002/joc.4848</w:t>
        </w:r>
      </w:hyperlink>
      <w:r>
        <w:t xml:space="preserve">.</w:t>
      </w:r>
    </w:p>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47">
        <w:r>
          <w:rPr>
            <w:rStyle w:val="Hyperlink"/>
          </w:rPr>
          <w:t xml:space="preserve">http://ggplot2.org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4e9d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47" Target="http://ggplot2.org" TargetMode="External" /><Relationship Type="http://schemas.openxmlformats.org/officeDocument/2006/relationships/hyperlink" Id="rId34" Target="http://r-datatable.com" TargetMode="External" /><Relationship Type="http://schemas.openxmlformats.org/officeDocument/2006/relationships/hyperlink" Id="rId39" Target="https://doi.org/10.1002/0470016957" TargetMode="External" /><Relationship Type="http://schemas.openxmlformats.org/officeDocument/2006/relationships/hyperlink" Id="rId46" Target="https://doi.org/10.1002/joc.4848" TargetMode="External" /><Relationship Type="http://schemas.openxmlformats.org/officeDocument/2006/relationships/hyperlink" Id="rId36" Target="https://doi.org/10.1016/C2009-0-63394-8" TargetMode="External" /><Relationship Type="http://schemas.openxmlformats.org/officeDocument/2006/relationships/hyperlink" Id="rId42" Target="https://doi.org/10.1029/2004GL020365" TargetMode="External" /><Relationship Type="http://schemas.openxmlformats.org/officeDocument/2006/relationships/hyperlink" Id="rId35" Target="https://doi.org/10.1029/2010JD014102" TargetMode="External" /><Relationship Type="http://schemas.openxmlformats.org/officeDocument/2006/relationships/hyperlink" Id="rId44"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3" Target="https://doi.org/10.1175/1520-0450(1967)006&lt;1033:SOTW&gt;2.0.CO;2" TargetMode="External" /><Relationship Type="http://schemas.openxmlformats.org/officeDocument/2006/relationships/hyperlink" Id="rId38" Target="https://doi.org/10.1175/1520-0477(1996)077&lt;0437:TNYRP&gt;2.0.CO;2" TargetMode="External" /><Relationship Type="http://schemas.openxmlformats.org/officeDocument/2006/relationships/hyperlink" Id="rId45" Target="https://doi.org/10.1175/1520-0493(1985)113&lt;0003:BITSH&gt;2.0.CO;2" TargetMode="External" /><Relationship Type="http://schemas.openxmlformats.org/officeDocument/2006/relationships/hyperlink" Id="rId37"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4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ggplot2.org" TargetMode="External" /><Relationship Type="http://schemas.openxmlformats.org/officeDocument/2006/relationships/hyperlink" Id="rId34" Target="http://r-datatable.com" TargetMode="External" /><Relationship Type="http://schemas.openxmlformats.org/officeDocument/2006/relationships/hyperlink" Id="rId39" Target="https://doi.org/10.1002/0470016957" TargetMode="External" /><Relationship Type="http://schemas.openxmlformats.org/officeDocument/2006/relationships/hyperlink" Id="rId46" Target="https://doi.org/10.1002/joc.4848" TargetMode="External" /><Relationship Type="http://schemas.openxmlformats.org/officeDocument/2006/relationships/hyperlink" Id="rId36" Target="https://doi.org/10.1016/C2009-0-63394-8" TargetMode="External" /><Relationship Type="http://schemas.openxmlformats.org/officeDocument/2006/relationships/hyperlink" Id="rId42" Target="https://doi.org/10.1029/2004GL020365" TargetMode="External" /><Relationship Type="http://schemas.openxmlformats.org/officeDocument/2006/relationships/hyperlink" Id="rId35" Target="https://doi.org/10.1029/2010JD014102" TargetMode="External" /><Relationship Type="http://schemas.openxmlformats.org/officeDocument/2006/relationships/hyperlink" Id="rId44"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3" Target="https://doi.org/10.1175/1520-0450(1967)006&lt;1033:SOTW&gt;2.0.CO;2" TargetMode="External" /><Relationship Type="http://schemas.openxmlformats.org/officeDocument/2006/relationships/hyperlink" Id="rId38" Target="https://doi.org/10.1175/1520-0477(1996)077&lt;0437:TNYRP&gt;2.0.CO;2" TargetMode="External" /><Relationship Type="http://schemas.openxmlformats.org/officeDocument/2006/relationships/hyperlink" Id="rId45" Target="https://doi.org/10.1175/1520-0493(1985)113&lt;0003:BITSH&gt;2.0.CO;2" TargetMode="External" /><Relationship Type="http://schemas.openxmlformats.org/officeDocument/2006/relationships/hyperlink" Id="rId37"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dcterms:created xsi:type="dcterms:W3CDTF">2019-03-07T19:32:13Z</dcterms:created>
  <dcterms:modified xsi:type="dcterms:W3CDTF">2019-03-07T19:32:13Z</dcterms:modified>
</cp:coreProperties>
</file>