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Many</w:t>
      </w:r>
      <w:r>
        <w:t xml:space="preserve"> </w:t>
      </w:r>
      <w:r>
        <w:t xml:space="preserve">studies</w:t>
      </w:r>
      <w:r>
        <w:t xml:space="preserve"> </w:t>
      </w:r>
      <w:r>
        <w:t xml:space="preserve">of</w:t>
      </w:r>
      <w:r>
        <w:t xml:space="preserve"> </w:t>
      </w:r>
      <w:r>
        <w:t xml:space="preserve">quasi-stationary</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r>
        <w:t xml:space="preserve"> </w:t>
      </w:r>
      <w:r>
        <w:t xml:space="preserve">(SH)</w:t>
      </w:r>
      <w:r>
        <w:t xml:space="preserve"> </w:t>
      </w:r>
      <w:r>
        <w:t xml:space="preserve">assumed</w:t>
      </w:r>
      <w:r>
        <w:t xml:space="preserve"> </w:t>
      </w:r>
      <w:r>
        <w:t xml:space="preserve">their</w:t>
      </w:r>
      <w:r>
        <w:t xml:space="preserve"> </w:t>
      </w:r>
      <w:r>
        <w:t xml:space="preserve">quasi-stationary</w:t>
      </w:r>
      <w:r>
        <w:t xml:space="preserve"> </w:t>
      </w:r>
      <w:r>
        <w:t xml:space="preserve">nature</w:t>
      </w:r>
      <w:r>
        <w:t xml:space="preserve"> </w:t>
      </w:r>
      <w:r>
        <w:t xml:space="preserve">based</w:t>
      </w:r>
      <w:r>
        <w:t xml:space="preserve"> </w:t>
      </w:r>
      <w:r>
        <w:t xml:space="preserve">on</w:t>
      </w:r>
      <w:r>
        <w:t xml:space="preserve"> </w:t>
      </w:r>
      <w:r>
        <w:t xml:space="preserve">van</w:t>
      </w:r>
      <w:r>
        <w:t xml:space="preserve"> </w:t>
      </w:r>
      <w:r>
        <w:t xml:space="preserve">Loon</w:t>
      </w:r>
      <w:r>
        <w:t xml:space="preserve"> </w:t>
      </w:r>
      <w:r>
        <w:t xml:space="preserve">and</w:t>
      </w:r>
      <w:r>
        <w:t xml:space="preserve"> </w:t>
      </w:r>
      <w:r>
        <w:t xml:space="preserve">Jenne</w:t>
      </w:r>
      <w:r>
        <w:t xml:space="preserve"> </w:t>
      </w:r>
      <w:r>
        <w:t xml:space="preserve">(1972)</w:t>
      </w:r>
      <w:r>
        <w:t xml:space="preserve">.</w:t>
      </w:r>
      <w:r>
        <w:t xml:space="preserve"> </w:t>
      </w:r>
      <w:r>
        <w:t xml:space="preserve">However,</w:t>
      </w:r>
      <w:r>
        <w:t xml:space="preserve"> </w:t>
      </w:r>
      <w:r>
        <w:t xml:space="preserve">that</w:t>
      </w:r>
      <w:r>
        <w:t xml:space="preserve"> </w:t>
      </w:r>
      <w:r>
        <w:t xml:space="preserve">study</w:t>
      </w:r>
      <w:r>
        <w:t xml:space="preserve"> </w:t>
      </w:r>
      <w:r>
        <w:t xml:space="preserve">considered</w:t>
      </w:r>
      <w:r>
        <w:t xml:space="preserve"> </w:t>
      </w:r>
      <w:r>
        <w:t xml:space="preserve">only</w:t>
      </w:r>
      <w:r>
        <w:t xml:space="preserve"> </w:t>
      </w:r>
      <w:r>
        <w:t xml:space="preserve">2</w:t>
      </w:r>
      <w:r>
        <w:t xml:space="preserve"> </w:t>
      </w:r>
      <w:r>
        <w:t xml:space="preserve">years</w:t>
      </w:r>
      <w:r>
        <w:t xml:space="preserve"> </w:t>
      </w:r>
      <w:r>
        <w:t xml:space="preserve">of</w:t>
      </w:r>
      <w:r>
        <w:t xml:space="preserve"> </w:t>
      </w:r>
      <w:r>
        <w:t xml:space="preserve">data</w:t>
      </w:r>
      <w:r>
        <w:t xml:space="preserve"> </w:t>
      </w:r>
      <w:r>
        <w:t xml:space="preserve">(1957-1958)</w:t>
      </w:r>
      <w:r>
        <w:t xml:space="preserve"> </w:t>
      </w:r>
      <w:r>
        <w:t xml:space="preserve">before</w:t>
      </w:r>
      <w:r>
        <w:t xml:space="preserve"> </w:t>
      </w:r>
      <w:r>
        <w:t xml:space="preserve">the</w:t>
      </w:r>
      <w:r>
        <w:t xml:space="preserve"> </w:t>
      </w:r>
      <w:r>
        <w:t xml:space="preserve">advent</w:t>
      </w:r>
      <w:r>
        <w:t xml:space="preserve"> </w:t>
      </w:r>
      <w:r>
        <w:t xml:space="preserve">of</w:t>
      </w:r>
      <w:r>
        <w:t xml:space="preserve"> </w:t>
      </w:r>
      <w:r>
        <w:t xml:space="preserve">modern</w:t>
      </w:r>
      <w:r>
        <w:t xml:space="preserve"> </w:t>
      </w:r>
      <w:r>
        <w:t xml:space="preserve">reanalysis</w:t>
      </w:r>
      <w:r>
        <w:t xml:space="preserve"> </w:t>
      </w:r>
      <w:r>
        <w:t xml:space="preserve">datasets.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assessed</w:t>
      </w:r>
      <w:r>
        <w:t xml:space="preserve"> </w:t>
      </w:r>
      <w:r>
        <w:t xml:space="preserve">the</w:t>
      </w:r>
      <w:r>
        <w:t xml:space="preserve"> </w:t>
      </w:r>
      <w:r>
        <w:t xml:space="preserve">stationary</w:t>
      </w:r>
      <w:r>
        <w:t xml:space="preserve"> </w:t>
      </w:r>
      <w:r>
        <w:t xml:space="preserve">conditions</w:t>
      </w:r>
      <w:r>
        <w:t xml:space="preserve"> </w:t>
      </w:r>
      <w:r>
        <w:t xml:space="preserve">in</w:t>
      </w:r>
      <w:r>
        <w:t xml:space="preserve"> </w:t>
      </w:r>
      <w:r>
        <w:t xml:space="preserve">the</w:t>
      </w:r>
      <w:r>
        <w:t xml:space="preserve"> </w:t>
      </w:r>
      <w:r>
        <w:t xml:space="preserve">SH</w:t>
      </w:r>
      <w:r>
        <w:t xml:space="preserve"> </w:t>
      </w:r>
      <w:r>
        <w:t xml:space="preserve">and</w:t>
      </w:r>
      <w:r>
        <w:t xml:space="preserve"> </w:t>
      </w:r>
      <w:r>
        <w:t xml:space="preserve">contrasted</w:t>
      </w:r>
      <w:r>
        <w:t xml:space="preserve"> </w:t>
      </w:r>
      <w:r>
        <w:t xml:space="preserve">it</w:t>
      </w:r>
      <w:r>
        <w:t xml:space="preserve"> </w:t>
      </w:r>
      <w:r>
        <w:t xml:space="preserve">with</w:t>
      </w:r>
      <w:r>
        <w:t xml:space="preserve"> </w:t>
      </w:r>
      <w:r>
        <w:t xml:space="preserve">that</w:t>
      </w:r>
      <w:r>
        <w:t xml:space="preserve"> </w:t>
      </w:r>
      <w:r>
        <w:t xml:space="preserve">of</w:t>
      </w:r>
      <w:r>
        <w:t xml:space="preserve"> </w:t>
      </w:r>
      <w:r>
        <w:t xml:space="preserve">the</w:t>
      </w:r>
      <w:r>
        <w:t xml:space="preserve"> </w:t>
      </w:r>
      <w:r>
        <w:t xml:space="preserve">Northern</w:t>
      </w:r>
      <w:r>
        <w:t xml:space="preserve"> </w:t>
      </w:r>
      <w:r>
        <w:t xml:space="preserve">Hemisphere</w:t>
      </w:r>
      <w:r>
        <w:t xml:space="preserve"> </w:t>
      </w:r>
      <w:r>
        <w:t xml:space="preserve">using</w:t>
      </w:r>
      <w:r>
        <w:t xml:space="preserve"> </w:t>
      </w:r>
      <w:r>
        <w:t xml:space="preserve">the</w:t>
      </w:r>
      <w:r>
        <w:t xml:space="preserve"> </w:t>
      </w:r>
      <w:r>
        <w:t xml:space="preserve">NCEP/NCAR</w:t>
      </w:r>
      <w:r>
        <w:t xml:space="preserve"> </w:t>
      </w:r>
      <w:r>
        <w:t xml:space="preserve">reanalysis</w:t>
      </w:r>
      <w:r>
        <w:t xml:space="preserve"> </w:t>
      </w:r>
      <w:r>
        <w:t xml:space="preserve">from</w:t>
      </w:r>
      <w:r>
        <w:t xml:space="preserve"> </w:t>
      </w:r>
      <w:r>
        <w:t xml:space="preserve">1948</w:t>
      </w:r>
      <w:r>
        <w:t xml:space="preserve"> </w:t>
      </w:r>
      <w:r>
        <w:t xml:space="preserve">to</w:t>
      </w:r>
      <w:r>
        <w:t xml:space="preserve"> </w:t>
      </w:r>
      <w:r>
        <w:t xml:space="preserve">2017.</w:t>
      </w:r>
      <w:r>
        <w:t xml:space="preserve"> </w:t>
      </w:r>
      <w:r>
        <w:t xml:space="preserve">We</w:t>
      </w:r>
      <w:r>
        <w:t xml:space="preserve"> </w:t>
      </w:r>
      <w:r>
        <w:t xml:space="preserve">also</w:t>
      </w:r>
      <w:r>
        <w:t xml:space="preserve"> </w:t>
      </w:r>
      <w:r>
        <w:t xml:space="preserve">devised</w:t>
      </w:r>
      <w:r>
        <w:t xml:space="preserve"> </w:t>
      </w:r>
      <w:r>
        <w:t xml:space="preserve">a</w:t>
      </w:r>
      <w:r>
        <w:t xml:space="preserve"> </w:t>
      </w:r>
      <w:r>
        <w:t xml:space="preserve">quantitative</w:t>
      </w:r>
      <w:r>
        <w:t xml:space="preserve"> </w:t>
      </w:r>
      <w:r>
        <w:t xml:space="preserve">measure</w:t>
      </w:r>
      <w:r>
        <w:t xml:space="preserve"> </w:t>
      </w:r>
      <w:r>
        <w:t xml:space="preserve">of</w:t>
      </w:r>
      <w:r>
        <w:t xml:space="preserve"> </w:t>
      </w:r>
      <w:r>
        <w:t xml:space="preserve">planetary-wave</w:t>
      </w:r>
      <w:r>
        <w:t xml:space="preserve"> </w:t>
      </w:r>
      <w:r>
        <w:t xml:space="preserve">stationarity</w:t>
      </w:r>
      <w:r>
        <w:t xml:space="preserve"> </w:t>
      </w:r>
      <w:r>
        <w:t xml:space="preserve">and</w:t>
      </w:r>
      <w:r>
        <w:t xml:space="preserve"> </w:t>
      </w:r>
      <w:r>
        <w:t xml:space="preserve">applied</w:t>
      </w:r>
      <w:r>
        <w:t xml:space="preserve"> </w:t>
      </w:r>
      <w:r>
        <w:t xml:space="preserve">it</w:t>
      </w:r>
      <w:r>
        <w:t xml:space="preserve"> </w:t>
      </w:r>
      <w:r>
        <w:t xml:space="preserve">to</w:t>
      </w:r>
      <w:r>
        <w:t xml:space="preserve"> </w:t>
      </w:r>
      <w:r>
        <w:t xml:space="preserve">both</w:t>
      </w:r>
      <w:r>
        <w:t xml:space="preserve"> </w:t>
      </w:r>
      <w:r>
        <w:t xml:space="preserve">hemispheres.</w:t>
      </w:r>
      <w:r>
        <w:t xml:space="preserve"> </w:t>
      </w:r>
      <w:r>
        <w:t xml:space="preserve">We</w:t>
      </w:r>
      <w:r>
        <w:t xml:space="preserve"> </w:t>
      </w:r>
      <w:r>
        <w:t xml:space="preserve">confirm</w:t>
      </w:r>
      <w:r>
        <w:t xml:space="preserve"> </w:t>
      </w:r>
      <w:r>
        <w:t xml:space="preserve">that</w:t>
      </w:r>
      <w:r>
        <w:t xml:space="preserve"> </w:t>
      </w:r>
      <w:r>
        <w:t xml:space="preserve">in</w:t>
      </w:r>
      <w:r>
        <w:t xml:space="preserve"> </w:t>
      </w:r>
      <w:r>
        <w:t xml:space="preserve">the</w:t>
      </w:r>
      <w:r>
        <w:t xml:space="preserve"> </w:t>
      </w:r>
      <w:r>
        <w:t xml:space="preserve">SH</w:t>
      </w:r>
      <w:r>
        <w:t xml:space="preserve"> </w:t>
      </w:r>
      <w:r>
        <w:t xml:space="preserve">planetary</w:t>
      </w:r>
      <w:r>
        <w:t xml:space="preserve"> </w:t>
      </w:r>
      <w:r>
        <w:t xml:space="preserve">wave</w:t>
      </w:r>
      <w:r>
        <w:t xml:space="preserve"> </w:t>
      </w:r>
      <w:r>
        <w:t xml:space="preserve">1</w:t>
      </w:r>
      <w:r>
        <w:t xml:space="preserve"> </w:t>
      </w:r>
      <w:r>
        <w:t xml:space="preserve">is</w:t>
      </w:r>
      <w:r>
        <w:t xml:space="preserve"> </w:t>
      </w:r>
      <w:r>
        <w:t xml:space="preserve">highly</w:t>
      </w:r>
      <w:r>
        <w:t xml:space="preserve"> </w:t>
      </w:r>
      <w:r>
        <w:t xml:space="preserve">stationary.</w:t>
      </w:r>
      <w:r>
        <w:t xml:space="preserve"> </w:t>
      </w:r>
      <w:r>
        <w:t xml:space="preserve">However,</w:t>
      </w:r>
      <w:r>
        <w:t xml:space="preserve"> </w:t>
      </w:r>
      <w:r>
        <w:t xml:space="preserve">planetary</w:t>
      </w:r>
      <w:r>
        <w:t xml:space="preserve"> </w:t>
      </w:r>
      <w:r>
        <w:t xml:space="preserve">waves</w:t>
      </w:r>
      <w:r>
        <w:t xml:space="preserve"> </w:t>
      </w:r>
      <w:r>
        <w:t xml:space="preserve">2</w:t>
      </w:r>
      <w:r>
        <w:t xml:space="preserve"> </w:t>
      </w:r>
      <w:r>
        <w:t xml:space="preserve">and</w:t>
      </w:r>
      <w:r>
        <w:t xml:space="preserve"> </w:t>
      </w:r>
      <w:r>
        <w:t xml:space="preserve">3</w:t>
      </w:r>
      <w:r>
        <w:t xml:space="preserve"> </w:t>
      </w:r>
      <w:r>
        <w:t xml:space="preserve">have</w:t>
      </w:r>
      <w:r>
        <w:t xml:space="preserve"> </w:t>
      </w:r>
      <w:r>
        <w:t xml:space="preserve">a</w:t>
      </w:r>
      <w:r>
        <w:t xml:space="preserve"> </w:t>
      </w:r>
      <w:r>
        <w:t xml:space="preserve">comparable</w:t>
      </w:r>
      <w:r>
        <w:t xml:space="preserve"> </w:t>
      </w:r>
      <w:r>
        <w:t xml:space="preserve">mixture</w:t>
      </w:r>
      <w:r>
        <w:t xml:space="preserve"> </w:t>
      </w:r>
      <w:r>
        <w:t xml:space="preserve">of</w:t>
      </w:r>
      <w:r>
        <w:t xml:space="preserve"> </w:t>
      </w:r>
      <w:r>
        <w:t xml:space="preserve">stationary</w:t>
      </w:r>
      <w:r>
        <w:t xml:space="preserve"> </w:t>
      </w:r>
      <w:r>
        <w:t xml:space="preserve">and</w:t>
      </w:r>
      <w:r>
        <w:t xml:space="preserve"> </w:t>
      </w:r>
      <w:r>
        <w:t xml:space="preserve">moving</w:t>
      </w:r>
      <w:r>
        <w:t xml:space="preserve"> </w:t>
      </w:r>
      <w:r>
        <w:t xml:space="preserve">components</w:t>
      </w:r>
      <w:r>
        <w:t xml:space="preserve"> </w:t>
      </w:r>
      <w:r>
        <w:t xml:space="preserve">with</w:t>
      </w:r>
      <w:r>
        <w:t xml:space="preserve"> </w:t>
      </w:r>
      <w:r>
        <w:t xml:space="preserve">significant</w:t>
      </w:r>
      <w:r>
        <w:t xml:space="preserve"> </w:t>
      </w:r>
      <w:r>
        <w:t xml:space="preserve">variability</w:t>
      </w:r>
      <w:r>
        <w:t xml:space="preserve"> </w:t>
      </w:r>
      <w:r>
        <w:t xml:space="preserve">from</w:t>
      </w:r>
      <w:r>
        <w:t xml:space="preserve"> </w:t>
      </w:r>
      <w:r>
        <w:t xml:space="preserve">interseasonal</w:t>
      </w:r>
      <w:r>
        <w:t xml:space="preserve"> </w:t>
      </w:r>
      <w:r>
        <w:t xml:space="preserve">and</w:t>
      </w:r>
      <w:r>
        <w:t xml:space="preserve"> </w:t>
      </w:r>
      <w:r>
        <w:t xml:space="preserve">decadal</w:t>
      </w:r>
      <w:r>
        <w:t xml:space="preserve"> </w:t>
      </w:r>
      <w:r>
        <w:t xml:space="preserve">timescales.</w:t>
      </w:r>
      <w:r>
        <w:t xml:space="preserve"> </w:t>
      </w:r>
      <w:r>
        <w:t xml:space="preserve">A</w:t>
      </w:r>
      <w:r>
        <w:t xml:space="preserve"> </w:t>
      </w:r>
      <w:r>
        <w:t xml:space="preserve">deeper</w:t>
      </w:r>
      <w:r>
        <w:t xml:space="preserve"> </w:t>
      </w:r>
      <w:r>
        <w:t xml:space="preserve">knowledge</w:t>
      </w:r>
      <w:r>
        <w:t xml:space="preserve"> </w:t>
      </w:r>
      <w:r>
        <w:t xml:space="preserve">of</w:t>
      </w:r>
      <w:r>
        <w:t xml:space="preserve"> </w:t>
      </w:r>
      <w:r>
        <w:t xml:space="preserve">those</w:t>
      </w:r>
      <w:r>
        <w:t xml:space="preserve"> </w:t>
      </w:r>
      <w:r>
        <w:t xml:space="preserve">variations</w:t>
      </w:r>
      <w:r>
        <w:t xml:space="preserve"> </w:t>
      </w:r>
      <w:r>
        <w:t xml:space="preserve">could</w:t>
      </w:r>
      <w:r>
        <w:t xml:space="preserve"> </w:t>
      </w:r>
      <w:r>
        <w:t xml:space="preserve">help</w:t>
      </w:r>
      <w:r>
        <w:t xml:space="preserve"> </w:t>
      </w:r>
      <w:r>
        <w:t xml:space="preserve">in</w:t>
      </w:r>
      <w:r>
        <w:t xml:space="preserve"> </w:t>
      </w:r>
      <w:r>
        <w:t xml:space="preserve">the</w:t>
      </w:r>
      <w:r>
        <w:t xml:space="preserve"> </w:t>
      </w:r>
      <w:r>
        <w:t xml:space="preserve">future</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responses</w:t>
      </w:r>
      <w:r>
        <w:t xml:space="preserve"> </w:t>
      </w:r>
      <w:r>
        <w:t xml:space="preserve">of</w:t>
      </w:r>
      <w:r>
        <w:t xml:space="preserve"> </w:t>
      </w:r>
      <w:r>
        <w:t xml:space="preserve">mid-latitudes</w:t>
      </w:r>
      <w:r>
        <w:t xml:space="preserve"> </w:t>
      </w:r>
      <w:r>
        <w:t xml:space="preserve">atmospheric</w:t>
      </w:r>
      <w:r>
        <w:t xml:space="preserve"> </w:t>
      </w:r>
      <w:r>
        <w:t xml:space="preserve">circulation</w:t>
      </w:r>
      <w:r>
        <w:t xml:space="preserve"> </w:t>
      </w:r>
      <w:r>
        <w:t xml:space="preserve">to</w:t>
      </w:r>
      <w:r>
        <w:t xml:space="preserve"> </w:t>
      </w:r>
      <w:r>
        <w:t xml:space="preserve">surface</w:t>
      </w:r>
      <w:r>
        <w:t xml:space="preserve"> </w:t>
      </w:r>
      <w:r>
        <w:t xml:space="preserve">forcing</w:t>
      </w:r>
      <w:r>
        <w:t xml:space="preserve"> </w:t>
      </w:r>
      <w:r>
        <w:t xml:space="preserve">caused</w:t>
      </w:r>
      <w:r>
        <w:t xml:space="preserve"> </w:t>
      </w:r>
      <w:r>
        <w:t xml:space="preserve">either</w:t>
      </w:r>
      <w:r>
        <w:t xml:space="preserve"> </w:t>
      </w:r>
      <w:r>
        <w:t xml:space="preserve">by</w:t>
      </w:r>
      <w:r>
        <w:t xml:space="preserve"> </w:t>
      </w:r>
      <w:r>
        <w:t xml:space="preserve">its</w:t>
      </w:r>
      <w:r>
        <w:t xml:space="preserve"> </w:t>
      </w:r>
      <w:r>
        <w:t xml:space="preserve">strength</w:t>
      </w:r>
      <w:r>
        <w:t xml:space="preserve"> </w:t>
      </w:r>
      <w:r>
        <w:t xml:space="preserve">or</w:t>
      </w:r>
      <w:r>
        <w:t xml:space="preserve"> </w:t>
      </w:r>
      <w:r>
        <w:t xml:space="preserve">the</w:t>
      </w:r>
      <w:r>
        <w:t xml:space="preserve"> </w:t>
      </w:r>
      <w:r>
        <w:t xml:space="preserve">sensitivity</w:t>
      </w:r>
      <w:r>
        <w:t xml:space="preserve"> </w:t>
      </w:r>
      <w:r>
        <w:t xml:space="preserve">of</w:t>
      </w:r>
      <w:r>
        <w:t xml:space="preserve"> </w:t>
      </w:r>
      <w:r>
        <w:t xml:space="preserve">the</w:t>
      </w:r>
      <w:r>
        <w:t xml:space="preserve"> </w:t>
      </w:r>
      <w:r>
        <w:t xml:space="preserve">atmosphere</w:t>
      </w:r>
      <w:r>
        <w:t xml:space="preserve"> </w:t>
      </w:r>
      <w:r>
        <w:t xml:space="preserve">to</w:t>
      </w:r>
      <w:r>
        <w:t xml:space="preserve"> </w:t>
      </w:r>
      <w:r>
        <w:t xml:space="preserve">it.</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w:t>
      </w:r>
      <w:r>
        <w:t xml:space="preserve">Trenberth (1980)</w:t>
      </w:r>
      <w:r>
        <w:t xml:space="preserve">). They can also contribute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focusing on planetary waves in the Southern Hemisphere (HS) assumed their quasi-stationary nature based on</w:t>
      </w:r>
      <w:r>
        <w:t xml:space="preserve"> </w:t>
      </w:r>
      <w:r>
        <w:t xml:space="preserve">van Loon and Jenne (1972)</w:t>
      </w:r>
      <w:r>
        <w:t xml:space="preserve">. In this foundational study, the authors analyzed data only from two years,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further study has actually quantified the level of stationarity associated to each wavenumber.</w:t>
      </w:r>
    </w:p>
    <w:p>
      <w:pPr>
        <w:pStyle w:val="BodyText"/>
      </w:pPr>
      <w:r>
        <w:t xml:space="preserve">After more than four decades from the publication of</w:t>
      </w:r>
      <w:r>
        <w:t xml:space="preserve"> </w:t>
      </w:r>
      <w:r>
        <w:t xml:space="preserve">van Loon and Jenne (1972)</w:t>
      </w:r>
      <w:r>
        <w:t xml:space="preserve">, and considering the current availability of different global reanalysis datasets, in this study we assess the stationarity features of planetary waves in the SH. Also, we extend</w:t>
      </w:r>
      <w:r>
        <w:t xml:space="preserve"> </w:t>
      </w:r>
      <w:r>
        <w:t xml:space="preserve">van Loon and Jenne (1972)</w:t>
      </w:r>
      <w:r>
        <w:t xml:space="preserve">’s study, deriving a methodology that provides a quantitative measure of planetary wave stationarity. We apply it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For example, a dataset of 365 daily mean fields defines 365 daily zonal waves and one annual quasi-stationary wave as well as 12 monthly quasi-stationary waves (per level and latitude). On the other hand, a 30-year dataset of monthly mean fields defines 360 monthly zonal waves and one 30-year quasi-stationary wave. While monthly planetary waves are quasi-stationary waves in the first case, they are zonal waves in the second. The latter shows that the definition of quasi-stationary waves depends on the temporal sampling considered.</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and that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 to</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 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to define a measure of quasi-stationary wave stationarity:</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oMath>
      <w:r>
        <w:t xml:space="preserve"> </w:t>
      </w:r>
      <w:r>
        <w:t xml:space="preserve">is equal to 1 regardless of sample size.</w:t>
      </w:r>
    </w:p>
    <w:p>
      <w:pPr>
        <w:pStyle w:val="BodyText"/>
      </w:pPr>
      <w:r>
        <w:t xml:space="preserve">Some studies consider</w:t>
      </w:r>
      <w:r>
        <w:t xml:space="preserve"> </w:t>
      </w:r>
      <m:oMath>
        <m:acc>
          <m:accPr>
            <m:chr m:val="̂"/>
          </m:accPr>
          <m:e>
            <m:r>
              <m:t>S</m:t>
            </m:r>
          </m:e>
        </m:acc>
      </m:oMath>
      <w:r>
        <w:t xml:space="preserve"> </w:t>
      </w:r>
      <w:r>
        <w:t xml:space="preserve">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w:t>
      </w:r>
      <w:r>
        <w:t xml:space="preserve">for analyzin wind steadiness</w:t>
      </w:r>
      <w:r>
        <w:t xml:space="preserve"> </w:t>
      </w:r>
      <w:r>
        <w:t xml:space="preserve">(e.g Hiscox, Miller, and Nappo 2010)</w:t>
      </w:r>
      <w:r>
        <w:t xml:space="preserve">. To our knowledge this is the first time that this approach is applied to study atmospheric waves.</w:t>
      </w:r>
    </w:p>
    <w:p>
      <w:pPr>
        <w:pStyle w:val="BodyText"/>
      </w:pPr>
      <m:oMath>
        <m:acc>
          <m:accPr>
            <m:chr m:val="̂"/>
          </m:accPr>
          <m:e>
            <m:r>
              <m:t>S</m:t>
            </m:r>
          </m:e>
        </m:acc>
      </m:oMath>
      <w:r>
        <w:t xml:space="preserve"> </w:t>
      </w:r>
      <w:r>
        <w:t xml:space="preserve">could be equivalent formulated as</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As it does not depend on the propagating properties of waves,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height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to each latitude circle, level and monthly record. For comparison, we also analyzed data from ERA-Interim</w:t>
      </w:r>
      <w:r>
        <w:t xml:space="preserve"> </w:t>
      </w:r>
      <w:r>
        <w:t xml:space="preserve">(Dee et al. 2011)</w:t>
      </w:r>
      <w:r>
        <w:t xml:space="preserve"> </w:t>
      </w:r>
      <w:r>
        <w:t xml:space="preserve">and ERA-20C</w:t>
      </w:r>
      <w:r>
        <w:t xml:space="preserve"> </w:t>
      </w:r>
      <w:r>
        <w:t xml:space="preserve">(Poli et al. 2016)</w:t>
      </w:r>
      <w:r>
        <w:t xml:space="preserve">.</w:t>
      </w:r>
    </w:p>
    <w:p>
      <w:pPr>
        <w:pStyle w:val="BodyText"/>
      </w:pPr>
      <w:r>
        <w:t xml:space="preserve">We analyzed the data using the statistical programming language R</w:t>
      </w:r>
      <w:r>
        <w:t xml:space="preserve"> </w:t>
      </w:r>
      <w:r>
        <w:t xml:space="preserve">(R Core Team 2018)</w:t>
      </w:r>
      <w:r>
        <w:t xml:space="preserve">, using data.table</w:t>
      </w:r>
      <w:r>
        <w:t xml:space="preserve"> </w:t>
      </w:r>
      <w:r>
        <w:t xml:space="preserve">(Dowle and Srinivasan 2018)</w:t>
      </w:r>
      <w:r>
        <w:t xml:space="preserve"> </w:t>
      </w:r>
      <w:r>
        <w:t xml:space="preserve">and metR</w:t>
      </w:r>
      <w:r>
        <w:t xml:space="preserve"> </w:t>
      </w:r>
      <w:r>
        <w:t xml:space="preserve">(Campitelli 2018)</w:t>
      </w:r>
      <w:r>
        <w:t xml:space="preserve"> </w:t>
      </w:r>
      <w:r>
        <w:t xml:space="preserve">packages 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height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height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based on the monthly-mean geopotential height fields computed between 1948 and 2017. We computed the left column (</w:t>
      </w:r>
      <m:oMath>
        <m:sSub>
          <m:e>
            <m:r>
              <m:t>A</m:t>
            </m:r>
          </m:e>
          <m:sub>
            <m:r>
              <m:rPr>
                <m:sty m:val="p"/>
              </m:rPr>
              <m:t>Q</m:t>
            </m:r>
            <m:r>
              <m:rPr>
                <m:sty m:val="p"/>
              </m:rPr>
              <m:t>S</m:t>
            </m:r>
          </m:sub>
        </m:sSub>
      </m:oMath>
      <w:r>
        <w:t xml:space="preserve">) as the amplitude of the average geopotential height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for the three wavenumbers. At 50</w:t>
      </w:r>
      <w:r>
        <w:t xml:space="preserve">S this is true only for wavenumber 1 (Figure</w:t>
      </w:r>
      <w:r>
        <w:t xml:space="preserve"> </w:t>
      </w:r>
      <w:r>
        <w:t xml:space="preserve">). However,</w:t>
      </w:r>
      <w:r>
        <w:t xml:space="preserve"> </w:t>
      </w:r>
      <m:oMath>
        <m:sSub>
          <m:e>
            <m:r>
              <m:t>A</m:t>
            </m:r>
          </m:e>
          <m:sub>
            <m:r>
              <m:rPr>
                <m:sty m:val="p"/>
              </m:rPr>
              <m:t>Q</m:t>
            </m:r>
            <m:r>
              <m:rPr>
                <m:sty m:val="p"/>
              </m:rPr>
              <m:t>S</m:t>
            </m:r>
            <m:r>
              <m:rPr>
                <m:sty m:val="p"/>
              </m:rPr>
              <m:t>2</m:t>
            </m:r>
          </m:sub>
        </m:sSub>
      </m:oMath>
      <w:r>
        <w:t xml:space="preserve"> </w:t>
      </w:r>
      <w:r>
        <w:t xml:space="preserve">has much lower values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 Moreover,</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of the geopotential height planetary waves 1, 2 and 3 (top, middle and bottom rows, respectively) at 50N and 50S (left and right columns, respectively) computed using Equation . The black line marks \hat{S} = 0.4 for reference."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of the geopotential height planetary waves 1, 2 and 3 (top, middle and bottom rows, respectively) at 50</w:t>
      </w:r>
      <w:r>
        <w:t xml:space="preserve">N and 50</w:t>
      </w:r>
      <w:r>
        <w:t xml:space="preserve">S (left and right columns, respectively) computed using Equation</w:t>
      </w:r>
      <w:r>
        <w:t xml:space="preserve"> </w:t>
      </w:r>
      <w:r>
        <w:t xml:space="preserve">. The black line marks</w:t>
      </w:r>
      <w:r>
        <w:t xml:space="preserve"> </w:t>
      </w:r>
      <m:oMath>
        <m:acc>
          <m:accPr>
            <m:chr m:val="̂"/>
          </m:accPr>
          <m:e>
            <m:r>
              <m:t>S</m:t>
            </m:r>
          </m:e>
        </m:acc>
        <m:r>
          <m:t>=</m:t>
        </m:r>
        <m:r>
          <m:t>0.4</m:t>
        </m:r>
      </m:oMath>
      <w:r>
        <w:t xml:space="preserve"> </w:t>
      </w:r>
      <w:r>
        <w:t xml:space="preserve">for reference.</w:t>
      </w:r>
    </w:p>
    <w:p>
      <w:pPr>
        <w:pStyle w:val="BodyText"/>
      </w:pPr>
      <w:r>
        <w:t xml:space="preserve">The differences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SH, planetary wave 2 stationarity has a semiannual cycle. It reaches its maximum in April and in August-September, decreasing to a deep minimum centered in June. On the other hand, planetary wave 3 stationarity peaks in February and slowly decreases towards a November deep minimum after which increases sharply.</w:t>
      </w:r>
    </w:p>
    <w:p>
      <w:pPr>
        <w:pStyle w:val="CaptionedFigure"/>
      </w:pPr>
      <w:r>
        <w:drawing>
          <wp:inline>
            <wp:extent cx="4620126" cy="3696101"/>
            <wp:effectExtent b="0" l="0" r="0" t="0"/>
            <wp:docPr descr="Stationarity for wavenumbers 1 to 3 at 50N and 50S (top and bottom panels, respectively) at 500hPa."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Stationarity for wavenumbers 1 to 3 at 50</w:t>
      </w:r>
      <w:r>
        <w:t xml:space="preserve">N and 50</w:t>
      </w:r>
      <w:r>
        <w:t xml:space="preserve">S (top and bottom panels, respectively) at 500hPa.</w:t>
      </w:r>
    </w:p>
    <w:p>
      <w:pPr>
        <w:pStyle w:val="BodyText"/>
      </w:pPr>
      <w:r>
        <w:t xml:space="preserve">As we computed</w:t>
      </w:r>
      <w:r>
        <w:t xml:space="preserve"> </w:t>
      </w:r>
      <m:oMath>
        <m:acc>
          <m:accPr>
            <m:chr m:val="̂"/>
          </m:accPr>
          <m:e>
            <m:r>
              <m:t>S</m:t>
            </m:r>
          </m:e>
        </m:acc>
      </m:oMath>
      <w:r>
        <w:t xml:space="preserve"> </w:t>
      </w:r>
      <w:r>
        <w:t xml:space="preserve">using the whole period for Figure</w:t>
      </w:r>
      <w:r>
        <w:t xml:space="preserve"> </w:t>
      </w:r>
      <w:r>
        <w:t xml:space="preserve">, it represents the mean stationarity between 1948 and 2017. So, to analyse stationarity chances over time, we computed</w:t>
      </w:r>
      <w:r>
        <w:t xml:space="preserve"> </w:t>
      </w:r>
      <m:oMath>
        <m:acc>
          <m:accPr>
            <m:chr m:val="̂"/>
          </m:accPr>
          <m:e>
            <m:r>
              <m:t>S</m:t>
            </m:r>
          </m:e>
        </m:acc>
      </m:oMath>
      <w:r>
        <w:t xml:space="preserve"> </w:t>
      </w:r>
      <w:r>
        <w:t xml:space="preserve">using 10 -ear overlapping intervals for each wavenumber at both studied latitudes (Figure</w:t>
      </w:r>
      <w:r>
        <w:t xml:space="preserve"> </w:t>
      </w:r>
      <w:r>
        <w:t xml:space="preserve">). Planetary wave stationarity remained high and constant for wavenumbers 1 to 3 at 50</w:t>
      </w:r>
      <w:r>
        <w:t xml:space="preserve">N and 1 at 50</w:t>
      </w:r>
      <w:r>
        <w:t xml:space="preserve">S but wavenumbers 2 and 3 at 50</w:t>
      </w:r>
      <w:r>
        <w:t xml:space="preserve">S show interdecadal variations. 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The study was also made using ERA Interim reanalysis and the results for the overlapping period are similar (not shown). The latter suggest that the observed decadal variations are not an artifact of the reanalysis. However, The sudden shift in planetary wave 3 stationarity observed between 1950 and 1960 is probably spurious and we couldn’t find it using data from ERA 20C (not shown).</w:t>
      </w:r>
    </w:p>
    <w:p>
      <w:pPr>
        <w:pStyle w:val="Heading1"/>
      </w:pPr>
      <w:bookmarkStart w:id="30" w:name="conclusions"/>
      <w:r>
        <w:t xml:space="preserve">Conclusions</w:t>
      </w:r>
      <w:bookmarkEnd w:id="30"/>
    </w:p>
    <w:p>
      <w:pPr>
        <w:pStyle w:val="FirstParagraph"/>
      </w:pPr>
      <w:r>
        <w:t xml:space="preserve">We assessed the stationarity levels of planetary waves at both hemispheres using different quantitative measures. We confirmed that planetary wave stationarity associated with SH planetary wave 1 is high and constant throughout the year and period. Instead stationarity levels for both waves 2 and 3 vary on intraseasonal and interdecadal timescales. On the other hand, as it was described in the literature, , planetary wave stationarity in the Northern Hemisphere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w:t>
      </w:r>
      <w:r>
        <w:t xml:space="preserve"> </w:t>
      </w:r>
      <w:r>
        <w:t xml:space="preserve">(Chen and Trenberth 1988)</w:t>
      </w:r>
      <w:r>
        <w:t xml:space="preserve">, which explains their highly and not variable stationary nature. In the SH, only planetary wave 1 seems to be the result of mainly surface forcings. Planetary waves 2 and 3 seem to be composed of a comparable mix of internal variability and surface forcing components.</w:t>
      </w:r>
    </w:p>
    <w:p>
      <w:pPr>
        <w:pStyle w:val="BodyText"/>
      </w:pPr>
      <w:r>
        <w:t xml:space="preserve">Since in the SH the amplitude of the mean planetary wave can differ greatly from the mean amplitude of planetary waves, care must be taken when interpreting the literature. Some studies analyze the former</w:t>
      </w:r>
      <w:r>
        <w:t xml:space="preserve"> </w:t>
      </w:r>
      <w:r>
        <w:t xml:space="preserve">(e.g. van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p>
      <w:pPr>
        <w:pStyle w:val="BodyText"/>
      </w:pPr>
      <w:r>
        <w:t xml:space="preserve">A deeper knowledge of interseasonal and decadal variations in planetary wave stationarity could help to better understand the variability in the responses of mid-latitudes atmospheric circulation to surface forcing caused either by the strength of the forcing or the sensitivity of the atmosphere to the forcing.</w:t>
      </w:r>
    </w:p>
    <w:p>
      <w:pPr>
        <w:pStyle w:val="BodyText"/>
      </w:pPr>
      <w:r>
        <w:t xml:space="preserve">A version-controlled repository of the code that generated this article can be found at</w:t>
      </w:r>
      <w:r>
        <w:t xml:space="preserve"> </w:t>
      </w:r>
      <w:hyperlink r:id="rId31">
        <w:r>
          <w:rPr>
            <w:rStyle w:val="Hyperlink"/>
          </w:rPr>
          <w:t xml:space="preserve">http://github.com/eliocamp/qs-zw</w:t>
        </w:r>
      </w:hyperlink>
      <w:r>
        <w:t xml:space="preserve">. A snapshot of said repository can be found at</w:t>
      </w:r>
      <w:r>
        <w:t xml:space="preserve"> </w:t>
      </w:r>
      <w:hyperlink r:id="rId32">
        <w:r>
          <w:rPr>
            <w:rStyle w:val="Hyperlink"/>
          </w:rPr>
          <w:t xml:space="preserve">https://figshare.com/s/e72154e67b0cd8cc1045</w:t>
        </w:r>
      </w:hyperlink>
      <w:r>
        <w:t xml:space="preserve">.</w:t>
      </w:r>
    </w:p>
    <w:p>
      <w:pPr>
        <w:pStyle w:val="BodyText"/>
      </w:pPr>
      <w:r>
        <w:t xml:space="preserve">Funding provided by</w:t>
      </w:r>
    </w:p>
    <w:bookmarkStart w:id="77" w:name="refs"/>
    <w:bookmarkStart w:id="34"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3">
        <w:r>
          <w:rPr>
            <w:rStyle w:val="Hyperlink"/>
          </w:rPr>
          <w:t xml:space="preserve">https://github.com/eliocamp/metR</w:t>
        </w:r>
      </w:hyperlink>
      <w:r>
        <w:t xml:space="preserve">.</w:t>
      </w:r>
    </w:p>
    <w:bookmarkEnd w:id="34"/>
    <w:bookmarkStart w:id="36" w:name="ref-Campitelli2019-figshare"/>
    <w:p>
      <w:pPr>
        <w:pStyle w:val="Bibliography"/>
      </w:pPr>
      <w:r>
        <w:t xml:space="preserve">———. 2019. “How Stationary Are Planetary Waves in the SH?: Supplementary Data.”</w:t>
      </w:r>
      <w:r>
        <w:t xml:space="preserve"> </w:t>
      </w:r>
      <w:hyperlink r:id="rId35">
        <w:r>
          <w:rPr>
            <w:rStyle w:val="Hyperlink"/>
          </w:rPr>
          <w:t xml:space="preserve">https://doi.org/10.6084/m9.figshare.7599890</w:t>
        </w:r>
      </w:hyperlink>
      <w:r>
        <w:t xml:space="preserve">.</w:t>
      </w:r>
    </w:p>
    <w:bookmarkEnd w:id="36"/>
    <w:bookmarkStart w:id="38" w:name="ref-chen1988"/>
    <w:p>
      <w:pPr>
        <w:pStyle w:val="Bibliography"/>
      </w:pPr>
      <w:r>
        <w:t xml:space="preserve">Chen, Shyh-Chin, and Kevin E. Trenberth. 1988. “Forced Planetary Waves in the Northern Hemisphere Winter: Wave-Coupled Orographic and Thermal Forcings.”</w:t>
      </w:r>
      <w:r>
        <w:t xml:space="preserve"> </w:t>
      </w:r>
      <w:r>
        <w:rPr>
          <w:i/>
        </w:rPr>
        <w:t xml:space="preserve">Journal of the Atmospheric Sciences</w:t>
      </w:r>
      <w:r>
        <w:t xml:space="preserve"> </w:t>
      </w:r>
      <w:r>
        <w:t xml:space="preserve">45 (4): 682–704.</w:t>
      </w:r>
      <w:r>
        <w:t xml:space="preserve"> </w:t>
      </w:r>
      <w:hyperlink r:id="rId37">
        <w:r>
          <w:rPr>
            <w:rStyle w:val="Hyperlink"/>
          </w:rPr>
          <w:t xml:space="preserve">https://doi.org/10.1175/1520-0469(1988)045&lt;0682:FPWITN&gt;2.0.CO;2</w:t>
        </w:r>
      </w:hyperlink>
      <w:r>
        <w:t xml:space="preserve">.</w:t>
      </w:r>
    </w:p>
    <w:bookmarkEnd w:id="38"/>
    <w:bookmarkStart w:id="40" w:name="ref-dee2011"/>
    <w:p>
      <w:pPr>
        <w:pStyle w:val="Bibliography"/>
      </w:pPr>
      <w:r>
        <w:t xml:space="preserve">Dee, D. P., S. M. Uppala, A. J. Simmons, P. Berrisford, P. Poli, S. Kobayashi, U. Andrae, et al. 2011. “The ERA-Interim Reanalysis: Configuration and Performance of the Data Assimilation System.”</w:t>
      </w:r>
      <w:r>
        <w:t xml:space="preserve"> </w:t>
      </w:r>
      <w:r>
        <w:rPr>
          <w:i/>
        </w:rPr>
        <w:t xml:space="preserve">Quarterly Journal of the Royal Meteorological Society</w:t>
      </w:r>
      <w:r>
        <w:t xml:space="preserve"> </w:t>
      </w:r>
      <w:r>
        <w:t xml:space="preserve">137 (656): 553–97.</w:t>
      </w:r>
      <w:r>
        <w:t xml:space="preserve"> </w:t>
      </w:r>
      <w:hyperlink r:id="rId39">
        <w:r>
          <w:rPr>
            <w:rStyle w:val="Hyperlink"/>
          </w:rPr>
          <w:t xml:space="preserve">https://doi.org/10.1002/qj.828</w:t>
        </w:r>
      </w:hyperlink>
      <w:r>
        <w:t xml:space="preserve">.</w:t>
      </w:r>
    </w:p>
    <w:bookmarkEnd w:id="40"/>
    <w:bookmarkStart w:id="42"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41">
        <w:r>
          <w:rPr>
            <w:rStyle w:val="Hyperlink"/>
          </w:rPr>
          <w:t xml:space="preserve">http://r-datatable.com</w:t>
        </w:r>
      </w:hyperlink>
      <w:r>
        <w:t xml:space="preserve">.</w:t>
      </w:r>
    </w:p>
    <w:bookmarkEnd w:id="42"/>
    <w:bookmarkStart w:id="44"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43">
        <w:r>
          <w:rPr>
            <w:rStyle w:val="Hyperlink"/>
          </w:rPr>
          <w:t xml:space="preserve">https://doi.org/10.1029/2010JD014102</w:t>
        </w:r>
      </w:hyperlink>
      <w:r>
        <w:t xml:space="preserve">.</w:t>
      </w:r>
    </w:p>
    <w:bookmarkEnd w:id="44"/>
    <w:bookmarkStart w:id="46"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45">
        <w:r>
          <w:rPr>
            <w:rStyle w:val="Hyperlink"/>
          </w:rPr>
          <w:t xml:space="preserve">https://doi.org/10.1016/C2009-0-63394-8</w:t>
        </w:r>
      </w:hyperlink>
      <w:r>
        <w:t xml:space="preserve">.</w:t>
      </w:r>
    </w:p>
    <w:bookmarkEnd w:id="46"/>
    <w:bookmarkStart w:id="48"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7">
        <w:r>
          <w:rPr>
            <w:rStyle w:val="Hyperlink"/>
          </w:rPr>
          <w:t xml:space="preserve">https://doi.org/10.1175/JCLI-D-15-0287.1</w:t>
        </w:r>
      </w:hyperlink>
      <w:r>
        <w:t xml:space="preserve">.</w:t>
      </w:r>
    </w:p>
    <w:bookmarkEnd w:id="48"/>
    <w:bookmarkStart w:id="50"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437–72.</w:t>
      </w:r>
      <w:r>
        <w:t xml:space="preserve"> </w:t>
      </w:r>
      <w:hyperlink r:id="rId49">
        <w:r>
          <w:rPr>
            <w:rStyle w:val="Hyperlink"/>
          </w:rPr>
          <w:t xml:space="preserve">https://doi.org/10.1175/1520-0477(1996)077&lt;0437:TNYRP&gt;2.0.CO;2</w:t>
        </w:r>
      </w:hyperlink>
      <w:r>
        <w:t xml:space="preserve">.</w:t>
      </w:r>
    </w:p>
    <w:bookmarkEnd w:id="50"/>
    <w:bookmarkStart w:id="52" w:name="ref-pain2005"/>
    <w:p>
      <w:pPr>
        <w:pStyle w:val="Bibliography"/>
      </w:pPr>
      <w:r>
        <w:t xml:space="preserve">Pain, H. J. 2005. “Simple Harmonic Motion.” In</w:t>
      </w:r>
      <w:r>
        <w:t xml:space="preserve"> </w:t>
      </w:r>
      <w:r>
        <w:rPr>
          <w:i/>
        </w:rPr>
        <w:t xml:space="preserve">The Physics of Vibrations and Waves</w:t>
      </w:r>
      <w:r>
        <w:t xml:space="preserve">, 1–35. John Wiley &amp; Sons, Ltd.</w:t>
      </w:r>
      <w:r>
        <w:t xml:space="preserve"> </w:t>
      </w:r>
      <w:hyperlink r:id="rId51">
        <w:r>
          <w:rPr>
            <w:rStyle w:val="Hyperlink"/>
          </w:rPr>
          <w:t xml:space="preserve">https://doi.org/10.1002/0470016957.ch1</w:t>
        </w:r>
      </w:hyperlink>
      <w:r>
        <w:t xml:space="preserve">.</w:t>
      </w:r>
    </w:p>
    <w:bookmarkEnd w:id="52"/>
    <w:bookmarkStart w:id="54" w:name="ref-poli2016"/>
    <w:p>
      <w:pPr>
        <w:pStyle w:val="Bibliography"/>
      </w:pPr>
      <w:r>
        <w:t xml:space="preserve">Poli, Paul, Hans Hersbach, Dick P. Dee, Paul Berrisford, Adrian J. Simmons, Frédéric Vitart, Patrick Laloyaux, et al. 2016. “ERA-20C: An Atmospheric Reanalysis of the Twentieth Century.”</w:t>
      </w:r>
      <w:r>
        <w:t xml:space="preserve"> </w:t>
      </w:r>
      <w:r>
        <w:rPr>
          <w:i/>
        </w:rPr>
        <w:t xml:space="preserve">Journal of Climate</w:t>
      </w:r>
      <w:r>
        <w:t xml:space="preserve"> </w:t>
      </w:r>
      <w:r>
        <w:t xml:space="preserve">29 (11): 4083–97.</w:t>
      </w:r>
      <w:r>
        <w:t xml:space="preserve"> </w:t>
      </w:r>
      <w:hyperlink r:id="rId53">
        <w:r>
          <w:rPr>
            <w:rStyle w:val="Hyperlink"/>
          </w:rPr>
          <w:t xml:space="preserve">https://doi.org/10.1175/JCLI-D-15-0556.1</w:t>
        </w:r>
      </w:hyperlink>
      <w:r>
        <w:t xml:space="preserve">.</w:t>
      </w:r>
    </w:p>
    <w:bookmarkEnd w:id="54"/>
    <w:bookmarkStart w:id="56" w:name="ref-quintanar1995a"/>
    <w:p>
      <w:pPr>
        <w:pStyle w:val="Bibliography"/>
      </w:pPr>
      <w:r>
        <w:t xml:space="preserve">Quintanar, Arturo I., and Carlos R. Mechoso. 1995. “Quasi-Stationary Waves in the Southern Hemisphere. Part II: Generation Mechanisms.”</w:t>
      </w:r>
      <w:r>
        <w:t xml:space="preserve"> </w:t>
      </w:r>
      <w:r>
        <w:rPr>
          <w:i/>
        </w:rPr>
        <w:t xml:space="preserve">Journal of Climate</w:t>
      </w:r>
      <w:r>
        <w:t xml:space="preserve"> </w:t>
      </w:r>
      <w:r>
        <w:t xml:space="preserve">8 (11): 2673–90.</w:t>
      </w:r>
      <w:r>
        <w:t xml:space="preserve"> </w:t>
      </w:r>
      <w:hyperlink r:id="rId55">
        <w:r>
          <w:rPr>
            <w:rStyle w:val="Hyperlink"/>
          </w:rPr>
          <w:t xml:space="preserve">https://doi.org/10.1175/1520-0442(1995)008&lt;2673:QSWITS&gt;2.0.CO;2</w:t>
        </w:r>
      </w:hyperlink>
      <w:r>
        <w:t xml:space="preserve">.</w:t>
      </w:r>
    </w:p>
    <w:bookmarkEnd w:id="56"/>
    <w:bookmarkStart w:id="58" w:name="ref-rao2004"/>
    <w:p>
      <w:pPr>
        <w:pStyle w:val="Bibliography"/>
      </w:pPr>
      <w:r>
        <w:t xml:space="preserve">Rao, Brahmananda V., J. P. R. Fernandez, and S. H. Franchito. 2004. “Quasi-Stationary Waves in the Southern Hemisphere During El Niño and La Niña Events.”</w:t>
      </w:r>
      <w:r>
        <w:t xml:space="preserve"> </w:t>
      </w:r>
      <w:r>
        <w:rPr>
          <w:i/>
        </w:rPr>
        <w:t xml:space="preserve">Annales Geophysicae</w:t>
      </w:r>
      <w:r>
        <w:t xml:space="preserve"> </w:t>
      </w:r>
      <w:r>
        <w:t xml:space="preserve">22 (3): 789–806.</w:t>
      </w:r>
      <w:r>
        <w:t xml:space="preserve"> </w:t>
      </w:r>
      <w:hyperlink r:id="rId57">
        <w:r>
          <w:rPr>
            <w:rStyle w:val="Hyperlink"/>
          </w:rPr>
          <w:t xml:space="preserve">https://doi.org/10.5194/angeo-22-789-2004</w:t>
        </w:r>
      </w:hyperlink>
      <w:r>
        <w:t xml:space="preserve">.</w:t>
      </w:r>
    </w:p>
    <w:bookmarkEnd w:id="58"/>
    <w:bookmarkStart w:id="60" w:name="ref-raphael2004"/>
    <w:p>
      <w:pPr>
        <w:pStyle w:val="Bibliography"/>
      </w:pPr>
      <w:r>
        <w:t xml:space="preserve">Raphael, M. N. 2004. “A Zonal Wave 3 Index for the Southern Hemisphere: ZONAL WAVE 3 INDEX.”</w:t>
      </w:r>
      <w:r>
        <w:t xml:space="preserve"> </w:t>
      </w:r>
      <w:r>
        <w:rPr>
          <w:i/>
        </w:rPr>
        <w:t xml:space="preserve">Geophysical Research Letters</w:t>
      </w:r>
      <w:r>
        <w:t xml:space="preserve"> </w:t>
      </w:r>
      <w:r>
        <w:t xml:space="preserve">31 (23).</w:t>
      </w:r>
      <w:r>
        <w:t xml:space="preserve"> </w:t>
      </w:r>
      <w:hyperlink r:id="rId59">
        <w:r>
          <w:rPr>
            <w:rStyle w:val="Hyperlink"/>
          </w:rPr>
          <w:t xml:space="preserve">https://doi.org/10.1029/2004GL020365</w:t>
        </w:r>
      </w:hyperlink>
      <w:r>
        <w:t xml:space="preserve">.</w:t>
      </w:r>
    </w:p>
    <w:bookmarkEnd w:id="60"/>
    <w:bookmarkStart w:id="62"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1">
        <w:r>
          <w:rPr>
            <w:rStyle w:val="Hyperlink"/>
          </w:rPr>
          <w:t xml:space="preserve">https://www.R-project.org/</w:t>
        </w:r>
      </w:hyperlink>
      <w:r>
        <w:t xml:space="preserve">.</w:t>
      </w:r>
    </w:p>
    <w:bookmarkEnd w:id="62"/>
    <w:bookmarkStart w:id="64"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63">
        <w:r>
          <w:rPr>
            <w:rStyle w:val="Hyperlink"/>
          </w:rPr>
          <w:t xml:space="preserve">https://doi.org/10.1175/1520-0450(1967)006&lt;1033:SOTW&gt;2.0.CO;2</w:t>
        </w:r>
      </w:hyperlink>
      <w:r>
        <w:t xml:space="preserve">.</w:t>
      </w:r>
    </w:p>
    <w:bookmarkEnd w:id="64"/>
    <w:bookmarkStart w:id="66" w:name="ref-smith2012"/>
    <w:p>
      <w:pPr>
        <w:pStyle w:val="Bibliography"/>
      </w:pPr>
      <w:r>
        <w:t xml:space="preserve">Smith, Karen L., and Paul J. Kushner. 2012. “Linear Interference and the Initiation of Extratropical Stratosphere-Troposphere Interactions: LIN INTERFERENCE AND STRAT NAM.”</w:t>
      </w:r>
      <w:r>
        <w:t xml:space="preserve"> </w:t>
      </w:r>
      <w:r>
        <w:rPr>
          <w:i/>
        </w:rPr>
        <w:t xml:space="preserve">Journal of Geophysical Research: Atmospheres</w:t>
      </w:r>
      <w:r>
        <w:t xml:space="preserve"> </w:t>
      </w:r>
      <w:r>
        <w:t xml:space="preserve">117 (D13): n/a–n/a.</w:t>
      </w:r>
      <w:r>
        <w:t xml:space="preserve"> </w:t>
      </w:r>
      <w:hyperlink r:id="rId65">
        <w:r>
          <w:rPr>
            <w:rStyle w:val="Hyperlink"/>
          </w:rPr>
          <w:t xml:space="preserve">https://doi.org/10.1029/2012JD017587</w:t>
        </w:r>
      </w:hyperlink>
      <w:r>
        <w:t xml:space="preserve">.</w:t>
      </w:r>
    </w:p>
    <w:bookmarkEnd w:id="66"/>
    <w:bookmarkStart w:id="68" w:name="ref-trenberth1980a"/>
    <w:p>
      <w:pPr>
        <w:pStyle w:val="Bibliography"/>
      </w:pPr>
      <w:r>
        <w:t xml:space="preserve">Trenberth, Kevin E. 1980. “Planetary Waves at 500 Mb in the Southern Hemisphere.”</w:t>
      </w:r>
      <w:r>
        <w:t xml:space="preserve"> </w:t>
      </w:r>
      <w:r>
        <w:rPr>
          <w:i/>
        </w:rPr>
        <w:t xml:space="preserve">Monthly Weather Review</w:t>
      </w:r>
      <w:r>
        <w:t xml:space="preserve"> </w:t>
      </w:r>
      <w:r>
        <w:t xml:space="preserve">108 (9): 1378–89.</w:t>
      </w:r>
      <w:r>
        <w:t xml:space="preserve"> </w:t>
      </w:r>
      <w:hyperlink r:id="rId67">
        <w:r>
          <w:rPr>
            <w:rStyle w:val="Hyperlink"/>
          </w:rPr>
          <w:t xml:space="preserve">https://doi.org/10.1175/1520-0493(1980)108&lt;1378:PWAMIT&gt;2.0.CO;2</w:t>
        </w:r>
      </w:hyperlink>
      <w:r>
        <w:t xml:space="preserve">.</w:t>
      </w:r>
    </w:p>
    <w:bookmarkEnd w:id="68"/>
    <w:bookmarkStart w:id="70" w:name="ref-trenberth1985"/>
    <w:p>
      <w:pPr>
        <w:pStyle w:val="Bibliography"/>
      </w:pPr>
      <w:r>
        <w:t xml:space="preserve">Trenberth, Kevin F., and K. C. Mo. 1985. “Blocking in the Southern Hemisphere.”</w:t>
      </w:r>
      <w:r>
        <w:t xml:space="preserve"> </w:t>
      </w:r>
      <w:r>
        <w:rPr>
          <w:i/>
        </w:rPr>
        <w:t xml:space="preserve">Monthly Weather Review</w:t>
      </w:r>
      <w:r>
        <w:t xml:space="preserve"> </w:t>
      </w:r>
      <w:r>
        <w:t xml:space="preserve">113 (1): 3–21.</w:t>
      </w:r>
      <w:r>
        <w:t xml:space="preserve"> </w:t>
      </w:r>
      <w:hyperlink r:id="rId69">
        <w:r>
          <w:rPr>
            <w:rStyle w:val="Hyperlink"/>
          </w:rPr>
          <w:t xml:space="preserve">https://doi.org/10.1175/1520-0493(1985)113&lt;0003:BITSH&gt;2.0.CO;2</w:t>
        </w:r>
      </w:hyperlink>
      <w:r>
        <w:t xml:space="preserve">.</w:t>
      </w:r>
    </w:p>
    <w:bookmarkEnd w:id="70"/>
    <w:bookmarkStart w:id="72" w:name="ref-turner2017"/>
    <w:p>
      <w:pPr>
        <w:pStyle w:val="Bibliography"/>
      </w:pPr>
      <w:r>
        <w:t xml:space="preserve">Turner, John, J. Scott Hosking, Thomas J. Bracegirdle, Tony Phillips, and Gareth J. Marshall. 2017. “Variability and Trends in the Southern Hemisphere High Latitude, Quasi-Stationary Planetary Waves: SOUTHERN HEMISPHERE PLANETARY WAVES.”</w:t>
      </w:r>
      <w:r>
        <w:t xml:space="preserve"> </w:t>
      </w:r>
      <w:r>
        <w:rPr>
          <w:i/>
        </w:rPr>
        <w:t xml:space="preserve">International Journal of Climatology</w:t>
      </w:r>
      <w:r>
        <w:t xml:space="preserve"> </w:t>
      </w:r>
      <w:r>
        <w:t xml:space="preserve">37 (5): 2325–36.</w:t>
      </w:r>
      <w:r>
        <w:t xml:space="preserve"> </w:t>
      </w:r>
      <w:hyperlink r:id="rId71">
        <w:r>
          <w:rPr>
            <w:rStyle w:val="Hyperlink"/>
          </w:rPr>
          <w:t xml:space="preserve">https://doi.org/10.1002/joc.4848</w:t>
        </w:r>
      </w:hyperlink>
      <w:r>
        <w:t xml:space="preserve">.</w:t>
      </w:r>
    </w:p>
    <w:bookmarkEnd w:id="72"/>
    <w:bookmarkStart w:id="74" w:name="ref-vanloon1972"/>
    <w:p>
      <w:pPr>
        <w:pStyle w:val="Bibliography"/>
      </w:pPr>
      <w:r>
        <w:t xml:space="preserve">van Loon, Harry, and Roy L. Jenne. 1972. “The Zonal Harmonic Standing Waves in the Southern Hemisphere.”</w:t>
      </w:r>
      <w:r>
        <w:t xml:space="preserve"> </w:t>
      </w:r>
      <w:r>
        <w:rPr>
          <w:i/>
        </w:rPr>
        <w:t xml:space="preserve">Journal of Geophysical Research</w:t>
      </w:r>
      <w:r>
        <w:t xml:space="preserve"> </w:t>
      </w:r>
      <w:r>
        <w:t xml:space="preserve">77 (6): 992–1003.</w:t>
      </w:r>
      <w:r>
        <w:t xml:space="preserve"> </w:t>
      </w:r>
      <w:hyperlink r:id="rId73">
        <w:r>
          <w:rPr>
            <w:rStyle w:val="Hyperlink"/>
          </w:rPr>
          <w:t xml:space="preserve">https://doi.org/10.1029/JC077i006p00992</w:t>
        </w:r>
      </w:hyperlink>
      <w:r>
        <w:t xml:space="preserve">.</w:t>
      </w:r>
    </w:p>
    <w:bookmarkEnd w:id="74"/>
    <w:bookmarkStart w:id="76"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5">
        <w:r>
          <w:rPr>
            <w:rStyle w:val="Hyperlink"/>
          </w:rPr>
          <w:t xml:space="preserve">http://ggplot2.org</w:t>
        </w:r>
      </w:hyperlink>
      <w:r>
        <w:t xml:space="preserv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75" Target="http://ggplot2.org" TargetMode="External" /><Relationship Type="http://schemas.openxmlformats.org/officeDocument/2006/relationships/hyperlink" Id="rId31" Target="http://github.com/eliocamp/qs-zw" TargetMode="External" /><Relationship Type="http://schemas.openxmlformats.org/officeDocument/2006/relationships/hyperlink" Id="rId41" Target="http://r-datatable.com" TargetMode="External" /><Relationship Type="http://schemas.openxmlformats.org/officeDocument/2006/relationships/hyperlink" Id="rId51" Target="https://doi.org/10.1002/0470016957.ch1" TargetMode="External" /><Relationship Type="http://schemas.openxmlformats.org/officeDocument/2006/relationships/hyperlink" Id="rId71" Target="https://doi.org/10.1002/joc.4848" TargetMode="External" /><Relationship Type="http://schemas.openxmlformats.org/officeDocument/2006/relationships/hyperlink" Id="rId39" Target="https://doi.org/10.1002/qj.828" TargetMode="External" /><Relationship Type="http://schemas.openxmlformats.org/officeDocument/2006/relationships/hyperlink" Id="rId45" Target="https://doi.org/10.1016/C2009-0-63394-8" TargetMode="External" /><Relationship Type="http://schemas.openxmlformats.org/officeDocument/2006/relationships/hyperlink" Id="rId59" Target="https://doi.org/10.1029/2004GL020365" TargetMode="External" /><Relationship Type="http://schemas.openxmlformats.org/officeDocument/2006/relationships/hyperlink" Id="rId43" Target="https://doi.org/10.1029/2010JD014102" TargetMode="External" /><Relationship Type="http://schemas.openxmlformats.org/officeDocument/2006/relationships/hyperlink" Id="rId65" Target="https://doi.org/10.1029/2012JD017587" TargetMode="External" /><Relationship Type="http://schemas.openxmlformats.org/officeDocument/2006/relationships/hyperlink" Id="rId73" Target="https://doi.org/10.1029/JC077i006p00992" TargetMode="External" /><Relationship Type="http://schemas.openxmlformats.org/officeDocument/2006/relationships/hyperlink" Id="rId55" Target="https://doi.org/10.1175/1520-0442(1995)008&lt;2673:QSWITS&gt;2.0.CO;2" TargetMode="External" /><Relationship Type="http://schemas.openxmlformats.org/officeDocument/2006/relationships/hyperlink" Id="rId63" Target="https://doi.org/10.1175/1520-0450(1967)006&lt;1033:SOTW&gt;2.0.CO;2" TargetMode="External" /><Relationship Type="http://schemas.openxmlformats.org/officeDocument/2006/relationships/hyperlink" Id="rId37" Target="https://doi.org/10.1175/1520-0469(1988)045&lt;0682:FPWITN&gt;2.0.CO;2" TargetMode="External" /><Relationship Type="http://schemas.openxmlformats.org/officeDocument/2006/relationships/hyperlink" Id="rId49" Target="https://doi.org/10.1175/1520-0477(1996)077&lt;0437:TNYRP&gt;2.0.CO;2" TargetMode="External" /><Relationship Type="http://schemas.openxmlformats.org/officeDocument/2006/relationships/hyperlink" Id="rId67" Target="https://doi.org/10.1175/1520-0493(1980)108&lt;1378:PWAMIT&gt;2.0.CO;2" TargetMode="External" /><Relationship Type="http://schemas.openxmlformats.org/officeDocument/2006/relationships/hyperlink" Id="rId69" Target="https://doi.org/10.1175/1520-0493(1985)113&lt;0003:BITSH&gt;2.0.CO;2" TargetMode="External" /><Relationship Type="http://schemas.openxmlformats.org/officeDocument/2006/relationships/hyperlink" Id="rId47" Target="https://doi.org/10.1175/JCLI-D-15-0287.1" TargetMode="External" /><Relationship Type="http://schemas.openxmlformats.org/officeDocument/2006/relationships/hyperlink" Id="rId53" Target="https://doi.org/10.1175/JCLI-D-15-0556.1" TargetMode="External" /><Relationship Type="http://schemas.openxmlformats.org/officeDocument/2006/relationships/hyperlink" Id="rId57" Target="https://doi.org/10.5194/angeo-22-789-2004" TargetMode="External" /><Relationship Type="http://schemas.openxmlformats.org/officeDocument/2006/relationships/hyperlink" Id="rId35" Target="https://doi.org/10.6084/m9.figshare.7599890" TargetMode="External" /><Relationship Type="http://schemas.openxmlformats.org/officeDocument/2006/relationships/hyperlink" Id="rId32" Target="https://figshare.com/s/e72154e67b0cd8cc1045" TargetMode="External" /><Relationship Type="http://schemas.openxmlformats.org/officeDocument/2006/relationships/hyperlink" Id="rId33" Target="https://github.com/eliocamp/metR" TargetMode="External" /><Relationship Type="http://schemas.openxmlformats.org/officeDocument/2006/relationships/hyperlink" Id="rId6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5" Target="http://ggplot2.org" TargetMode="External" /><Relationship Type="http://schemas.openxmlformats.org/officeDocument/2006/relationships/hyperlink" Id="rId31" Target="http://github.com/eliocamp/qs-zw" TargetMode="External" /><Relationship Type="http://schemas.openxmlformats.org/officeDocument/2006/relationships/hyperlink" Id="rId41" Target="http://r-datatable.com" TargetMode="External" /><Relationship Type="http://schemas.openxmlformats.org/officeDocument/2006/relationships/hyperlink" Id="rId51" Target="https://doi.org/10.1002/0470016957.ch1" TargetMode="External" /><Relationship Type="http://schemas.openxmlformats.org/officeDocument/2006/relationships/hyperlink" Id="rId71" Target="https://doi.org/10.1002/joc.4848" TargetMode="External" /><Relationship Type="http://schemas.openxmlformats.org/officeDocument/2006/relationships/hyperlink" Id="rId39" Target="https://doi.org/10.1002/qj.828" TargetMode="External" /><Relationship Type="http://schemas.openxmlformats.org/officeDocument/2006/relationships/hyperlink" Id="rId45" Target="https://doi.org/10.1016/C2009-0-63394-8" TargetMode="External" /><Relationship Type="http://schemas.openxmlformats.org/officeDocument/2006/relationships/hyperlink" Id="rId59" Target="https://doi.org/10.1029/2004GL020365" TargetMode="External" /><Relationship Type="http://schemas.openxmlformats.org/officeDocument/2006/relationships/hyperlink" Id="rId43" Target="https://doi.org/10.1029/2010JD014102" TargetMode="External" /><Relationship Type="http://schemas.openxmlformats.org/officeDocument/2006/relationships/hyperlink" Id="rId65" Target="https://doi.org/10.1029/2012JD017587" TargetMode="External" /><Relationship Type="http://schemas.openxmlformats.org/officeDocument/2006/relationships/hyperlink" Id="rId73" Target="https://doi.org/10.1029/JC077i006p00992" TargetMode="External" /><Relationship Type="http://schemas.openxmlformats.org/officeDocument/2006/relationships/hyperlink" Id="rId55" Target="https://doi.org/10.1175/1520-0442(1995)008&lt;2673:QSWITS&gt;2.0.CO;2" TargetMode="External" /><Relationship Type="http://schemas.openxmlformats.org/officeDocument/2006/relationships/hyperlink" Id="rId63" Target="https://doi.org/10.1175/1520-0450(1967)006&lt;1033:SOTW&gt;2.0.CO;2" TargetMode="External" /><Relationship Type="http://schemas.openxmlformats.org/officeDocument/2006/relationships/hyperlink" Id="rId37" Target="https://doi.org/10.1175/1520-0469(1988)045&lt;0682:FPWITN&gt;2.0.CO;2" TargetMode="External" /><Relationship Type="http://schemas.openxmlformats.org/officeDocument/2006/relationships/hyperlink" Id="rId49" Target="https://doi.org/10.1175/1520-0477(1996)077&lt;0437:TNYRP&gt;2.0.CO;2" TargetMode="External" /><Relationship Type="http://schemas.openxmlformats.org/officeDocument/2006/relationships/hyperlink" Id="rId67" Target="https://doi.org/10.1175/1520-0493(1980)108&lt;1378:PWAMIT&gt;2.0.CO;2" TargetMode="External" /><Relationship Type="http://schemas.openxmlformats.org/officeDocument/2006/relationships/hyperlink" Id="rId69" Target="https://doi.org/10.1175/1520-0493(1985)113&lt;0003:BITSH&gt;2.0.CO;2" TargetMode="External" /><Relationship Type="http://schemas.openxmlformats.org/officeDocument/2006/relationships/hyperlink" Id="rId47" Target="https://doi.org/10.1175/JCLI-D-15-0287.1" TargetMode="External" /><Relationship Type="http://schemas.openxmlformats.org/officeDocument/2006/relationships/hyperlink" Id="rId53" Target="https://doi.org/10.1175/JCLI-D-15-0556.1" TargetMode="External" /><Relationship Type="http://schemas.openxmlformats.org/officeDocument/2006/relationships/hyperlink" Id="rId57" Target="https://doi.org/10.5194/angeo-22-789-2004" TargetMode="External" /><Relationship Type="http://schemas.openxmlformats.org/officeDocument/2006/relationships/hyperlink" Id="rId35" Target="https://doi.org/10.6084/m9.figshare.7599890" TargetMode="External" /><Relationship Type="http://schemas.openxmlformats.org/officeDocument/2006/relationships/hyperlink" Id="rId32" Target="https://figshare.com/s/e72154e67b0cd8cc1045" TargetMode="External" /><Relationship Type="http://schemas.openxmlformats.org/officeDocument/2006/relationships/hyperlink" Id="rId33" Target="https://github.com/eliocamp/metR"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2019-05-03T20:14:23Z</dcterms:created>
  <dcterms:modified xsi:type="dcterms:W3CDTF">2019-05-03T20:14:23Z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studies of quasi-stationary planetary waves in the Southern Hemisphere (SH) assumed their quasi-stationary nature based on van Loon and Jenne (1972). However, that study considered only 2 years of data (1957-1958) before the advent of modern reanalysis datasets. In this study, we assessed the stationary conditions in the SH and contrasted it with that of the Northern Hemisphere using the NCEP/NCAR reanalysis from 1948 to 2017. We also devised a quantitative measure of planetary-wave stationarity and applied it to both hemispheres. We confirm that in the SH planetary wave 1 is highly stationary. However, planetary waves 2 and 3 have a comparable mixture of stationary and moving components with significant variability from interseasonal and decadal timescales. A deeper knowledge of those variations could help in the future to better understand the variability in the responses of mid-latitudes atmospheric circulation to surface forcing caused either by its strength or the sensitivity of the atmosphere to it.</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y fmtid="{D5CDD505-2E9C-101B-9397-08002B2CF9AE}" pid="14" name="plain_language_summary">
    <vt:lpwstr>Large-scale waves in the atmosphere can have stationary and travelling components. Many studies that focus on the stationary part assume their stationary nature based on the results of van Loon and Jenne (1972), which studied only 2 years of data (1957-1958) before the existence of modern reanalysis datasets. In this study we evaluated the stationarity nature of large-scale waves in the Southern Hemisphere in contrast with the Northern Hemisphere using the NCEP/NCAR reanalysis from 1948 to 2017. We also created a quantitative measure of wave stationarity. The results show that, in the Southern Hemisphere, waves with one maximum per latitude circle are highly stationary during the whole period and throughout the year. Higher frequency waves (2 or 3 maximums) have a comparable mix of stationary and travelling components that varies in between each season and between decades. These variations could mirror either variations in external factors or the sensitivity of the atmosphere to them.</vt:lpwstr>
  </property>
</Properties>
</file>