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Abstract"/>
      </w:pPr>
      <w:r>
        <w:t xml:space="preserve">Most</w:t>
      </w:r>
      <w:r>
        <w:t xml:space="preserve"> </w:t>
      </w:r>
      <w:r>
        <w:t xml:space="preserve">studies</w:t>
      </w:r>
      <w:r>
        <w:t xml:space="preserve"> </w:t>
      </w:r>
      <w:r>
        <w:t xml:space="preserve">of</w:t>
      </w:r>
      <w:r>
        <w:t xml:space="preserve"> </w:t>
      </w:r>
      <w:r>
        <w:t xml:space="preserve">quasi</w:t>
      </w:r>
      <w:r>
        <w:t xml:space="preserve"> </w:t>
      </w:r>
      <w:r>
        <w:t xml:space="preserve">stationary</w:t>
      </w:r>
      <w:r>
        <w:t xml:space="preserve"> </w:t>
      </w:r>
      <w:r>
        <w:t xml:space="preserve">planetary</w:t>
      </w:r>
      <w:r>
        <w:t xml:space="preserve"> </w:t>
      </w:r>
      <w:r>
        <w:t xml:space="preserve">waves</w:t>
      </w:r>
      <w:r>
        <w:t xml:space="preserve"> </w:t>
      </w:r>
      <w:r>
        <w:t xml:space="preserve">have</w:t>
      </w:r>
      <w:r>
        <w:t xml:space="preserve"> </w:t>
      </w:r>
      <w:r>
        <w:t xml:space="preserve">assumed</w:t>
      </w:r>
      <w:r>
        <w:t xml:space="preserve"> </w:t>
      </w:r>
      <w:r>
        <w:t xml:space="preserve">the</w:t>
      </w:r>
      <w:r>
        <w:t xml:space="preserve"> </w:t>
      </w:r>
      <w:r>
        <w:t xml:space="preserve">quasi</w:t>
      </w:r>
      <w:r>
        <w:t xml:space="preserve"> </w:t>
      </w:r>
      <w:r>
        <w:t xml:space="preserve">stationary</w:t>
      </w:r>
      <w:r>
        <w:t xml:space="preserve"> </w:t>
      </w:r>
      <w:r>
        <w:t xml:space="preserve">nature</w:t>
      </w:r>
      <w:r>
        <w:t xml:space="preserve"> </w:t>
      </w:r>
      <w:r>
        <w:t xml:space="preserve">of</w:t>
      </w:r>
      <w:r>
        <w:t xml:space="preserve"> </w:t>
      </w:r>
      <w:r>
        <w:t xml:space="preserve">southern</w:t>
      </w:r>
      <w:r>
        <w:t xml:space="preserve"> </w:t>
      </w:r>
      <w:r>
        <w:t xml:space="preserve">hemisphere</w:t>
      </w:r>
      <w:r>
        <w:t xml:space="preserve"> </w:t>
      </w:r>
      <w:r>
        <w:t xml:space="preserve">planetary</w:t>
      </w:r>
      <w:r>
        <w:t xml:space="preserve"> </w:t>
      </w:r>
      <w:r>
        <w:t xml:space="preserve">waves</w:t>
      </w:r>
      <w:r>
        <w:t xml:space="preserve"> </w:t>
      </w:r>
      <w:r>
        <w:t xml:space="preserve">based</w:t>
      </w:r>
      <w:r>
        <w:t xml:space="preserve"> </w:t>
      </w:r>
      <w:r>
        <w:t xml:space="preserve">on</w:t>
      </w:r>
      <w:r>
        <w:t xml:space="preserve"> </w:t>
      </w:r>
      <w:r>
        <w:t xml:space="preserve">Loon</w:t>
      </w:r>
      <w:r>
        <w:t xml:space="preserve"> </w:t>
      </w:r>
      <w:r>
        <w:t xml:space="preserve">and</w:t>
      </w:r>
      <w:r>
        <w:t xml:space="preserve"> </w:t>
      </w:r>
      <w:r>
        <w:t xml:space="preserve">Jenne</w:t>
      </w:r>
      <w:r>
        <w:t xml:space="preserve"> </w:t>
      </w:r>
      <w:r>
        <w:t xml:space="preserve">(1972)</w:t>
      </w:r>
      <w:r>
        <w:t xml:space="preserve">,</w:t>
      </w:r>
      <w:r>
        <w:t xml:space="preserve"> </w:t>
      </w:r>
      <w:r>
        <w:t xml:space="preserve">which</w:t>
      </w:r>
      <w:r>
        <w:t xml:space="preserve"> </w:t>
      </w:r>
      <w:r>
        <w:t xml:space="preserve">was</w:t>
      </w:r>
      <w:r>
        <w:t xml:space="preserve"> </w:t>
      </w:r>
      <w:r>
        <w:t xml:space="preserve">based</w:t>
      </w:r>
      <w:r>
        <w:t xml:space="preserve"> </w:t>
      </w:r>
      <w:r>
        <w:t xml:space="preserve">on</w:t>
      </w:r>
      <w:r>
        <w:t xml:space="preserve"> </w:t>
      </w:r>
      <w:r>
        <w:t xml:space="preserve">only</w:t>
      </w:r>
      <w:r>
        <w:t xml:space="preserve"> </w:t>
      </w:r>
      <w:r>
        <w:t xml:space="preserve">2</w:t>
      </w:r>
      <w:r>
        <w:t xml:space="preserve"> </w:t>
      </w:r>
      <w:r>
        <w:t xml:space="preserve">years</w:t>
      </w:r>
      <w:r>
        <w:t xml:space="preserve"> </w:t>
      </w:r>
      <w:r>
        <w:t xml:space="preserve">of</w:t>
      </w:r>
      <w:r>
        <w:t xml:space="preserve"> </w:t>
      </w:r>
      <w:r>
        <w:t xml:space="preserve">data</w:t>
      </w:r>
      <w:r>
        <w:t xml:space="preserve"> </w:t>
      </w:r>
      <w:r>
        <w:t xml:space="preserve">before</w:t>
      </w:r>
      <w:r>
        <w:t xml:space="preserve"> </w:t>
      </w:r>
      <w:r>
        <w:t xml:space="preserve">the</w:t>
      </w:r>
      <w:r>
        <w:t xml:space="preserve"> </w:t>
      </w:r>
      <w:r>
        <w:t xml:space="preserve">advent</w:t>
      </w:r>
      <w:r>
        <w:t xml:space="preserve"> </w:t>
      </w:r>
      <w:r>
        <w:t xml:space="preserve">of</w:t>
      </w:r>
      <w:r>
        <w:t xml:space="preserve"> </w:t>
      </w:r>
      <w:r>
        <w:t xml:space="preserve">modern</w:t>
      </w:r>
      <w:r>
        <w:t xml:space="preserve"> </w:t>
      </w:r>
      <w:r>
        <w:t xml:space="preserve">reanalysis.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devised</w:t>
      </w:r>
      <w:r>
        <w:t xml:space="preserve"> </w:t>
      </w:r>
      <w:r>
        <w:t xml:space="preserve">a</w:t>
      </w:r>
      <w:r>
        <w:t xml:space="preserve"> </w:t>
      </w:r>
      <w:r>
        <w:t xml:space="preserve">quantitative</w:t>
      </w:r>
      <w:r>
        <w:t xml:space="preserve"> </w:t>
      </w:r>
      <w:r>
        <w:t xml:space="preserve">measure</w:t>
      </w:r>
      <w:r>
        <w:t xml:space="preserve"> </w:t>
      </w:r>
      <w:r>
        <w:t xml:space="preserve">of</w:t>
      </w:r>
      <w:r>
        <w:t xml:space="preserve"> </w:t>
      </w:r>
      <w:r>
        <w:t xml:space="preserve">planetary</w:t>
      </w:r>
      <w:r>
        <w:t xml:space="preserve"> </w:t>
      </w:r>
      <w:r>
        <w:t xml:space="preserve">wave</w:t>
      </w:r>
      <w:r>
        <w:t xml:space="preserve"> </w:t>
      </w:r>
      <w:r>
        <w:t xml:space="preserve">stationarity</w:t>
      </w:r>
      <w:r>
        <w:t xml:space="preserve"> </w:t>
      </w:r>
      <w:r>
        <w:t xml:space="preserve">and</w:t>
      </w:r>
      <w:r>
        <w:t xml:space="preserve"> </w:t>
      </w:r>
      <w:r>
        <w:t xml:space="preserve">applied</w:t>
      </w:r>
      <w:r>
        <w:t xml:space="preserve"> </w:t>
      </w:r>
      <w:r>
        <w:t xml:space="preserve">it</w:t>
      </w:r>
      <w:r>
        <w:t xml:space="preserve"> </w:t>
      </w:r>
      <w:r>
        <w:t xml:space="preserve">to</w:t>
      </w:r>
      <w:r>
        <w:t xml:space="preserve"> </w:t>
      </w:r>
      <w:r>
        <w:t xml:space="preserve">both</w:t>
      </w:r>
      <w:r>
        <w:t xml:space="preserve"> </w:t>
      </w:r>
      <w:r>
        <w:t xml:space="preserve">hemispheres</w:t>
      </w:r>
      <w:r>
        <w:t xml:space="preserve"> </w:t>
      </w:r>
      <w:r>
        <w:t xml:space="preserve">using</w:t>
      </w:r>
      <w:r>
        <w:t xml:space="preserve"> </w:t>
      </w:r>
      <w:r>
        <w:t xml:space="preserve">the</w:t>
      </w:r>
      <w:r>
        <w:t xml:space="preserve"> </w:t>
      </w:r>
      <w:r>
        <w:t xml:space="preserve">NCEP</w:t>
      </w:r>
      <w:r>
        <w:t xml:space="preserve"> </w:t>
      </w:r>
      <w:r>
        <w:t xml:space="preserve">Reanalysis.</w:t>
      </w:r>
      <w:r>
        <w:t xml:space="preserve"> </w:t>
      </w:r>
      <w:r>
        <w:t xml:space="preserve">We</w:t>
      </w:r>
      <w:r>
        <w:t xml:space="preserve"> </w:t>
      </w:r>
      <w:r>
        <w:t xml:space="preserve">show</w:t>
      </w:r>
      <w:r>
        <w:t xml:space="preserve"> </w:t>
      </w:r>
      <w:r>
        <w:t xml:space="preserve">that</w:t>
      </w:r>
      <w:r>
        <w:t xml:space="preserve"> </w:t>
      </w:r>
      <w:r>
        <w:t xml:space="preserve">in</w:t>
      </w:r>
      <w:r>
        <w:t xml:space="preserve"> </w:t>
      </w:r>
      <w:r>
        <w:t xml:space="preserve">the</w:t>
      </w:r>
      <w:r>
        <w:t xml:space="preserve"> </w:t>
      </w:r>
      <w:r>
        <w:t xml:space="preserve">southern</w:t>
      </w:r>
      <w:r>
        <w:t xml:space="preserve"> </w:t>
      </w:r>
      <w:r>
        <w:t xml:space="preserve">hemisphere</w:t>
      </w:r>
      <w:r>
        <w:t xml:space="preserve"> </w:t>
      </w:r>
      <w:r>
        <w:t xml:space="preserve">planetary</w:t>
      </w:r>
      <w:r>
        <w:t xml:space="preserve"> </w:t>
      </w:r>
      <w:r>
        <w:t xml:space="preserve">wave</w:t>
      </w:r>
      <w:r>
        <w:t xml:space="preserve"> </w:t>
      </w:r>
      <w:r>
        <w:t xml:space="preserve">1</w:t>
      </w:r>
      <w:r>
        <w:t xml:space="preserve"> </w:t>
      </w:r>
      <w:r>
        <w:t xml:space="preserve">is</w:t>
      </w:r>
      <w:r>
        <w:t xml:space="preserve"> </w:t>
      </w:r>
      <w:r>
        <w:t xml:space="preserve">highly</w:t>
      </w:r>
      <w:r>
        <w:t xml:space="preserve"> </w:t>
      </w:r>
      <w:r>
        <w:t xml:space="preserve">stationary</w:t>
      </w:r>
      <w:r>
        <w:t xml:space="preserve"> </w:t>
      </w:r>
      <w:r>
        <w:t xml:space="preserve">while</w:t>
      </w:r>
      <w:r>
        <w:t xml:space="preserve"> </w:t>
      </w:r>
      <w:r>
        <w:t xml:space="preserve">planetary</w:t>
      </w:r>
      <w:r>
        <w:t xml:space="preserve"> </w:t>
      </w:r>
      <w:r>
        <w:t xml:space="preserve">waves</w:t>
      </w:r>
      <w:r>
        <w:t xml:space="preserve"> </w:t>
      </w:r>
      <w:r>
        <w:t xml:space="preserve">2</w:t>
      </w:r>
      <w:r>
        <w:t xml:space="preserve"> </w:t>
      </w:r>
      <w:r>
        <w:t xml:space="preserve">and</w:t>
      </w:r>
      <w:r>
        <w:t xml:space="preserve"> </w:t>
      </w:r>
      <w:r>
        <w:t xml:space="preserve">3</w:t>
      </w:r>
      <w:r>
        <w:t xml:space="preserve"> </w:t>
      </w:r>
      <w:r>
        <w:t xml:space="preserve">have</w:t>
      </w:r>
      <w:r>
        <w:t xml:space="preserve"> </w:t>
      </w:r>
      <w:r>
        <w:t xml:space="preserve">a</w:t>
      </w:r>
      <w:r>
        <w:t xml:space="preserve"> </w:t>
      </w:r>
      <w:r>
        <w:t xml:space="preserve">comparable</w:t>
      </w:r>
      <w:r>
        <w:t xml:space="preserve"> </w:t>
      </w:r>
      <w:r>
        <w:t xml:space="preserve">mixture</w:t>
      </w:r>
      <w:r>
        <w:t xml:space="preserve"> </w:t>
      </w:r>
      <w:r>
        <w:t xml:space="preserve">of</w:t>
      </w:r>
      <w:r>
        <w:t xml:space="preserve"> </w:t>
      </w:r>
      <w:r>
        <w:t xml:space="preserve">starionary</w:t>
      </w:r>
      <w:r>
        <w:t xml:space="preserve"> </w:t>
      </w:r>
      <w:r>
        <w:t xml:space="preserve">and</w:t>
      </w:r>
      <w:r>
        <w:t xml:space="preserve"> </w:t>
      </w:r>
      <w:r>
        <w:t xml:space="preserve">moving</w:t>
      </w:r>
      <w:r>
        <w:t xml:space="preserve"> </w:t>
      </w:r>
      <w:r>
        <w:t xml:space="preserve">components</w:t>
      </w:r>
      <w:r>
        <w:t xml:space="preserve"> </w:t>
      </w:r>
      <w:r>
        <w:t xml:space="preserve">with</w:t>
      </w:r>
      <w:r>
        <w:t xml:space="preserve"> </w:t>
      </w:r>
      <w:r>
        <w:t xml:space="preserve">significant</w:t>
      </w:r>
      <w:r>
        <w:t xml:space="preserve"> </w:t>
      </w:r>
      <w:r>
        <w:t xml:space="preserve">decadal</w:t>
      </w:r>
      <w:r>
        <w:t xml:space="preserve"> </w:t>
      </w:r>
      <w:r>
        <w:t xml:space="preserve">variability.</w:t>
      </w:r>
      <w:r>
        <w:t xml:space="preserve"> </w:t>
      </w:r>
      <w:r>
        <w:t xml:space="preserve">These</w:t>
      </w:r>
      <w:r>
        <w:t xml:space="preserve"> </w:t>
      </w:r>
      <w:r>
        <w:t xml:space="preserve">variations</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study</w:t>
      </w:r>
      <w:r>
        <w:t xml:space="preserve"> </w:t>
      </w:r>
      <w:r>
        <w:t xml:space="preserve">variability</w:t>
      </w:r>
      <w:r>
        <w:t xml:space="preserve"> </w:t>
      </w:r>
      <w:r>
        <w:t xml:space="preserve">in</w:t>
      </w:r>
      <w:r>
        <w:t xml:space="preserve"> </w:t>
      </w:r>
      <w:r>
        <w:t xml:space="preserve">surface</w:t>
      </w:r>
      <w:r>
        <w:t xml:space="preserve"> </w:t>
      </w:r>
      <w:r>
        <w:t xml:space="preserve">forcing</w:t>
      </w:r>
      <w:r>
        <w:t xml:space="preserve"> </w:t>
      </w:r>
      <w:r>
        <w:t xml:space="preserve">responses</w:t>
      </w:r>
      <w:r>
        <w:t xml:space="preserve"> </w:t>
      </w:r>
      <w:r>
        <w:t xml:space="preserve">caused</w:t>
      </w:r>
      <w:r>
        <w:t xml:space="preserve"> </w:t>
      </w:r>
      <w:r>
        <w:t xml:space="preserve">either</w:t>
      </w:r>
      <w:r>
        <w:t xml:space="preserve"> </w:t>
      </w:r>
      <w:r>
        <w:t xml:space="preserve">by</w:t>
      </w:r>
      <w:r>
        <w:t xml:space="preserve"> </w:t>
      </w:r>
      <w:r>
        <w:t xml:space="preserve">the</w:t>
      </w:r>
      <w:r>
        <w:t xml:space="preserve"> </w:t>
      </w:r>
      <w:r>
        <w:t xml:space="preserve">strength</w:t>
      </w:r>
      <w:r>
        <w:t xml:space="preserve"> </w:t>
      </w:r>
      <w:r>
        <w:t xml:space="preserve">of</w:t>
      </w:r>
      <w:r>
        <w:t xml:space="preserve"> </w:t>
      </w:r>
      <w:r>
        <w:t xml:space="preserve">the</w:t>
      </w:r>
      <w:r>
        <w:t xml:space="preserve"> </w:t>
      </w:r>
      <w:r>
        <w:t xml:space="preserve">forcing</w:t>
      </w:r>
      <w:r>
        <w:t xml:space="preserve"> </w:t>
      </w:r>
      <w:r>
        <w:t xml:space="preserve">or</w:t>
      </w:r>
      <w:r>
        <w:t xml:space="preserve"> </w:t>
      </w:r>
      <w:r>
        <w:t xml:space="preserve">the</w:t>
      </w:r>
      <w:r>
        <w:t xml:space="preserve"> </w:t>
      </w:r>
      <w:r>
        <w:t xml:space="preserve">sensitivity</w:t>
      </w:r>
      <w:r>
        <w:t xml:space="preserve"> </w:t>
      </w:r>
      <w:r>
        <w:t xml:space="preserve">of</w:t>
      </w:r>
      <w:r>
        <w:t xml:space="preserve"> </w:t>
      </w:r>
      <w:r>
        <w:t xml:space="preserve">the</w:t>
      </w:r>
      <w:r>
        <w:t xml:space="preserve"> </w:t>
      </w:r>
      <w:r>
        <w:t xml:space="preserve">atmosphere</w:t>
      </w:r>
      <w:r>
        <w:t xml:space="preserve"> </w:t>
      </w:r>
      <w:r>
        <w:t xml:space="preserve">to</w:t>
      </w:r>
      <w:r>
        <w:t xml:space="preserve"> </w:t>
      </w:r>
      <w:r>
        <w:t xml:space="preserve">the</w:t>
      </w:r>
      <w:r>
        <w:t xml:space="preserve"> </w:t>
      </w:r>
      <w:r>
        <w:t xml:space="preserve">forcing.</w:t>
      </w:r>
    </w:p>
    <w:p>
      <w:pPr>
        <w:pStyle w:val="Heading1"/>
      </w:pPr>
      <w:bookmarkStart w:id="20" w:name="introduction"/>
      <w:r>
        <w:t xml:space="preserve">Introduction</w:t>
      </w:r>
      <w:bookmarkEnd w:id="20"/>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(REFS), and by contributing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have assumed the quasi-stationary nature of southern hemisphere planetary waves based on</w:t>
      </w:r>
      <w:r>
        <w:t xml:space="preserve"> </w:t>
      </w:r>
      <w:r>
        <w:t xml:space="preserve">Loon and Jenne (1972)</w:t>
      </w:r>
      <w:r>
        <w:t xml:space="preserve">. In this foundational study, the authors analyzed data only from two years,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study has quantified the level of stationarity of each wavenumber.</w:t>
      </w:r>
    </w:p>
    <w:p>
      <w:pPr>
        <w:pStyle w:val="BodyText"/>
      </w:pPr>
      <w:r>
        <w:t xml:space="preserve">After more than four decades from the publication of</w:t>
      </w:r>
      <w:r>
        <w:t xml:space="preserve"> </w:t>
      </w:r>
      <w:r>
        <w:t xml:space="preserve">Loon and Jenne (1972)</w:t>
      </w:r>
      <w:r>
        <w:t xml:space="preserve">, and considering the current availability of different global reanalysis datasets, in this study we assess the stationarity features of planetary waves in the southern hemisphere, and extend</w:t>
      </w:r>
      <w:r>
        <w:t xml:space="preserve"> </w:t>
      </w:r>
      <w:r>
        <w:t xml:space="preserve">Loon and Jenne (1972)</w:t>
      </w:r>
      <w:r>
        <w:t xml:space="preserve">’s methodology into a quantitative measure of planetary wave stationarity, which we apply to both hemispheres.</w:t>
      </w:r>
    </w:p>
    <w:p>
      <w:pPr>
        <w:pStyle w:val="Heading1"/>
      </w:pPr>
      <w:bookmarkStart w:id="21" w:name="methods"/>
      <w:r>
        <w:t xml:space="preserve">Methods</w:t>
      </w:r>
      <w:bookmarkEnd w:id="21"/>
    </w:p>
    <w:p>
      <w:pPr>
        <w:pStyle w:val="Heading2"/>
      </w:pPr>
      <w:bookmarkStart w:id="22" w:name="planetary-waves"/>
      <w:r>
        <w:t xml:space="preserve">Planetary waves</w:t>
      </w:r>
      <w:bookmarkEnd w:id="22"/>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one annual quasi-stationary wave but 12 monthly quasi-stationary waves (per level and latitude). A 30 year dataset of monthly mean fields define 360 monthly zonal waves and one 30-year quasi-stationary wave. Monthly planetary waves are quasi-stationary waves in the first case and zonal waves in the second, remarking that the definition of quasi-stationary waves is dependent of the time sampling considered.</w:t>
      </w:r>
    </w:p>
    <w:p>
      <w:pPr>
        <w:pStyle w:val="Heading2"/>
      </w:pPr>
      <w:bookmarkStart w:id="23" w:name="stationarity"/>
      <w:r>
        <w:t xml:space="preserve">Stationarity</w:t>
      </w:r>
      <w:bookmarkEnd w:id="23"/>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 to</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as a measure of quasi-stationary wave stationarity such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oMath>
      <w:r>
        <w:t xml:space="preserve"> </w:t>
      </w:r>
      <w:r>
        <w:t xml:space="preserve">is equal to 1 regardless of sample size.</w:t>
      </w:r>
    </w:p>
    <w:p>
      <w:pPr>
        <w:pStyle w:val="BodyText"/>
      </w:pPr>
      <m:oMath>
        <m:acc>
          <m:accPr>
            <m:chr m:val="̂"/>
          </m:accPr>
          <m:e>
            <m:r>
              <m:t>S</m:t>
            </m:r>
          </m:e>
        </m:acc>
      </m:oMath>
      <w:r>
        <w:t xml:space="preserve"> </w:t>
      </w:r>
      <w:r>
        <w:t xml:space="preserve">is used –sometimes 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(Singer 1967)</w:t>
      </w:r>
      <w:r>
        <w:t xml:space="preserve">– in the meteorological literature in the context of wind steadiness</w:t>
      </w:r>
      <w:r>
        <w:t xml:space="preserve"> </w:t>
      </w:r>
      <w:r>
        <w:t xml:space="preserve">(e.g Hiscox, Miller, and Nappo 2010)</w:t>
      </w:r>
      <w:r>
        <w:t xml:space="preserve">. To our knowledge this is the first time to be applied to the study of atmospheric waves.</w:t>
      </w:r>
    </w:p>
    <w:p>
      <w:pPr>
        <w:pStyle w:val="BodyText"/>
      </w:pPr>
      <m:oMath>
        <m:acc>
          <m:accPr>
            <m:chr m:val="̂"/>
          </m:accPr>
          <m:e>
            <m:r>
              <m:t>S</m:t>
            </m:r>
          </m:e>
        </m:acc>
      </m:oMath>
      <w:r>
        <w:t xml:space="preserve"> </w:t>
      </w:r>
      <w:r>
        <w:t xml:space="preserve">could be equivalent formulated as</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And because it does not depend on the propagating properties of waves,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4" w:name="data"/>
      <w:r>
        <w:t xml:space="preserve">Data</w:t>
      </w:r>
      <w:bookmarkEnd w:id="24"/>
    </w:p>
    <w:p>
      <w:pPr>
        <w:pStyle w:val="FirstParagraph"/>
      </w:pPr>
      <w:r>
        <w:t xml:space="preserve">We use monthly geopotential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for each latitude circle, level and monthly record. We also analyzed data from ERA Interim</w:t>
      </w:r>
      <w:r>
        <w:t xml:space="preserve"> </w:t>
      </w:r>
      <w:r>
        <w:t xml:space="preserve">(Uppala et al. 2011)</w:t>
      </w:r>
      <w:r>
        <w:t xml:space="preserve"> </w:t>
      </w:r>
      <w:r>
        <w:t xml:space="preserve">and confirmed that we get similar results.</w:t>
      </w:r>
    </w:p>
    <w:p>
      <w:pPr>
        <w:pStyle w:val="BodyText"/>
      </w:pPr>
      <w:r>
        <w:t xml:space="preserve">We analyzed the data using the statistical programming language R</w:t>
      </w:r>
      <w:r>
        <w:t xml:space="preserve"> </w:t>
      </w:r>
      <w:r>
        <w:t xml:space="preserve">(R Core Team 2018)</w:t>
      </w:r>
      <w:r>
        <w:t xml:space="preserve">, using data.table</w:t>
      </w:r>
      <w:r>
        <w:t xml:space="preserve"> </w:t>
      </w:r>
      <w:r>
        <w:t xml:space="preserve">(Dowle and Srinivasan 2018)</w:t>
      </w:r>
      <w:r>
        <w:t xml:space="preserve"> </w:t>
      </w:r>
      <w:r>
        <w:t xml:space="preserve">and metR</w:t>
      </w:r>
      <w:r>
        <w:t xml:space="preserve"> </w:t>
      </w:r>
      <w:r>
        <w:t xml:space="preserve">(Campitelli 2018)</w:t>
      </w:r>
      <w:r>
        <w:t xml:space="preserve"> </w:t>
      </w:r>
      <w:r>
        <w:t xml:space="preserve">packages 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2019)</w:t>
      </w:r>
      <w:r>
        <w:t xml:space="preserve">.</w:t>
      </w:r>
    </w:p>
    <w:p>
      <w:pPr>
        <w:pStyle w:val="Heading1"/>
      </w:pPr>
      <w:bookmarkStart w:id="25" w:name="results"/>
      <w:r>
        <w:t xml:space="preserve">Results</w:t>
      </w:r>
      <w:bookmarkEnd w:id="25"/>
    </w:p>
    <w:p>
      <w:pPr>
        <w:pStyle w:val="FirstParagraph"/>
      </w:pPr>
      <w:r>
        <w:drawing>
          <wp:inline>
            <wp:extent cx="4620126" cy="3696101"/>
            <wp:effectExtent b="0" l="0" r="0" t="0"/>
            <wp:docPr descr="Seasonal cycle of amplitude of the geopotential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using monthly fields from the NCEP/NCAR reanalysis</w:t>
      </w:r>
      <w:r>
        <w:t xml:space="preserve"> </w:t>
      </w:r>
      <w:r>
        <w:t xml:space="preserve">(Kalnay et al. 1996)</w:t>
      </w:r>
      <w:r>
        <w:t xml:space="preserve"> </w:t>
      </w:r>
      <w:r>
        <w:t xml:space="preserve">between 1948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at 50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has much lower values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of the geopotential planetary waves 1, 2 and 3 (top, middle and bottom rows, respectively) at 50N and 50S (left and right columns, respectively) computed using Equation . The black line marks \hat{S} = 0.4 for reference." title="" id="1" name="Picture"/>
            <a:graphic>
              <a:graphicData uri="http://schemas.openxmlformats.org/drawingml/2006/picture">
                <pic:pic>
                  <pic:nvPicPr>
                    <pic:cNvPr descr="fig/QS-ZW/stationar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of the geopotential planetary waves 1, 2 and 3 (top, middle and bottom rows, respectively) at 50</w:t>
      </w:r>
      <w:r>
        <w:t xml:space="preserve">N and 50</w:t>
      </w:r>
      <w:r>
        <w:t xml:space="preserve">S (left and right columns, respectively) computed using Equation</w:t>
      </w:r>
      <w:r>
        <w:t xml:space="preserve"> </w:t>
      </w:r>
      <w:r>
        <w:t xml:space="preserve">. The black line marks</w:t>
      </w:r>
      <w:r>
        <w:t xml:space="preserve"> </w:t>
      </w:r>
      <m:oMath>
        <m:acc>
          <m:accPr>
            <m:chr m:val="̂"/>
          </m:accPr>
          <m:e>
            <m:r>
              <m:t>S</m:t>
            </m:r>
          </m:e>
        </m:acc>
        <m:r>
          <m:t>=</m:t>
        </m:r>
        <m:r>
          <m:t>0.4</m:t>
        </m:r>
      </m:oMath>
      <w:r>
        <w:t xml:space="preserve"> </w:t>
      </w:r>
      <w:r>
        <w:t xml:space="preserve">for reference.</w:t>
      </w:r>
    </w:p>
    <w:p>
      <w:pPr>
        <w:pStyle w:val="BodyText"/>
      </w:pPr>
      <w:r>
        <w:t xml:space="preserve">The differences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southern hemisphere, planetary wave 2 stationarity has a semiannual cycle. It reaches its maximum in April and in August-September, decreasing to a deep minimum centered in June. Planetary wave 3 stationarity peaks in February and slowly decreases towards a November deep minimum after which increases sharply.</w:t>
      </w:r>
    </w:p>
    <w:p>
      <w:pPr>
        <w:pStyle w:val="CaptionedFigure"/>
      </w:pPr>
      <w:r>
        <w:drawing>
          <wp:inline>
            <wp:extent cx="4620126" cy="3696101"/>
            <wp:effectExtent b="0" l="0" r="0" t="0"/>
            <wp:docPr descr="Stationarity for wavenumbers 1 to 3 at 50N and 50S (top and bottom panels, respectively) at 500hPa." title="" id="1" name="Picture"/>
            <a:graphic>
              <a:graphicData uri="http://schemas.openxmlformats.org/drawingml/2006/picture">
                <pic:pic>
                  <pic:nvPicPr>
                    <pic:cNvPr descr="fig/QS-ZW/s-time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Stationarity for wavenumbers 1 to 3 at 50</w:t>
      </w:r>
      <w:r>
        <w:t xml:space="preserve">N and 50</w:t>
      </w:r>
      <w:r>
        <w:t xml:space="preserve">S (top and bottom panels, respectively) at 500hPa.</w:t>
      </w:r>
    </w:p>
    <w:p>
      <w:pPr>
        <w:pStyle w:val="BodyText"/>
      </w:pPr>
      <w:r>
        <w:t xml:space="preserve">As we computed</w:t>
      </w:r>
      <w:r>
        <w:t xml:space="preserve"> </w:t>
      </w:r>
      <m:oMath>
        <m:acc>
          <m:accPr>
            <m:chr m:val="̂"/>
          </m:accPr>
          <m:e>
            <m:r>
              <m:t>S</m:t>
            </m:r>
          </m:e>
        </m:acc>
      </m:oMath>
      <w:r>
        <w:t xml:space="preserve"> </w:t>
      </w:r>
      <w:r>
        <w:t xml:space="preserve">using the whole period for Figure</w:t>
      </w:r>
      <w:r>
        <w:t xml:space="preserve"> </w:t>
      </w:r>
      <w:r>
        <w:t xml:space="preserve">, it represents the mean stationarity between 1948 and 2017. To analyse changes of stationarity over time, we computed</w:t>
      </w:r>
      <w:r>
        <w:t xml:space="preserve"> </w:t>
      </w:r>
      <m:oMath>
        <m:acc>
          <m:accPr>
            <m:chr m:val="̂"/>
          </m:accPr>
          <m:e>
            <m:r>
              <m:t>S</m:t>
            </m:r>
          </m:e>
        </m:acc>
      </m:oMath>
      <w:r>
        <w:t xml:space="preserve"> </w:t>
      </w:r>
      <w:r>
        <w:t xml:space="preserve">using 10 year overlaping intervals for each wavenumber at both studied latitudes (Figure</w:t>
      </w:r>
      <w:r>
        <w:t xml:space="preserve"> </w:t>
      </w:r>
      <w:r>
        <w:t xml:space="preserve">). Planetary wave stationarity remained high and constant for wavenumbers 1 to 3 at 50</w:t>
      </w:r>
      <w:r>
        <w:t xml:space="preserve">N and 1 at 50</w:t>
      </w:r>
      <w:r>
        <w:t xml:space="preserve">S but wavenumbers 2 and 3 at 50</w:t>
      </w:r>
      <w:r>
        <w:t xml:space="preserve">S show interdecadal variations.</w:t>
      </w:r>
    </w:p>
    <w:p>
      <w:pPr>
        <w:pStyle w:val="BodyText"/>
      </w:pPr>
      <w:r>
        <w:t xml:space="preserve">Planetary wave 2 stationarity oscillated around 0.5 with maximums in the 50’s, 70’s and 00’s. Planetary wave 3 stationarity jumped from zero to more than 0.5 in less than five years in the 50’s and then oscillated around 0.6 with a strong maximum in the late 80’s.</w:t>
      </w:r>
    </w:p>
    <w:p>
      <w:pPr>
        <w:pStyle w:val="BodyText"/>
      </w:pPr>
      <w:r>
        <w:t xml:space="preserve">Results from ERA Interim (not shown) coincide during the period of overlap (1979-2018), suggesting that the observed decadal variations are not an artifact of the reanalysis. For the later period, the sudden shift in planetary wave 3 stationarity between 1950 and 1960 is probably spurious and we couldn’t find it using data from ERA 20C (not shown).</w:t>
      </w:r>
    </w:p>
    <w:p>
      <w:pPr>
        <w:pStyle w:val="Heading1"/>
      </w:pPr>
      <w:bookmarkStart w:id="30" w:name="conclusions"/>
      <w:r>
        <w:t xml:space="preserve">Conclusions</w:t>
      </w:r>
      <w:bookmarkEnd w:id="30"/>
    </w:p>
    <w:p>
      <w:pPr>
        <w:pStyle w:val="FirstParagraph"/>
      </w:pPr>
      <w:r>
        <w:t xml:space="preserve">We used a quantitative measure of planetary wave stationarity to show that in the southern hemisphere planetary wave 1 stationarity is high and constant throughout the year and period, while waves 2 and 3 vary both in intraseasonal and interdecadal timescales. In the northern hemisphere, planetary wave stationarity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 (REF), which explains their highly and not variable stationary nature. In the southern hemisphere, only planetary wave 1 seems to be the result of mainly surface forcings. Planetary waves 2 and 3 seem to be composed of a comparable mix of internal variability and surface forcing components.</w:t>
      </w:r>
    </w:p>
    <w:p>
      <w:pPr>
        <w:pStyle w:val="BodyText"/>
      </w:pPr>
      <w:r>
        <w:t xml:space="preserve">Interannual and intradecadal variability in planetary wave stationarity may serve to study variability in surface forcing responses caused either by the strength of the forcing or the sensitivity of mean state of the atmosphere.</w:t>
      </w:r>
    </w:p>
    <w:p>
      <w:pPr>
        <w:pStyle w:val="BodyText"/>
      </w:pPr>
      <w:r>
        <w:t xml:space="preserve">Since in the southern hemisphere the amplitude of the mean planetary wave can differ greatly from the mean amplitude of planetary waves, care must be taken when interpreting the literature. Some studies analyze the former</w:t>
      </w:r>
      <w:r>
        <w:t xml:space="preserve"> </w:t>
      </w:r>
      <w:r>
        <w:t xml:space="preserve">(e.g. Loon and Jenne 1972, @Quintanar1995a, @Raphael2004)</w:t>
      </w:r>
      <w:r>
        <w:t xml:space="preserve"> </w:t>
      </w:r>
      <w:r>
        <w:t xml:space="preserve">while others analyze the later</w:t>
      </w:r>
      <w:r>
        <w:t xml:space="preserve"> </w:t>
      </w:r>
      <w:r>
        <w:t xml:space="preserve">(e.g. Rao, Fernandez, and Franchito 2004, @Turner2017, @Irving2015)</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bookmarkStart w:id="67" w:name="refs"/>
    <w:bookmarkStart w:id="32"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1">
        <w:r>
          <w:rPr>
            <w:rStyle w:val="Hyperlink"/>
          </w:rPr>
          <w:t xml:space="preserve">https://github.com/eliocamp/metR</w:t>
        </w:r>
      </w:hyperlink>
      <w:r>
        <w:t xml:space="preserve">.</w:t>
      </w:r>
    </w:p>
    <w:bookmarkEnd w:id="32"/>
    <w:bookmarkStart w:id="34" w:name="ref-Campitelli2019-figshare"/>
    <w:p>
      <w:pPr>
        <w:pStyle w:val="Bibliography"/>
      </w:pPr>
      <w:r>
        <w:t xml:space="preserve">———. 2019. “How stationary are planetary waves in the Southern Hemisphere?: supplementary data.”</w:t>
      </w:r>
      <w:r>
        <w:t xml:space="preserve"> </w:t>
      </w:r>
      <w:hyperlink r:id="rId33">
        <w:r>
          <w:rPr>
            <w:rStyle w:val="Hyperlink"/>
          </w:rPr>
          <w:t xml:space="preserve">https://doi.org/10.6084/m9.figshare.7599890</w:t>
        </w:r>
      </w:hyperlink>
      <w:r>
        <w:t xml:space="preserve">.</w:t>
      </w:r>
    </w:p>
    <w:bookmarkEnd w:id="34"/>
    <w:bookmarkStart w:id="36"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35">
        <w:r>
          <w:rPr>
            <w:rStyle w:val="Hyperlink"/>
          </w:rPr>
          <w:t xml:space="preserve">http://r-datatable.com</w:t>
        </w:r>
      </w:hyperlink>
      <w:r>
        <w:t xml:space="preserve">.</w:t>
      </w:r>
    </w:p>
    <w:bookmarkEnd w:id="36"/>
    <w:bookmarkStart w:id="38"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37">
        <w:r>
          <w:rPr>
            <w:rStyle w:val="Hyperlink"/>
          </w:rPr>
          <w:t xml:space="preserve">https://doi.org/10.1029/2010JD014102</w:t>
        </w:r>
      </w:hyperlink>
      <w:r>
        <w:t xml:space="preserve">.</w:t>
      </w:r>
    </w:p>
    <w:bookmarkEnd w:id="38"/>
    <w:bookmarkStart w:id="40" w:name="ref-Holton2012"/>
    <w:p>
      <w:pPr>
        <w:pStyle w:val="Bibliography"/>
      </w:pPr>
      <w:r>
        <w:t xml:space="preserve">Holton, James R., and Gregory J. Hakim. 2012.</w:t>
      </w:r>
      <w:r>
        <w:t xml:space="preserve"> </w:t>
      </w:r>
      <w:r>
        <w:rPr>
          <w:i/>
        </w:rPr>
        <w:t xml:space="preserve">An introduction to dynamic meteorology: Fifth edition</w:t>
      </w:r>
      <w:r>
        <w:t xml:space="preserve">.</w:t>
      </w:r>
      <w:r>
        <w:t xml:space="preserve"> </w:t>
      </w:r>
      <w:hyperlink r:id="rId39">
        <w:r>
          <w:rPr>
            <w:rStyle w:val="Hyperlink"/>
          </w:rPr>
          <w:t xml:space="preserve">https://doi.org/10.1016/C2009-0-63394-8</w:t>
        </w:r>
      </w:hyperlink>
      <w:r>
        <w:t xml:space="preserve">.</w:t>
      </w:r>
    </w:p>
    <w:bookmarkEnd w:id="40"/>
    <w:bookmarkStart w:id="42"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41">
        <w:r>
          <w:rPr>
            <w:rStyle w:val="Hyperlink"/>
          </w:rPr>
          <w:t xml:space="preserve">https://doi.org/10.1175/JCLI-D-15-0287.1</w:t>
        </w:r>
      </w:hyperlink>
      <w:r>
        <w:t xml:space="preserve">.</w:t>
      </w:r>
    </w:p>
    <w:bookmarkEnd w:id="42"/>
    <w:bookmarkStart w:id="44"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43">
        <w:r>
          <w:rPr>
            <w:rStyle w:val="Hyperlink"/>
          </w:rPr>
          <w:t xml:space="preserve">https://doi.org/10.1175/1520-0477(1996)077&lt;0437:TNYRP&gt;2.0.CO;2</w:t>
        </w:r>
      </w:hyperlink>
      <w:r>
        <w:t xml:space="preserve">.</w:t>
      </w:r>
    </w:p>
    <w:bookmarkEnd w:id="44"/>
    <w:bookmarkStart w:id="45"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45"/>
    <w:bookmarkStart w:id="47"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6">
        <w:r>
          <w:rPr>
            <w:rStyle w:val="Hyperlink"/>
          </w:rPr>
          <w:t xml:space="preserve">https://doi.org/10.1002/0470016957</w:t>
        </w:r>
      </w:hyperlink>
      <w:r>
        <w:t xml:space="preserve">.</w:t>
      </w:r>
    </w:p>
    <w:bookmarkEnd w:id="47"/>
    <w:bookmarkStart w:id="49"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8">
        <w:r>
          <w:rPr>
            <w:rStyle w:val="Hyperlink"/>
          </w:rPr>
          <w:t xml:space="preserve">https://doi.org/10.1175/1520-0442(1995)008&lt;2659:QSWITS&gt;2.0.CO;2</w:t>
        </w:r>
      </w:hyperlink>
      <w:r>
        <w:t xml:space="preserve">.</w:t>
      </w:r>
    </w:p>
    <w:bookmarkEnd w:id="49"/>
    <w:bookmarkStart w:id="50"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50"/>
    <w:bookmarkStart w:id="52"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51">
        <w:r>
          <w:rPr>
            <w:rStyle w:val="Hyperlink"/>
          </w:rPr>
          <w:t xml:space="preserve">https://doi.org/10.1029/2004GL020365</w:t>
        </w:r>
      </w:hyperlink>
      <w:r>
        <w:t xml:space="preserve">.</w:t>
      </w:r>
    </w:p>
    <w:bookmarkEnd w:id="52"/>
    <w:bookmarkStart w:id="54"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3">
        <w:r>
          <w:rPr>
            <w:rStyle w:val="Hyperlink"/>
          </w:rPr>
          <w:t xml:space="preserve">https://www.R-project.org/</w:t>
        </w:r>
      </w:hyperlink>
      <w:r>
        <w:t xml:space="preserve">.</w:t>
      </w:r>
    </w:p>
    <w:bookmarkEnd w:id="54"/>
    <w:bookmarkStart w:id="56"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55">
        <w:r>
          <w:rPr>
            <w:rStyle w:val="Hyperlink"/>
          </w:rPr>
          <w:t xml:space="preserve">https://doi.org/10.1175/1520-0450(1967)006&lt;1033:SOTW&gt;2.0.CO;2</w:t>
        </w:r>
      </w:hyperlink>
      <w:r>
        <w:t xml:space="preserve">.</w:t>
      </w:r>
    </w:p>
    <w:bookmarkEnd w:id="56"/>
    <w:bookmarkStart w:id="58"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57">
        <w:r>
          <w:rPr>
            <w:rStyle w:val="Hyperlink"/>
          </w:rPr>
          <w:t xml:space="preserve">https://doi.org/10.1029/2012JD017587,2012</w:t>
        </w:r>
      </w:hyperlink>
      <w:r>
        <w:t xml:space="preserve">.</w:t>
      </w:r>
    </w:p>
    <w:bookmarkEnd w:id="58"/>
    <w:bookmarkStart w:id="60" w:name="ref-Trenberth1985"/>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w:t>
      </w:r>
      <w:r>
        <w:t xml:space="preserve"> </w:t>
      </w:r>
      <w:hyperlink r:id="rId59">
        <w:r>
          <w:rPr>
            <w:rStyle w:val="Hyperlink"/>
          </w:rPr>
          <w:t xml:space="preserve">https://doi.org/10.1175/1520-0493(1985)113&lt;0003:BITSH&gt;2.0.CO;2</w:t>
        </w:r>
      </w:hyperlink>
      <w:r>
        <w:t xml:space="preserve">.</w:t>
      </w:r>
    </w:p>
    <w:bookmarkEnd w:id="60"/>
    <w:bookmarkStart w:id="62"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61">
        <w:r>
          <w:rPr>
            <w:rStyle w:val="Hyperlink"/>
          </w:rPr>
          <w:t xml:space="preserve">https://doi.org/10.1002/joc.4848</w:t>
        </w:r>
      </w:hyperlink>
      <w:r>
        <w:t xml:space="preserve">.</w:t>
      </w:r>
    </w:p>
    <w:bookmarkEnd w:id="62"/>
    <w:bookmarkStart w:id="64" w:name="ref-Uppala2011"/>
    <w:p>
      <w:pPr>
        <w:pStyle w:val="Bibliography"/>
      </w:pPr>
      <w:r>
        <w:t xml:space="preserve">Uppala, S. M., S. B. Healy, M. A. Balmaseda, P. de Rosnay, L. Isaksen, L. van de Berg, A. J. Geer, et al. 2011. “The ERA-Interim reanalysis: configuration and performance of the data assimilation system.”</w:t>
      </w:r>
      <w:r>
        <w:t xml:space="preserve"> </w:t>
      </w:r>
      <w:r>
        <w:rPr>
          <w:i/>
        </w:rPr>
        <w:t xml:space="preserve">Quarterly Journal of the Royal Meteorological Society</w:t>
      </w:r>
      <w:r>
        <w:t xml:space="preserve"> </w:t>
      </w:r>
      <w:r>
        <w:t xml:space="preserve">137 (656): 553–97.</w:t>
      </w:r>
      <w:r>
        <w:t xml:space="preserve"> </w:t>
      </w:r>
      <w:hyperlink r:id="rId63">
        <w:r>
          <w:rPr>
            <w:rStyle w:val="Hyperlink"/>
          </w:rPr>
          <w:t xml:space="preserve">https://doi.org/10.1002/qj.828</w:t>
        </w:r>
      </w:hyperlink>
      <w:r>
        <w:t xml:space="preserve">.</w:t>
      </w:r>
    </w:p>
    <w:bookmarkEnd w:id="64"/>
    <w:bookmarkStart w:id="66"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5">
        <w:r>
          <w:rPr>
            <w:rStyle w:val="Hyperlink"/>
          </w:rPr>
          <w:t xml:space="preserve">http://ggplot2.org</w:t>
        </w:r>
      </w:hyperlink>
      <w:r>
        <w:t xml:space="preserv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65"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1" Target="https://doi.org/10.1002/joc.4848" TargetMode="External" /><Relationship Type="http://schemas.openxmlformats.org/officeDocument/2006/relationships/hyperlink" Id="rId63" Target="https://doi.org/10.1002/qj.828" TargetMode="External" /><Relationship Type="http://schemas.openxmlformats.org/officeDocument/2006/relationships/hyperlink" Id="rId39" Target="https://doi.org/10.1016/C2009-0-63394-8" TargetMode="External" /><Relationship Type="http://schemas.openxmlformats.org/officeDocument/2006/relationships/hyperlink" Id="rId51"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7" Target="https://doi.org/10.1029/2012JD017587,2012" TargetMode="External" /><Relationship Type="http://schemas.openxmlformats.org/officeDocument/2006/relationships/hyperlink" Id="rId48" Target="https://doi.org/10.1175/1520-0442(1995)008&lt;2659:QSWITS&gt;2.0.CO;2" TargetMode="External" /><Relationship Type="http://schemas.openxmlformats.org/officeDocument/2006/relationships/hyperlink" Id="rId55"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59"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5"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1" Target="https://doi.org/10.1002/joc.4848" TargetMode="External" /><Relationship Type="http://schemas.openxmlformats.org/officeDocument/2006/relationships/hyperlink" Id="rId63" Target="https://doi.org/10.1002/qj.828" TargetMode="External" /><Relationship Type="http://schemas.openxmlformats.org/officeDocument/2006/relationships/hyperlink" Id="rId39" Target="https://doi.org/10.1016/C2009-0-63394-8" TargetMode="External" /><Relationship Type="http://schemas.openxmlformats.org/officeDocument/2006/relationships/hyperlink" Id="rId51"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7" Target="https://doi.org/10.1029/2012JD017587,2012" TargetMode="External" /><Relationship Type="http://schemas.openxmlformats.org/officeDocument/2006/relationships/hyperlink" Id="rId48" Target="https://doi.org/10.1175/1520-0442(1995)008&lt;2659:QSWITS&gt;2.0.CO;2" TargetMode="External" /><Relationship Type="http://schemas.openxmlformats.org/officeDocument/2006/relationships/hyperlink" Id="rId55"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59"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2019-04-01T15:06:43Z</dcterms:created>
  <dcterms:modified xsi:type="dcterms:W3CDTF">2019-04-01T15:06:43Z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Most studies of quasi stationary planetary waves have assumed the quasi stationary nature of southern hemisphere planetary waves based on Loon and Jenne (1972), which was based on only 2 years of data before the advent of modern reanalysis. In this study, we devised a quantitative measure of planetary wave stationarity and applied it to both hemispheres using the NCEP Reanalysis. We show that in the southern hemisphere planetary wave 1 is highly stationary while planetary waves 2 and 3 have a comparable mixture of starionary and moving components with significant decadal variability. These variations can be used to study variability in surface forcing responses caused either by the strength of the forcing or the sensitivity of the atmosphere to the forcing.</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lassoption">
    <vt:lpwstr>draft,linenumbers</vt:lpwstr>
  </property>
  <property fmtid="{D5CDD505-2E9C-101B-9397-08002B2CF9AE}" pid="7" name="corresponding_author">
    <vt:lpwstr/>
  </property>
  <property fmtid="{D5CDD505-2E9C-101B-9397-08002B2CF9AE}" pid="8" name="header-includes">
    <vt:lpwstr/>
  </property>
  <property fmtid="{D5CDD505-2E9C-101B-9397-08002B2CF9AE}" pid="9" name="journal">
    <vt:lpwstr>Geophysical Research Letters</vt:lpwstr>
  </property>
  <property fmtid="{D5CDD505-2E9C-101B-9397-08002B2CF9AE}" pid="10" name="keypoints">
    <vt:lpwstr/>
  </property>
  <property fmtid="{D5CDD505-2E9C-101B-9397-08002B2CF9AE}" pid="11" name="knit">
    <vt:lpwstr>(function(file, encoding, …) { rmarkdown::render(file, encoding = encoding, output_format = “all”)})</vt:lpwstr>
  </property>
  <property fmtid="{D5CDD505-2E9C-101B-9397-08002B2CF9AE}" pid="12" name="output">
    <vt:lpwstr/>
  </property>
  <property fmtid="{D5CDD505-2E9C-101B-9397-08002B2CF9AE}" pid="13" name="params">
    <vt:lpwstr/>
  </property>
</Properties>
</file>