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ゴシック" w:hAnsi="游ゴシック" w:eastAsia="游ゴシック"/>
          <w:b/>
          <w:color w:val="1E3A8A"/>
          <w:sz w:val="56"/>
        </w:rPr>
        <w:br/>
        <w:br/>
        <w:br/>
        <w:t>clear AI 株式会社</w:t>
        <w:br/>
        <w:t>事業計画書</w:t>
      </w:r>
    </w:p>
    <w:p>
      <w:pPr>
        <w:jc w:val="center"/>
      </w:pPr>
      <w:r>
        <w:rPr>
          <w:rFonts w:ascii="游明朝" w:hAnsi="游明朝" w:eastAsia="游明朝"/>
          <w:b/>
          <w:color w:val="2563EB"/>
          <w:sz w:val="26"/>
        </w:rPr>
        <w:br/>
        <w:t>学業と両立した、現実的な5カ年成長計画（2026–2030）</w:t>
      </w:r>
    </w:p>
    <w:p>
      <w:pPr>
        <w:jc w:val="center"/>
      </w:pPr>
      <w:r>
        <w:rPr>
          <w:rFonts w:ascii="游明朝" w:hAnsi="游明朝" w:eastAsia="游明朝"/>
          <w:b w:val="0"/>
          <w:color w:val="6B7280"/>
          <w:sz w:val="20"/>
        </w:rPr>
        <w:br/>
        <w:br/>
        <w:br/>
        <w:br/>
        <w:br/>
        <w:t>作成日：2026年4月 ／ Version 1.0</w:t>
      </w:r>
    </w:p>
    <w:p>
      <w:pPr>
        <w:jc w:val="center"/>
      </w:pPr>
      <w:r>
        <w:rPr>
          <w:rFonts w:ascii="游明朝" w:hAnsi="游明朝" w:eastAsia="游明朝"/>
          <w:b w:val="0"/>
          <w:color w:val="6B7280"/>
          <w:sz w:val="20"/>
        </w:rPr>
        <w:t>clear AI 株式会社　代表取締役　髙橋 敢輝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E3A8A"/>
          <w:sz w:val="32"/>
        </w:rPr>
        <w:t>0. エグゼクティブサマリー</w:t>
      </w:r>
    </w:p>
    <w:p>
      <w:r>
        <w:rPr>
          <w:rFonts w:ascii="游明朝" w:hAnsi="游明朝" w:eastAsia="游明朝"/>
          <w:b w:val="0"/>
          <w:sz w:val="21"/>
        </w:rPr>
        <w:t>clear AI株式会社は、代表が筑波大学での学業と両立しながら経営する、AIコンサルティング＋農業×エンジニアリングの二本柱スタートアップです。本計画書は、従前に掲げていた「2030年売上1000億円」という目標を現実的なラインへ再設定し、学業との両立を前提とした5カ年の段階的成長計画を示します。</w:t>
      </w:r>
    </w:p>
    <w:p>
      <w:r>
        <w:rPr>
          <w:rFonts w:ascii="游明朝" w:hAnsi="游明朝" w:eastAsia="游明朝"/>
          <w:b w:val="0"/>
          <w:sz w:val="21"/>
        </w:rPr>
      </w:r>
    </w:p>
    <w:p>
      <w:r>
        <w:rPr>
          <w:rFonts w:ascii="游明朝" w:hAnsi="游明朝" w:eastAsia="游明朝"/>
          <w:b/>
          <w:sz w:val="21"/>
        </w:rPr>
        <w:t>【見直し後の目標】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2030年 売上高：10億円（従前の1/100規模に現実化、ただし粗利率50%以上の高収益構造を志向）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2030年 AI顧問契約：40社／MRR 2,500万円（主力リカーリング収益源）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2030年 累計支援企業数：120社（うち継続契約60社）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2028年 農業事業：黒字転換（単月黒字を2027年中、通期黒字を2028年度に）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代表の稼働：在学中は週30時間上限／2028年度（卒業後）からフルタイム経営へ移行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E3A8A"/>
          <w:sz w:val="32"/>
        </w:rPr>
        <w:t>1. ビジョンの再定義</w:t>
      </w:r>
    </w:p>
    <w:p>
      <w:pPr>
        <w:pStyle w:val="Heading2"/>
      </w:pPr>
      <w:r>
        <w:rPr>
          <w:rFonts w:ascii="游ゴシック" w:hAnsi="游ゴシック" w:eastAsia="游ゴシック"/>
          <w:color w:val="2563EB"/>
          <w:sz w:val="26"/>
        </w:rPr>
        <w:t>1.1 なぜ「1000億円 / 10,000社」を見直すのか</w:t>
      </w:r>
    </w:p>
    <w:p>
      <w:r>
        <w:rPr>
          <w:rFonts w:ascii="游明朝" w:hAnsi="游明朝" w:eastAsia="游明朝"/>
          <w:b w:val="0"/>
          <w:sz w:val="21"/>
        </w:rPr>
        <w:t>創業時に掲げた「2030年売上1000億円・支援企業10,000社」という目標は、日本のAIコンサル業界の実態（アクセンチュア、野村総研クラスの規模）と比較しても非現実的であり、学業と両立する経営形態とは整合しません。また、短期で無理な拡大を図ることは、以下のリスクを伴います。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低品質な納品による顧客離反と、4つの信条（誠実・伴走・翻訳・長期視点）との乖離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代表の学業成績悪化、研究機会の喪失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資金調達への過度な依存と、創業者持株比率の過度な希薄化</w:t>
      </w:r>
    </w:p>
    <w:p>
      <w:r>
        <w:rPr>
          <w:rFonts w:ascii="游明朝" w:hAnsi="游明朝" w:eastAsia="游明朝"/>
          <w:b w:val="0"/>
          <w:sz w:val="21"/>
        </w:rPr>
        <w:t>本計画では、「数字の壮大さ」ではなく「顧客1社あたりの成功事例の深さ」を競争優位の源泉と再定義します。</w:t>
      </w:r>
    </w:p>
    <w:p>
      <w:pPr>
        <w:pStyle w:val="Heading2"/>
      </w:pPr>
      <w:r>
        <w:rPr>
          <w:rFonts w:ascii="游ゴシック" w:hAnsi="游ゴシック" w:eastAsia="游ゴシック"/>
          <w:color w:val="2563EB"/>
          <w:sz w:val="26"/>
        </w:rPr>
        <w:t>1.2 新ビジョン・ステートメント</w:t>
      </w:r>
    </w:p>
    <w:p>
      <w:r>
        <w:rPr>
          <w:rFonts w:ascii="游明朝" w:hAnsi="游明朝" w:eastAsia="游明朝"/>
          <w:b/>
          <w:sz w:val="21"/>
        </w:rPr>
        <w:t>「AIを、日本の現場へ届ける。」というコア・メッセージは維持しつつ、以下を新しい定量ビジョンとします。</w:t>
      </w:r>
    </w:p>
    <w:p>
      <w:r>
        <w:rPr>
          <w:rFonts w:ascii="游明朝" w:hAnsi="游明朝" w:eastAsia="游明朝"/>
          <w:b w:val="0"/>
          <w:sz w:val="21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時間軸</w:t>
            </w:r>
          </w:p>
        </w:tc>
        <w:tc>
          <w:tcPr>
            <w:tcW w:type="dxa" w:w="32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ビジョン</w:t>
            </w:r>
          </w:p>
        </w:tc>
        <w:tc>
          <w:tcPr>
            <w:tcW w:type="dxa" w:w="32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定量指標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游明朝" w:hAnsi="游明朝" w:eastAsia="游明朝"/>
                <w:sz w:val="20"/>
              </w:rPr>
              <w:t>2030年</w:t>
            </w:r>
          </w:p>
        </w:tc>
        <w:tc>
          <w:tcPr>
            <w:tcW w:type="dxa" w:w="3249"/>
          </w:tcPr>
          <w:p>
            <w:r/>
            <w:r>
              <w:rPr>
                <w:rFonts w:ascii="游明朝" w:hAnsi="游明朝" w:eastAsia="游明朝"/>
                <w:sz w:val="20"/>
              </w:rPr>
              <w:t>茨城発・AI×地域産業の専門ブティック</w:t>
            </w:r>
          </w:p>
        </w:tc>
        <w:tc>
          <w:tcPr>
            <w:tcW w:type="dxa" w:w="3249"/>
          </w:tcPr>
          <w:p>
            <w:r/>
            <w:r>
              <w:rPr>
                <w:rFonts w:ascii="游明朝" w:hAnsi="游明朝" w:eastAsia="游明朝"/>
                <w:sz w:val="20"/>
              </w:rPr>
              <w:t>売上10億円／粗利5億円／社員15名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游明朝" w:hAnsi="游明朝" w:eastAsia="游明朝"/>
                <w:sz w:val="20"/>
              </w:rPr>
              <w:t>2035年</w:t>
            </w:r>
          </w:p>
        </w:tc>
        <w:tc>
          <w:tcPr>
            <w:tcW w:type="dxa" w:w="3249"/>
          </w:tcPr>
          <w:p>
            <w:r/>
            <w:r>
              <w:rPr>
                <w:rFonts w:ascii="游明朝" w:hAnsi="游明朝" w:eastAsia="游明朝"/>
                <w:sz w:val="20"/>
              </w:rPr>
              <w:t>関東圏で「AI×一次産業」と言えばclear AI</w:t>
            </w:r>
          </w:p>
        </w:tc>
        <w:tc>
          <w:tcPr>
            <w:tcW w:type="dxa" w:w="3249"/>
          </w:tcPr>
          <w:p>
            <w:r/>
            <w:r>
              <w:rPr>
                <w:rFonts w:ascii="游明朝" w:hAnsi="游明朝" w:eastAsia="游明朝"/>
                <w:sz w:val="20"/>
              </w:rPr>
              <w:t>売上50億円／社員50名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游明朝" w:hAnsi="游明朝" w:eastAsia="游明朝"/>
                <w:sz w:val="20"/>
              </w:rPr>
              <w:t>2040年〜</w:t>
            </w:r>
          </w:p>
        </w:tc>
        <w:tc>
          <w:tcPr>
            <w:tcW w:type="dxa" w:w="3249"/>
          </w:tcPr>
          <w:p>
            <w:r/>
            <w:r>
              <w:rPr>
                <w:rFonts w:ascii="游明朝" w:hAnsi="游明朝" w:eastAsia="游明朝"/>
                <w:sz w:val="20"/>
              </w:rPr>
              <w:t>食料安全保障インフラを担う中堅テック企業</w:t>
            </w:r>
          </w:p>
        </w:tc>
        <w:tc>
          <w:tcPr>
            <w:tcW w:type="dxa" w:w="3249"/>
          </w:tcPr>
          <w:p>
            <w:r/>
            <w:r>
              <w:rPr>
                <w:rFonts w:ascii="游明朝" w:hAnsi="游明朝" w:eastAsia="游明朝"/>
                <w:sz w:val="20"/>
              </w:rPr>
              <w:t>売上200億円規模（IPO視野）</w:t>
            </w:r>
          </w:p>
        </w:tc>
      </w:tr>
    </w:tbl>
    <w:p>
      <w:pPr>
        <w:pStyle w:val="Heading2"/>
      </w:pPr>
      <w:r>
        <w:rPr>
          <w:rFonts w:ascii="游ゴシック" w:hAnsi="游ゴシック" w:eastAsia="游ゴシック"/>
          <w:color w:val="2563EB"/>
          <w:sz w:val="26"/>
        </w:rPr>
        <w:t>1.3 1000億円という数字の扱い</w:t>
      </w:r>
    </w:p>
    <w:p>
      <w:r>
        <w:rPr>
          <w:rFonts w:ascii="游明朝" w:hAnsi="游明朝" w:eastAsia="游明朝"/>
          <w:b w:val="0"/>
          <w:sz w:val="21"/>
        </w:rPr>
        <w:t>「1000億円」は、2040年代の超長期の野心的マイルストーンとして社内のみで保持し、対外公表資料（コーポレートサイト等）からは数値目標を「2030年：売上10億円／支援企業120社／47都道府県中20都道府県」に差し替えます。過度な数値目標が顧客・採用候補者に与える不信感を回避し、実績の積み上げで信頼を勝ち取る戦略へ転換します。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E3A8A"/>
          <w:sz w:val="32"/>
        </w:rPr>
        <w:t>2. 5カ年ロードマップ（学業との両立前提）</w:t>
      </w:r>
    </w:p>
    <w:p>
      <w:r>
        <w:rPr>
          <w:rFonts w:ascii="游明朝" w:hAnsi="游明朝" w:eastAsia="游明朝"/>
          <w:b w:val="0"/>
          <w:sz w:val="21"/>
        </w:rPr>
        <w:t>代表の筑波大学在学期間（2026–2028年度）は「基盤構築フェーズ」として、規模よりも事例と仕組みづくりを優先します。卒業後の2029年度から「拡大フェーズ」に移行し、採用と営業投資を本格化します。</w:t>
      </w:r>
    </w:p>
    <w:p>
      <w:r>
        <w:rPr>
          <w:rFonts w:ascii="游明朝" w:hAnsi="游明朝" w:eastAsia="游明朝"/>
          <w:b w:val="0"/>
          <w:sz w:val="21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フェーズ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代表稼働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売上目標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主要マイルストーン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2026年度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創業・PMF検証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週20h（学業優先）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3,000万円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AI顧問契約3社、農業EC案件2件納品、社員0→2名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2027年度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事例蓄積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週25h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8,000万円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AI顧問10社、農業事業単月黒字化、社員2→5名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2028年度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仕組み化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週30h→卒業後フル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2.0億円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AI顧問20社、農業通期黒字、初の新卒採用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2029年度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拡大初年度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フルタイム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4.5億円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関東圏営業拠点、社員8→15名、シリーズA検討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2030年度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地域No.1確立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フルタイム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10.0億円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支援120社、粗利率50%以上、2拠点体制</w:t>
            </w:r>
          </w:p>
        </w:tc>
      </w:tr>
    </w:tbl>
    <w:p>
      <w:r>
        <w:rPr>
          <w:rFonts w:ascii="游明朝" w:hAnsi="游明朝" w:eastAsia="游明朝"/>
          <w:b w:val="0"/>
          <w:sz w:val="21"/>
        </w:rPr>
      </w:r>
    </w:p>
    <w:p>
      <w:r>
        <w:rPr>
          <w:rFonts w:ascii="游明朝" w:hAnsi="游明朝" w:eastAsia="游明朝"/>
          <w:b/>
          <w:sz w:val="21"/>
        </w:rPr>
        <w:t>【売上の内訳想定（2030年度／単位：百万円）】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事業</w:t>
            </w:r>
          </w:p>
        </w:tc>
        <w:tc>
          <w:tcPr>
            <w:tcW w:type="dxa" w:w="2436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売上</w:t>
            </w:r>
          </w:p>
        </w:tc>
        <w:tc>
          <w:tcPr>
            <w:tcW w:type="dxa" w:w="2436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粗利率</w:t>
            </w:r>
          </w:p>
        </w:tc>
        <w:tc>
          <w:tcPr>
            <w:tcW w:type="dxa" w:w="2436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AI顧問サービス（月額）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300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70%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40社 / 平均月62万円 / MRR2,500万円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AI導入プロジェクト（受託）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460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40%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年12件 × 平均3,800万円（顧問先からが75%）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農業×エンジニアリング事業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200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35%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EC構築＋運用受託＋自社EC販売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研修・ライセンス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40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65%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法人向けAIリテラシー研修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合計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1,000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約50%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E3A8A"/>
          <w:sz w:val="32"/>
        </w:rPr>
        <w:t>3. 事業別戦略</w:t>
      </w:r>
    </w:p>
    <w:p>
      <w:pPr>
        <w:pStyle w:val="Heading2"/>
      </w:pPr>
      <w:r>
        <w:rPr>
          <w:rFonts w:ascii="游ゴシック" w:hAnsi="游ゴシック" w:eastAsia="游ゴシック"/>
          <w:color w:val="2563EB"/>
          <w:sz w:val="26"/>
        </w:rPr>
        <w:t>3.1 AIコンサルティング事業（主力：AI顧問サービス）</w:t>
      </w:r>
    </w:p>
    <w:p>
      <w:r>
        <w:rPr>
          <w:rFonts w:ascii="游明朝" w:hAnsi="游明朝" w:eastAsia="游明朝"/>
          <w:b w:val="0"/>
          <w:sz w:val="21"/>
        </w:rPr>
        <w:t>既に「日本アセット戦略機構」にAI顧問として導入実績があり、月額リカーリング収益の核として最優先で拡大します。顧問契約はキャッシュフローが安定し、代表の稼働も月数回の定例＋チャットで収まるため、学業と最も両立しやすいビジネスモデルです。ここを事業の「幹」と位置付けます。</w:t>
      </w:r>
    </w:p>
    <w:p>
      <w:r>
        <w:rPr>
          <w:rFonts w:ascii="游明朝" w:hAnsi="游明朝" w:eastAsia="游明朝"/>
          <w:b w:val="0"/>
          <w:sz w:val="21"/>
        </w:rPr>
      </w:r>
    </w:p>
    <w:p>
      <w:r>
        <w:rPr>
          <w:rFonts w:ascii="游明朝" w:hAnsi="游明朝" w:eastAsia="游明朝"/>
          <w:b/>
          <w:sz w:val="21"/>
        </w:rPr>
        <w:t>【顧問契約の3プラン体系】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プラン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月額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提供内容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想定顧客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代表稼働／社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Starter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30万円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月2回の定例オンライン + チャット相談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売上10–50億円の中小企業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月3–4h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Standard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80万円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業務棚卸 + プロンプト設計 + 簡易実装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売上50–300億円の中堅企業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月6–8h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Enterprise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150–200万円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部門横断の変革伴走 + 経営会議参画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売上300億円以上 / 金融・製造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月10–12h</w:t>
            </w:r>
          </w:p>
        </w:tc>
      </w:tr>
    </w:tbl>
    <w:p>
      <w:r>
        <w:rPr>
          <w:rFonts w:ascii="游明朝" w:hAnsi="游明朝" w:eastAsia="游明朝"/>
          <w:b w:val="0"/>
          <w:sz w:val="21"/>
        </w:rPr>
      </w:r>
    </w:p>
    <w:p>
      <w:r>
        <w:rPr>
          <w:rFonts w:ascii="游明朝" w:hAnsi="游明朝" w:eastAsia="游明朝"/>
          <w:b/>
          <w:sz w:val="21"/>
        </w:rPr>
        <w:t>【顧問契約の拡大目標（最重点KPI）】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顧問社数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内訳（S/St/E）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MRR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年換算売上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2026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3社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2/1/0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90万円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1,080万円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2027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10社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6/3/1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430万円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5,160万円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2028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20社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10/8/2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1,040万円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1.25億円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2029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30社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14/12/4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1,720万円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2.06億円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2030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40社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18/16/6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2,500万円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3.00億円</w:t>
            </w:r>
          </w:p>
        </w:tc>
      </w:tr>
    </w:tbl>
    <w:p>
      <w:r>
        <w:rPr>
          <w:rFonts w:ascii="游明朝" w:hAnsi="游明朝" w:eastAsia="游明朝"/>
          <w:b w:val="0"/>
          <w:color w:val="6B7280"/>
          <w:sz w:val="18"/>
        </w:rPr>
        <w:t>※顧問契約は解約率月1%以下を前提。粗利率70%で、2030年度は顧問単独で粗利2.1億円を創出します。</w:t>
      </w:r>
    </w:p>
    <w:p>
      <w:r>
        <w:rPr>
          <w:rFonts w:ascii="游明朝" w:hAnsi="游明朝" w:eastAsia="游明朝"/>
          <w:b w:val="0"/>
          <w:sz w:val="21"/>
        </w:rPr>
      </w:r>
    </w:p>
    <w:p>
      <w:r>
        <w:rPr>
          <w:rFonts w:ascii="游明朝" w:hAnsi="游明朝" w:eastAsia="游明朝"/>
          <w:b/>
          <w:sz w:val="21"/>
        </w:rPr>
        <w:t>【顧問契約を増やすための5つの打ち手】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① 既存顧客（日本アセット戦略機構 等）を起点にした紹介営業：成功事例を匿名化して紹介用資料化し、紹介1件あたりの成約率を30%→50%に引き上げる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② 地場金融機関・商工会議所との提携：茨城県内の常陽銀行・筑波銀行の取引先向けに「AI顧問紹介プログラム」を持ち込み、銀行から月1–2社の紹介ルートを構築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③ 士業ネットワーク連携：中小企業診断士・税理士・社労士と業務提携し、顧問先を相互紹介（フィー20%分配）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④ コンテンツマーケティング：代表名義で「現場で使えるAI活用事例」を週1本発信、2027年度以降Web経由で月2社の問い合わせを獲得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⑤ 業界特化パッケージ：まず「金融・不動産」「製造」「農業関連」の3業界で事例を深掘りし、業界別の顧問パッケージとして横展開（1事例→10社への展開効率）</w:t>
      </w:r>
    </w:p>
    <w:p>
      <w:r>
        <w:rPr>
          <w:rFonts w:ascii="游明朝" w:hAnsi="游明朝" w:eastAsia="游明朝"/>
          <w:b w:val="0"/>
          <w:sz w:val="21"/>
        </w:rPr>
      </w:r>
    </w:p>
    <w:p>
      <w:r>
        <w:rPr>
          <w:rFonts w:ascii="游明朝" w:hAnsi="游明朝" w:eastAsia="游明朝"/>
          <w:b/>
          <w:sz w:val="21"/>
        </w:rPr>
        <w:t>【顧問契約 → 実装プロジェクトへのアップセル】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顧問先の50%以上から年1件の実装プロジェクト（平均3,000万円）を受注することを目標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顧問は「信頼関係を結ぶ継続接点」、実装は「まとまった売上を作る刈り取り接点」と役割分担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2030年度の実装案件40件中、30件（75%）は顧問先からの受注を想定</w:t>
      </w:r>
    </w:p>
    <w:p>
      <w:pPr>
        <w:pStyle w:val="Heading2"/>
      </w:pPr>
      <w:r>
        <w:rPr>
          <w:rFonts w:ascii="游ゴシック" w:hAnsi="游ゴシック" w:eastAsia="游ゴシック"/>
          <w:color w:val="2563EB"/>
          <w:sz w:val="26"/>
        </w:rPr>
        <w:t>3.2 農業×エンジニアリング事業</w:t>
      </w:r>
    </w:p>
    <w:p>
      <w:r>
        <w:rPr>
          <w:rFonts w:ascii="游明朝" w:hAnsi="游明朝" w:eastAsia="游明朝"/>
          <w:b w:val="0"/>
          <w:sz w:val="21"/>
        </w:rPr>
        <w:t>「日本の食料安全保障」という長期ビジョンへ繋がる事業。ただし、直接の農業経営は参入せず、あくまで「農家の経営をエンジニアリングで支える」サービス業として設計することで、資本コストと在庫リスクを抑えます。</w:t>
      </w:r>
    </w:p>
    <w:p>
      <w:r>
        <w:rPr>
          <w:rFonts w:ascii="游明朝" w:hAnsi="游明朝" w:eastAsia="游明朝"/>
          <w:b w:val="0"/>
          <w:sz w:val="21"/>
        </w:rPr>
        <w:t>詳細な黒字化プランは次章に記載します。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E3A8A"/>
          <w:sz w:val="32"/>
        </w:rPr>
        <w:t>4. 農業×エンジニアリング事業の黒字化プラン</w:t>
      </w:r>
    </w:p>
    <w:p>
      <w:pPr>
        <w:pStyle w:val="Heading2"/>
      </w:pPr>
      <w:r>
        <w:rPr>
          <w:rFonts w:ascii="游ゴシック" w:hAnsi="游ゴシック" w:eastAsia="游ゴシック"/>
          <w:color w:val="2563EB"/>
          <w:sz w:val="26"/>
        </w:rPr>
        <w:t>4.1 現状認識</w:t>
      </w:r>
    </w:p>
    <w:p>
      <w:r>
        <w:rPr>
          <w:rFonts w:ascii="游明朝" w:hAnsi="游明朝" w:eastAsia="游明朝"/>
          <w:b w:val="0"/>
          <w:sz w:val="21"/>
        </w:rPr>
        <w:t>農業事業は社会的意義が高い一方、単価が低く、顧客（農家）のITリテラシーとキャッシュフローが事業成長のボトルネックになりがちです。この構造的課題を直視した上で、以下の3段階アプローチで確実な黒字化を目指します。</w:t>
      </w:r>
    </w:p>
    <w:p>
      <w:pPr>
        <w:pStyle w:val="Heading2"/>
      </w:pPr>
      <w:r>
        <w:rPr>
          <w:rFonts w:ascii="游ゴシック" w:hAnsi="游ゴシック" w:eastAsia="游ゴシック"/>
          <w:color w:val="2563EB"/>
          <w:sz w:val="26"/>
        </w:rPr>
        <w:t>4.2 黒字化の3段構造</w:t>
      </w:r>
    </w:p>
    <w:p>
      <w:r>
        <w:rPr>
          <w:rFonts w:ascii="游明朝" w:hAnsi="游明朝" w:eastAsia="游明朝"/>
          <w:b/>
          <w:color w:val="2563EB"/>
          <w:sz w:val="21"/>
        </w:rPr>
        <w:t>【Step 1】一次請けコンサル＋EC構築（2026–2027）</w:t>
      </w:r>
    </w:p>
    <w:p>
      <w:r>
        <w:rPr>
          <w:rFonts w:ascii="游明朝" w:hAnsi="游明朝" w:eastAsia="游明朝"/>
          <w:b w:val="0"/>
          <w:sz w:val="21"/>
        </w:rPr>
        <w:t>低リスク・高粗利のサービス受託で赤字を小さく抑え、農業現場のドメイン知識と信頼を獲得するフェーズ。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Shopify / BASE等を使った農家向けECサイト構築（単価40–80万円、粗利率60%）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ブランディング・商品撮影・LP制作パッケージ（単価30–50万円）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年間20件の納品で売上1,000–1,500万円、粗利600–900万円を狙う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JA・農業法人・道の駅・地銀の営業網と提携して営業コストを圧縮</w:t>
      </w:r>
    </w:p>
    <w:p>
      <w:r>
        <w:rPr>
          <w:rFonts w:ascii="游明朝" w:hAnsi="游明朝" w:eastAsia="游明朝"/>
          <w:b w:val="0"/>
          <w:sz w:val="21"/>
        </w:rPr>
      </w:r>
    </w:p>
    <w:p>
      <w:r>
        <w:rPr>
          <w:rFonts w:ascii="游明朝" w:hAnsi="游明朝" w:eastAsia="游明朝"/>
          <w:b/>
          <w:color w:val="2563EB"/>
          <w:sz w:val="21"/>
        </w:rPr>
        <w:t>【Step 2】月額運用支援＋D2C代行（2027–2028）</w:t>
      </w:r>
    </w:p>
    <w:p>
      <w:r>
        <w:rPr>
          <w:rFonts w:ascii="游明朝" w:hAnsi="游明朝" w:eastAsia="游明朝"/>
          <w:b w:val="0"/>
          <w:sz w:val="21"/>
        </w:rPr>
        <w:t>一度作ったECを活用し、継続課金モデルに転換。単月黒字を達成する最重要フェーズ。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EC運用代行：月額5–15万円 × 30農家（AI活用で商品説明文生成・需要予測・SNS運用を自動化）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D2C代行（売上連動）：売上の15–20%を手数料として徴収。仕入れゼロのレベニューシェア型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2027年度中に月額MRR 300万円を確立、農業事業単体で単月黒字化</w:t>
      </w:r>
    </w:p>
    <w:p>
      <w:r>
        <w:rPr>
          <w:rFonts w:ascii="游明朝" w:hAnsi="游明朝" w:eastAsia="游明朝"/>
          <w:b w:val="0"/>
          <w:sz w:val="21"/>
        </w:rPr>
      </w:r>
    </w:p>
    <w:p>
      <w:r>
        <w:rPr>
          <w:rFonts w:ascii="游明朝" w:hAnsi="游明朝" w:eastAsia="游明朝"/>
          <w:b/>
          <w:color w:val="2563EB"/>
          <w:sz w:val="21"/>
        </w:rPr>
        <w:t>【Step 3】産地共同ブランド「clear farm」プラットフォーム（2028–2030）</w:t>
      </w:r>
    </w:p>
    <w:p>
      <w:r>
        <w:rPr>
          <w:rFonts w:ascii="游明朝" w:hAnsi="游明朝" w:eastAsia="游明朝"/>
          <w:b w:val="0"/>
          <w:sz w:val="21"/>
        </w:rPr>
        <w:t>支援先農家を束ねた共同ブランドを立ち上げ、個別農家では不可能な企業向け・輸出向け大口販売を代行。これにより通期黒字化と、将来の産業インフラ化への布石を打つ。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茨城県産の高付加価値野菜・米を「clear farm」ブランドで共同出荷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法人向け（社員食堂・ふるさと納税返礼・高級スーパー）へ卸売営業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需給予測AIで廃棄ロスを削減し、個別農家比で手取り20%アップを実現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2030年度に農業事業単体で売上2億円・営業利益率15%を目指す</w:t>
      </w:r>
    </w:p>
    <w:p>
      <w:pPr>
        <w:pStyle w:val="Heading2"/>
      </w:pPr>
      <w:r>
        <w:rPr>
          <w:rFonts w:ascii="游ゴシック" w:hAnsi="游ゴシック" w:eastAsia="游ゴシック"/>
          <w:color w:val="2563EB"/>
          <w:sz w:val="26"/>
        </w:rPr>
        <w:t>4.3 黒字化のP/L試算（農業事業単体、単位：百万円）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1624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売上</w:t>
            </w:r>
          </w:p>
        </w:tc>
        <w:tc>
          <w:tcPr>
            <w:tcW w:type="dxa" w:w="1624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売上原価</w:t>
            </w:r>
          </w:p>
        </w:tc>
        <w:tc>
          <w:tcPr>
            <w:tcW w:type="dxa" w:w="1624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販管費</w:t>
            </w:r>
          </w:p>
        </w:tc>
        <w:tc>
          <w:tcPr>
            <w:tcW w:type="dxa" w:w="1624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営業損益</w:t>
            </w:r>
          </w:p>
        </w:tc>
        <w:tc>
          <w:tcPr>
            <w:tcW w:type="dxa" w:w="1624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状態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2026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15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18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▲9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赤字（投資期）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2027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40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18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25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▲3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単月黒字達成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2028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90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45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40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+5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通期黒字転換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2029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140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75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50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+15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安定黒字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2030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200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110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60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+30</w:t>
            </w:r>
          </w:p>
        </w:tc>
        <w:tc>
          <w:tcPr>
            <w:tcW w:type="dxa" w:w="1624"/>
          </w:tcPr>
          <w:p>
            <w:r/>
            <w:r>
              <w:rPr>
                <w:rFonts w:ascii="游明朝" w:hAnsi="游明朝" w:eastAsia="游明朝"/>
                <w:sz w:val="20"/>
              </w:rPr>
              <w:t>スケール期</w:t>
            </w:r>
          </w:p>
        </w:tc>
      </w:tr>
    </w:tbl>
    <w:p>
      <w:pPr>
        <w:pStyle w:val="Heading2"/>
      </w:pPr>
      <w:r>
        <w:rPr>
          <w:rFonts w:ascii="游ゴシック" w:hAnsi="游ゴシック" w:eastAsia="游ゴシック"/>
          <w:color w:val="2563EB"/>
          <w:sz w:val="26"/>
        </w:rPr>
        <w:t>4.4 黒字化を阻む3大リスクと対策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リスク①：農家のITリテラシー不足 → 現地訪問＋動画マニュアル＋電話サポートを標準化し、解約率を月次1%未満に抑える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リスク②：季節変動によるキャッシュ不安定 → 月額契約を必ず12ヶ月一括 or 自動更新とし、売上連動フィーは上限設定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リスク③：代表の学業繁忙期（試験期間等）の品質低下 → 業務フロー標準化 + パートタイム運用スタッフ（農学系学生バイト）の体制を2027年度に完成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E3A8A"/>
          <w:sz w:val="32"/>
        </w:rPr>
        <w:t>5. 組織・人員計画（学業両立モデル）</w:t>
      </w:r>
    </w:p>
    <w:p>
      <w:r>
        <w:rPr>
          <w:rFonts w:ascii="游明朝" w:hAnsi="游明朝" w:eastAsia="游明朝"/>
          <w:b w:val="0"/>
          <w:sz w:val="21"/>
        </w:rPr>
        <w:t>学業と両立するためには、代表依存を最小化する組織設計が鍵となります。2027年度中に「代表がいない週があっても事業が止まらない」体制を完成させます。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社員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業務委託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学生インターン</w:t>
            </w:r>
          </w:p>
        </w:tc>
        <w:tc>
          <w:tcPr>
            <w:tcW w:type="dxa" w:w="1949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代表の主業務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2026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3名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1名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営業・顧問サービス提供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2027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5名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5名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3名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営業・採用・パートナー開拓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2028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8名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6名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5名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経営全般（卒業後フル）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2029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15名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8名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6名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経営全般・シリーズA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2030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25名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10名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8名</w:t>
            </w:r>
          </w:p>
        </w:tc>
        <w:tc>
          <w:tcPr>
            <w:tcW w:type="dxa" w:w="1949"/>
          </w:tcPr>
          <w:p>
            <w:r/>
            <w:r>
              <w:rPr>
                <w:rFonts w:ascii="游明朝" w:hAnsi="游明朝" w:eastAsia="游明朝"/>
                <w:sz w:val="20"/>
              </w:rPr>
              <w:t>経営全般・IPO準備初期</w:t>
            </w:r>
          </w:p>
        </w:tc>
      </w:tr>
    </w:tbl>
    <w:p>
      <w:r>
        <w:rPr>
          <w:rFonts w:ascii="游明朝" w:hAnsi="游明朝" w:eastAsia="游明朝"/>
          <w:b w:val="0"/>
          <w:sz w:val="21"/>
        </w:rPr>
      </w:r>
    </w:p>
    <w:p>
      <w:r>
        <w:rPr>
          <w:rFonts w:ascii="游明朝" w:hAnsi="游明朝" w:eastAsia="游明朝"/>
          <w:b/>
          <w:sz w:val="21"/>
        </w:rPr>
        <w:t>【学生インターンを戦略的に活用】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筑波大学・茨城大学の学生を農業事業のEC運用支援・データ入力で積極活用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将来の新卒採用パイプラインと位置付け、内定直結のインターン設計とする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E3A8A"/>
          <w:sz w:val="32"/>
        </w:rPr>
        <w:t>6. 資金計画</w:t>
      </w:r>
    </w:p>
    <w:p>
      <w:r>
        <w:rPr>
          <w:rFonts w:ascii="游明朝" w:hAnsi="游明朝" w:eastAsia="游明朝"/>
          <w:b w:val="0"/>
          <w:sz w:val="21"/>
        </w:rPr>
        <w:t>在学中はエクイティ調達を極力回避し、自己資金＋補助金＋営業キャッシュフローで回す方針。持株比率を維持しながら、黒字化後に必要最小限の調達を検討します。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436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調達方法</w:t>
            </w:r>
          </w:p>
        </w:tc>
        <w:tc>
          <w:tcPr>
            <w:tcW w:type="dxa" w:w="2436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金額</w:t>
            </w:r>
          </w:p>
        </w:tc>
        <w:tc>
          <w:tcPr>
            <w:tcW w:type="dxa" w:w="2436"/>
            <w:shd w:val="clear" w:color="auto" w:fill="1E3A8A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2026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自己資金＋日本政策金融公庫（創業融資）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500万円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初期運転資金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2027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IT導入補助金／ものづくり補助金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300万円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自社プロダクト開発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2028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営業キャッシュフロー中心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ー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人件費・採用投資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2029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シリーズA検討（1–2億円、評価額10億円前後）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1.5億円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営業拠点・エンジニア採用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2030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ー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ー</w:t>
            </w:r>
          </w:p>
        </w:tc>
        <w:tc>
          <w:tcPr>
            <w:tcW w:type="dxa" w:w="2436"/>
          </w:tcPr>
          <w:p>
            <w:r/>
            <w:r>
              <w:rPr>
                <w:rFonts w:ascii="游明朝" w:hAnsi="游明朝" w:eastAsia="游明朝"/>
                <w:sz w:val="20"/>
              </w:rPr>
              <w:t>自己資金で運営、次ラウンド準備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E3A8A"/>
          <w:sz w:val="32"/>
        </w:rPr>
        <w:t>7. 月次で追う主要KPI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【AI顧問】MRR（月次経常収益）、解約率、顧客単価、NPS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【農業】取引農家数、EC構築受注数、農業事業MRR、農家あたり手取り向上率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【組織】代表稼働時間（週30h上限を死守）、社員稼働時間、採用進捗</w:t>
      </w:r>
    </w:p>
    <w:p>
      <w:pPr>
        <w:pStyle w:val="ListBullet"/>
      </w:pPr>
      <w:r>
        <w:rPr>
          <w:rFonts w:ascii="游明朝" w:hAnsi="游明朝" w:eastAsia="游明朝"/>
          <w:sz w:val="21"/>
        </w:rPr>
        <w:t>【学業】代表の単位取得数・GPA（「学業が止まらないこと」を経営指標に組み込む）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color w:val="1E3A8A"/>
          <w:sz w:val="32"/>
        </w:rPr>
        <w:t>8. 終わりに</w:t>
      </w:r>
    </w:p>
    <w:p>
      <w:r>
        <w:rPr>
          <w:rFonts w:ascii="游明朝" w:hAnsi="游明朝" w:eastAsia="游明朝"/>
          <w:b w:val="0"/>
          <w:sz w:val="21"/>
        </w:rPr>
        <w:t>派手さより、10年続く仕組みを。これはclear AIの信条「長期視点」そのものです。「売上1000億円」という数字を掲げることは容易ですが、数字が独り歩きした結果、品質と信頼を失うスタートアップを私たちは数多く見てきました。</w:t>
      </w:r>
    </w:p>
    <w:p>
      <w:r>
        <w:rPr>
          <w:rFonts w:ascii="游明朝" w:hAnsi="游明朝" w:eastAsia="游明朝"/>
          <w:b w:val="0"/>
          <w:sz w:val="21"/>
        </w:rPr>
        <w:t>本計画書は、学業を投げ出さず、顧客を軽視せず、社員を使い捨てない成長をコミットするためのドキュメントです。2030年の売上10億円は控えめに見えるかもしれません。しかし、粗利率50%・継続率95%・NPS50超という「質」を伴った10億円は、無理に積み上げた100億円より遥かに強く、次の100億円、1000億円への揺るぎない踏み台になると確信しています。</w:t>
      </w:r>
    </w:p>
    <w:p>
      <w:r>
        <w:rPr>
          <w:rFonts w:ascii="游明朝" w:hAnsi="游明朝" w:eastAsia="游明朝"/>
          <w:b w:val="0"/>
          <w:sz w:val="21"/>
        </w:rPr>
      </w:r>
    </w:p>
    <w:p>
      <w:pPr>
        <w:jc w:val="center"/>
      </w:pPr>
      <w:r>
        <w:rPr>
          <w:rFonts w:ascii="游明朝" w:hAnsi="游明朝" w:eastAsia="游明朝"/>
          <w:b/>
          <w:color w:val="1E3A8A"/>
          <w:sz w:val="21"/>
        </w:rPr>
        <w:t>clear AI 株式会社　代表取締役　髙橋 敢輝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