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Arial" w:cs="Arial" w:eastAsia="Arial" w:hAnsi="Arial"/>
          <w:b/>
          <w:bCs/>
          <w:color w:val="0F172A"/>
          <w:sz w:val="52"/>
          <w:szCs w:val="52"/>
        </w:rPr>
        <w:t xml:space="preserve">Mercor徹底分析レポート</w:t>
      </w:r>
    </w:p>
    <w:p>
      <w:pPr>
        <w:spacing w:after="200"/>
        <w:jc w:val="center"/>
      </w:pPr>
      <w:r>
        <w:rPr>
          <w:rFonts w:ascii="Arial" w:cs="Arial" w:eastAsia="Arial" w:hAnsi="Arial"/>
          <w:color w:val="475569"/>
          <w:sz w:val="28"/>
          <w:szCs w:val="28"/>
        </w:rPr>
        <w:t xml:space="preserve">資金調達・収益モデル・日本市場での再現性評価</w:t>
      </w:r>
    </w:p>
    <w:p>
      <w:pPr>
        <w:spacing w:after="100"/>
        <w:jc w:val="center"/>
      </w:pPr>
      <w:r>
        <w:rPr>
          <w:rFonts w:ascii="Arial" w:cs="Arial" w:eastAsia="Arial" w:hAnsi="Arial"/>
          <w:i/>
          <w:iCs/>
          <w:color w:val="6366F1"/>
          <w:sz w:val="24"/>
          <w:szCs w:val="24"/>
        </w:rPr>
        <w:t xml:space="preserve">— Michibiki事業戦略への示唆 —</w:t>
      </w:r>
    </w:p>
    <w:p>
      <w:pPr>
        <w:spacing w:before="3000"/>
      </w:pPr>
    </w:p>
    <w:p>
      <w:pPr>
        <w:jc w:val="center"/>
      </w:pPr>
      <w:r>
        <w:rPr>
          <w:rFonts w:ascii="Arial" w:cs="Arial" w:eastAsia="Arial" w:hAnsi="Arial"/>
          <w:color w:val="94A3B8"/>
          <w:sz w:val="20"/>
          <w:szCs w:val="20"/>
        </w:rPr>
        <w:t xml:space="preserve">2026年3月 | Confidential</w:t>
      </w:r>
    </w:p>
    <w:p>
      <w:r>
        <w:br w:type="page"/>
      </w:r>
    </w:p>
    <w:p>
      <w:pPr>
        <w:sectPr>
          <w:pgSz w:w="11906" w:h="16838" w:orient="portrait"/>
          <w:pgMar w:top="1440" w:right="1440" w:bottom="1440" w:left="1440" w:header="708" w:footer="708" w:gutter="0"/>
          <w:pgNumType/>
          <w:docGrid w:linePitch="360"/>
        </w:sectPr>
      </w:pPr>
    </w:p>
    <w:p>
      <w:pPr>
        <w:pStyle w:val="Heading1"/>
      </w:pPr>
      <w:r>
        <w:t xml:space="preserve">第1章　Mercor企業概要</w:t>
      </w:r>
    </w:p>
    <w:p>
      <w:pPr>
        <w:pStyle w:val="Heading2"/>
      </w:pPr>
      <w:r>
        <w:t xml:space="preserve">1-1. 会社プロフィール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会社名</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Mercor, Inc.</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設立</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2023年1月（サンフランシスコ）</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創業者</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Brendan Foody（CEO）, Adarsh Hiremath（CTO）, Surya Midha（COO/会長）</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従業員数</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約30名（正社員）+ 30,000名以上の契約エキスパート</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最新評価額</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$10B（約1.5兆円）— 2025年10月 Series C時点</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ARR（推定）</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$850M+（約1,275億円）— 2025年10月時点</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収益性</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黒字化済み（2025年2月に単月$1Mの利益）</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主要顧客</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OpenAI, Anthropic, Google DeepMind, Meta + Magnificent Sevenの6社</w:t>
            </w:r>
          </w:p>
        </w:tc>
      </w:tr>
    </w:tbl>
    <w:p>
      <w:pPr>
        <w:spacing w:after="200"/>
      </w:pPr>
    </w:p>
    <w:p>
      <w:pPr>
        <w:pStyle w:val="Heading2"/>
      </w:pPr>
      <w:r>
        <w:t xml:space="preserve">1-2. 創業ストーリー</w:t>
      </w:r>
    </w:p>
    <w:p>
      <w:pPr>
        <w:spacing w:after="120"/>
      </w:pPr>
      <w:r>
        <w:rPr>
          <w:rFonts w:ascii="Arial" w:cs="Arial" w:eastAsia="Arial" w:hAnsi="Arial"/>
          <w:sz w:val="22"/>
          <w:szCs w:val="22"/>
        </w:rPr>
        <w:t xml:space="preserve">Mercorは2023年1月、カリフォルニア州ベラーマイン高校のスピーチ・ディベートチームの同級生3人が創業しました。CEOのBrendan FoodyはGeorgetown大学、CTOのAdarsh HiremathとCOOのSurya MidhaはHarvard大学に在籍中でしたが、全員3人が中退してMercorに専念。Peter ThielのThiel Fellowship（大学をやめて起業する若者に$100,000を提供）を受賞しました。</w:t>
      </w:r>
    </w:p>
    <w:p>
      <w:pPr>
        <w:spacing w:after="120"/>
      </w:pPr>
      <w:r>
        <w:rPr>
          <w:rFonts w:ascii="Arial" w:cs="Arial" w:eastAsia="Arial" w:hAnsi="Arial"/>
          <w:sz w:val="22"/>
          <w:szCs w:val="22"/>
        </w:rPr>
        <w:t xml:space="preserve">当初はインドのIIT（インド工科大学）出身のフリーランスエンジニアを米国企業に仲介する「開発ショップ」としてスタート。その過程でAIによるエンジニア面接・マッチングプラットフォームを開発し、口コミだけで年間ランレート数百万ドルに到達。その後、2024年後半からRLHF（人間フィードバックによる強化学習）を軸としたAIトレーニングデータ事業にピボットし、爆発的に成長しました。</w:t>
      </w:r>
    </w:p>
    <w:p>
      <w:pPr>
        <w:spacing w:after="120"/>
      </w:pPr>
      <w:r>
        <w:rPr>
          <w:rFonts w:ascii="Arial" w:cs="Arial" w:eastAsia="Arial" w:hAnsi="Arial"/>
          <w:sz w:val="22"/>
          <w:szCs w:val="22"/>
        </w:rPr>
        <w:t xml:space="preserve">2025年、创業者の3人はForbes 30 Under 30に選出され、史上最年少（22歳）のセルフメイドビリオネアとなりました。</w:t>
      </w:r>
    </w:p>
    <w:p>
      <w:pPr>
        <w:spacing w:after="200"/>
      </w:pPr>
    </w:p>
    <w:p>
      <w:pPr>
        <w:pStyle w:val="Heading1"/>
      </w:pPr>
      <w:r>
        <w:t xml:space="preserve">第2章　資金調達の全履歴</w:t>
      </w:r>
    </w:p>
    <w:p>
      <w:pPr>
        <w:pStyle w:val="Heading2"/>
      </w:pPr>
      <w:r>
        <w:t xml:space="preserve">2-1. ラウンド別詳細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1600"/>
        <w:gridCol w:w="3226"/>
      </w:tblGrid>
      <w:tr>
        <w:tc>
          <w:tcPr>
            <w:tcW w:type="dxa" w:w="1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ラウンド</w:t>
            </w:r>
          </w:p>
        </w:tc>
        <w:tc>
          <w:tcPr>
            <w:tcW w:type="dxa" w:w="1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時期</w:t>
            </w:r>
          </w:p>
        </w:tc>
        <w:tc>
          <w:tcPr>
            <w:tcW w:type="dxa" w:w="1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調達額</w:t>
            </w:r>
          </w:p>
        </w:tc>
        <w:tc>
          <w:tcPr>
            <w:tcW w:type="dxa" w:w="16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評価額</w:t>
            </w:r>
          </w:p>
        </w:tc>
        <w:tc>
          <w:tcPr>
            <w:tcW w:type="dxa" w:w="3226"/>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リード投資家</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Seed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2023年</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$3.6M</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非公開</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General Catalyst</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Series 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2024年9月</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$32M</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$250M</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Benchmark</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Series 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2025年2月</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$100M</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4F46E5"/>
                <w:sz w:val="20"/>
                <w:szCs w:val="20"/>
              </w:rPr>
              <w:t xml:space="preserve">$2B</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Felicis Ventures（Benchmark, General Catalyst, DST Global, Menlo Ventures参加）</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Series C</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2025年10月</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$350M</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DC2626"/>
                <w:sz w:val="20"/>
                <w:szCs w:val="20"/>
              </w:rPr>
              <w:t xml:space="preserve">$10B</w:t>
            </w:r>
          </w:p>
        </w:tc>
        <w:tc>
          <w:tcPr>
            <w:tcW w:type="dxa" w:w="32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Felicis Ventures（Benchmark, General Catalyst, Robinhood Ventures参加）</w:t>
            </w:r>
          </w:p>
        </w:tc>
      </w:tr>
      <w:tr>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累計</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$485.6M</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$10B</w:t>
            </w:r>
          </w:p>
        </w:tc>
        <w:tc>
          <w:tcPr>
            <w:tcW w:type="dxa" w:w="3226"/>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bl>
    <w:p>
      <w:pPr>
        <w:spacing w:after="200"/>
      </w:pPr>
    </w:p>
    <w:p>
      <w:pPr>
        <w:pStyle w:val="Heading2"/>
      </w:pPr>
      <w:r>
        <w:t xml:space="preserve">2-2. 資金調達の成功要因分析</w:t>
      </w:r>
    </w:p>
    <w:p>
      <w:pPr>
        <w:pStyle w:val="Heading3"/>
      </w:pPr>
      <w:r>
        <w:t xml:space="preserve">① タイミングの妙</w:t>
      </w:r>
    </w:p>
    <w:p>
      <w:pPr>
        <w:spacing w:after="120"/>
      </w:pPr>
      <w:r>
        <w:rPr>
          <w:rFonts w:ascii="Arial" w:cs="Arial" w:eastAsia="Arial" w:hAnsi="Arial"/>
          <w:sz w:val="22"/>
          <w:szCs w:val="22"/>
        </w:rPr>
        <w:t xml:space="preserve">Mercorの爆発的成長は、AI業界の構造変化と完璧に同期しています。従来のスケーリング則（データ量と計算資源を増やす）が頭打ちになり、フロンティアAIラボが「ポストトレーニング」（RLHF、SFT、モデル評価）に興注し始めたタイミングで、Mercorはその「専門家ネットワーク」を武器に一気にポジションを獲得しました。</w:t>
      </w:r>
    </w:p>
    <w:p>
      <w:pPr>
        <w:pStyle w:val="Heading3"/>
      </w:pPr>
      <w:r>
        <w:t xml:space="preserve">② 稀有な供給側の確保</w:t>
      </w:r>
    </w:p>
    <w:p>
      <w:pPr>
        <w:spacing w:after="120"/>
      </w:pPr>
      <w:r>
        <w:rPr>
          <w:rFonts w:ascii="Arial" w:cs="Arial" w:eastAsia="Arial" w:hAnsi="Arial"/>
          <w:sz w:val="22"/>
          <w:szCs w:val="22"/>
        </w:rPr>
        <w:t xml:space="preserve">AIモデルのポストトレーニングには、医師、弁護士、投資銀行家、研究者などの「ドメイン専門家」が必要です。Mercorは30万人以上の資格保有専門家ネットワークを構築し、この希少な供給を押さえたことで、AIラボにとって不可欠な存在となりました。</w:t>
      </w:r>
    </w:p>
    <w:p>
      <w:pPr>
        <w:pStyle w:val="Heading3"/>
      </w:pPr>
      <w:r>
        <w:t xml:space="preserve">③ 圧倒的な成長指標</w:t>
      </w:r>
    </w:p>
    <w:p>
      <w:pPr>
        <w:spacing w:after="120"/>
      </w:pPr>
      <w:r>
        <w:rPr>
          <w:rFonts w:ascii="Arial" w:cs="Arial" w:eastAsia="Arial" w:hAnsi="Arial"/>
          <w:sz w:val="22"/>
          <w:szCs w:val="22"/>
        </w:rPr>
        <w:t xml:space="preserve">Mercorの成長速度は、VCが最も重視する指標で圧倒的な数字を叩き出しました。月次成長率約50%、ARRが17ヶ月で$1Mから$500Mに到達。この「あり得ない」成長曲線が、FelicisをはじめとするトップティアVCを引きつけました。</w:t>
      </w:r>
    </w:p>
    <w:p>
      <w:pPr>
        <w:pStyle w:val="Heading3"/>
      </w:pPr>
      <w:r>
        <w:t xml:space="preserve">④ 著名投資家のバッキング</w:t>
      </w:r>
    </w:p>
    <w:p>
      <w:pPr>
        <w:spacing w:after="120"/>
      </w:pPr>
      <w:r>
        <w:rPr>
          <w:rFonts w:ascii="Arial" w:cs="Arial" w:eastAsia="Arial" w:hAnsi="Arial"/>
          <w:sz w:val="22"/>
          <w:szCs w:val="22"/>
        </w:rPr>
        <w:t xml:space="preserve">Peter Thiel（Thiel Fellowship + 個人投資）、Jack Dorsey（Twitter創業者）、Adam D'Angelo（Quora CEO）といった著名投資家がバッキング。これにより信用力とネットワーク効果が飛躍的に高まりました。</w:t>
      </w:r>
    </w:p>
    <w:p>
      <w:pPr>
        <w:spacing w:after="200"/>
      </w:pPr>
    </w:p>
    <w:p>
      <w:pPr>
        <w:pStyle w:val="Heading2"/>
      </w:pPr>
      <w:r>
        <w:t xml:space="preserve">2-3. 評価額の推移（40倍の価値上昇）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時期</w:t>
            </w:r>
          </w:p>
        </w:tc>
        <w:tc>
          <w:tcPr>
            <w:tcW w:type="dxa" w:w="2257"/>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評価額</w:t>
            </w:r>
          </w:p>
        </w:tc>
        <w:tc>
          <w:tcPr>
            <w:tcW w:type="dxa" w:w="2256"/>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ARR推定</w:t>
            </w:r>
          </w:p>
        </w:tc>
        <w:tc>
          <w:tcPr>
            <w:tcW w:type="dxa" w:w="2257"/>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Multiple</w:t>
            </w:r>
          </w:p>
        </w:tc>
      </w:tr>
      <w:tr>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2024年9月</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$250M</w:t>
            </w:r>
          </w:p>
        </w:tc>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$35M</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約7.1x</w:t>
            </w:r>
          </w:p>
        </w:tc>
      </w:tr>
      <w:tr>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2025年2月</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4F46E5"/>
                <w:sz w:val="20"/>
                <w:szCs w:val="20"/>
              </w:rPr>
              <w:t xml:space="preserve">$2B</w:t>
            </w:r>
          </w:p>
        </w:tc>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$75M+</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約26.7x</w:t>
            </w:r>
          </w:p>
        </w:tc>
      </w:tr>
      <w:tr>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2025年10月</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$10B</w:t>
            </w:r>
          </w:p>
        </w:tc>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$850M+</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約11.8x</w:t>
            </w:r>
          </w:p>
        </w:tc>
      </w:tr>
    </w:tbl>
    <w:p>
      <w:pPr>
        <w:spacing w:after="120"/>
      </w:pPr>
      <w:r>
        <w:rPr>
          <w:rFonts w:ascii="Arial" w:cs="Arial" w:eastAsia="Arial" w:hAnsi="Arial"/>
          <w:i/>
          <w:iCs/>
          <w:color w:val="64748B"/>
          <w:sz w:val="20"/>
          <w:szCs w:val="20"/>
        </w:rPr>
        <w:t xml:space="preserve">※ Revenue Multipleの低下は、単なる「バブル」ではなく実紾が伴っていることを示しています。</w:t>
      </w:r>
    </w:p>
    <w:p>
      <w:pPr>
        <w:spacing w:after="200"/>
      </w:pPr>
    </w:p>
    <w:p>
      <w:pPr>
        <w:pStyle w:val="Heading1"/>
      </w:pPr>
      <w:r>
        <w:t xml:space="preserve">第3章　収益モデルの全貌</w:t>
      </w:r>
    </w:p>
    <w:p>
      <w:pPr>
        <w:pStyle w:val="Heading2"/>
      </w:pPr>
      <w:r>
        <w:t xml:space="preserve">3-1. 収益源の二本柱</w:t>
      </w:r>
    </w:p>
    <w:p>
      <w:pPr>
        <w:pStyle w:val="Heading3"/>
      </w:pPr>
      <w:r>
        <w:t xml:space="preserve">① AIトレーニングデータ事業（売上の約80%）</w:t>
      </w:r>
    </w:p>
    <w:p>
      <w:pPr>
        <w:spacing w:after="120"/>
      </w:pPr>
      <w:r>
        <w:rPr>
          <w:rFonts w:ascii="Arial" w:cs="Arial" w:eastAsia="Arial" w:hAnsi="Arial"/>
          <w:sz w:val="22"/>
          <w:szCs w:val="22"/>
        </w:rPr>
        <w:t xml:space="preserve">Mercorの現在の主力収益源です。フロンティアAIラボ（OpenAI、Anthropic、Google DeepMind、Metaなど）に対し、以下のサービスを提供します：</w:t>
      </w:r>
    </w:p>
    <w:p>
      <w:pPr>
        <w:pStyle w:val="ListParagraph"/>
        <w:numPr>
          <w:ilvl w:val="0"/>
          <w:numId w:val="2"/>
        </w:numPr>
        <w:spacing w:after="80"/>
      </w:pPr>
      <w:r>
        <w:rPr>
          <w:rFonts w:ascii="Arial" w:cs="Arial" w:eastAsia="Arial" w:hAnsi="Arial"/>
          <w:sz w:val="22"/>
          <w:szCs w:val="22"/>
        </w:rPr>
        <w:t xml:space="preserve">RLHF（人間フィードバックによる強化学習）：専門家がAIの出力を評価・ランキング</w:t>
      </w:r>
    </w:p>
    <w:p>
      <w:pPr>
        <w:pStyle w:val="ListParagraph"/>
        <w:numPr>
          <w:ilvl w:val="0"/>
          <w:numId w:val="2"/>
        </w:numPr>
        <w:spacing w:after="80"/>
      </w:pPr>
      <w:r>
        <w:rPr>
          <w:rFonts w:ascii="Arial" w:cs="Arial" w:eastAsia="Arial" w:hAnsi="Arial"/>
          <w:sz w:val="22"/>
          <w:szCs w:val="22"/>
        </w:rPr>
        <w:t xml:space="preserve">SFT（教師ありファインチューニング）：高品質な回答例の作成</w:t>
      </w:r>
    </w:p>
    <w:p>
      <w:pPr>
        <w:pStyle w:val="ListParagraph"/>
        <w:numPr>
          <w:ilvl w:val="0"/>
          <w:numId w:val="2"/>
        </w:numPr>
        <w:spacing w:after="80"/>
      </w:pPr>
      <w:r>
        <w:rPr>
          <w:rFonts w:ascii="Arial" w:cs="Arial" w:eastAsia="Arial" w:hAnsi="Arial"/>
          <w:sz w:val="22"/>
          <w:szCs w:val="22"/>
        </w:rPr>
        <w:t xml:space="preserve">モデル評価：ルーブリック開発、ベンチマークテスト</w:t>
      </w:r>
    </w:p>
    <w:p>
      <w:pPr>
        <w:pStyle w:val="ListParagraph"/>
        <w:numPr>
          <w:ilvl w:val="0"/>
          <w:numId w:val="2"/>
        </w:numPr>
        <w:spacing w:after="80"/>
      </w:pPr>
      <w:r>
        <w:rPr>
          <w:rFonts w:ascii="Arial" w:cs="Arial" w:eastAsia="Arial" w:hAnsi="Arial"/>
          <w:sz w:val="22"/>
          <w:szCs w:val="22"/>
        </w:rPr>
        <w:t xml:space="preserve">RL環境構築：強化学習環境の設計・構築</w:t>
      </w:r>
    </w:p>
    <w:p>
      <w:pPr>
        <w:spacing w:after="200"/>
      </w:pPr>
    </w:p>
    <w:p>
      <w:pPr>
        <w:spacing w:after="120"/>
      </w:pPr>
      <w:r>
        <w:rPr>
          <w:rFonts w:ascii="Arial" w:cs="Arial" w:eastAsia="Arial" w:hAnsi="Arial"/>
          <w:b/>
          <w:bCs/>
          <w:sz w:val="22"/>
          <w:szCs w:val="22"/>
        </w:rPr>
        <w:t xml:space="preserve">収益モデル：</w:t>
      </w:r>
      <w:r>
        <w:rPr>
          <w:rFonts w:ascii="Arial" w:cs="Arial" w:eastAsia="Arial" w:hAnsi="Arial"/>
          <w:sz w:val="22"/>
          <w:szCs w:val="22"/>
        </w:rPr>
        <w:t xml:space="preserve">「コストプラス」型。専門家の時給（平均$95/時間）に対して、約35%のブローカーフィーを上乗せしてクライアントに請求。専門家には日約$1.5M（約2.25億円）が支払われています。</w:t>
      </w:r>
    </w:p>
    <w:p>
      <w:pPr>
        <w:spacing w:after="200"/>
      </w:pPr>
    </w:p>
    <w:p>
      <w:pPr>
        <w:pStyle w:val="Heading3"/>
      </w:pPr>
      <w:r>
        <w:t xml:space="preserve">② 採用プラットフォーム事業（売上の約20%）</w:t>
      </w:r>
    </w:p>
    <w:p>
      <w:pPr>
        <w:spacing w:after="120"/>
      </w:pPr>
      <w:r>
        <w:rPr>
          <w:rFonts w:ascii="Arial" w:cs="Arial" w:eastAsia="Arial" w:hAnsi="Arial"/>
          <w:sz w:val="22"/>
          <w:szCs w:val="22"/>
        </w:rPr>
        <w:t xml:space="preserve">元々のコア事業であるAI採用プラットフォームも引き続き運営しています。</w:t>
      </w:r>
    </w:p>
    <w:p>
      <w:pPr>
        <w:pStyle w:val="ListParagraph"/>
        <w:numPr>
          <w:ilvl w:val="0"/>
          <w:numId w:val="2"/>
        </w:numPr>
        <w:spacing w:after="80"/>
      </w:pPr>
      <w:r>
        <w:rPr>
          <w:rFonts w:ascii="Arial" w:cs="Arial" w:eastAsia="Arial" w:hAnsi="Arial"/>
          <w:sz w:val="22"/>
          <w:szCs w:val="22"/>
        </w:rPr>
        <w:t xml:space="preserve">AI構造化面接：候補者のスキルを客観的に評価</w:t>
      </w:r>
    </w:p>
    <w:p>
      <w:pPr>
        <w:pStyle w:val="ListParagraph"/>
        <w:numPr>
          <w:ilvl w:val="0"/>
          <w:numId w:val="2"/>
        </w:numPr>
        <w:spacing w:after="80"/>
      </w:pPr>
      <w:r>
        <w:rPr>
          <w:rFonts w:ascii="Arial" w:cs="Arial" w:eastAsia="Arial" w:hAnsi="Arial"/>
          <w:sz w:val="22"/>
          <w:szCs w:val="22"/>
        </w:rPr>
        <w:t xml:space="preserve">マッチングエンジン：企業の要件と候補者のスキルを自動照合</w:t>
      </w:r>
    </w:p>
    <w:p>
      <w:pPr>
        <w:pStyle w:val="ListParagraph"/>
        <w:numPr>
          <w:ilvl w:val="0"/>
          <w:numId w:val="2"/>
        </w:numPr>
        <w:spacing w:after="80"/>
      </w:pPr>
      <w:r>
        <w:rPr>
          <w:rFonts w:ascii="Arial" w:cs="Arial" w:eastAsia="Arial" w:hAnsi="Arial"/>
          <w:sz w:val="22"/>
          <w:szCs w:val="22"/>
        </w:rPr>
        <w:t xml:space="preserve">収益モデル：採用成功報酬（年収の約30%）</w:t>
      </w:r>
    </w:p>
    <w:p>
      <w:pPr>
        <w:spacing w:after="200"/>
      </w:pPr>
    </w:p>
    <w:p>
      <w:pPr>
        <w:pStyle w:val="Heading2"/>
      </w:pPr>
      <w:r>
        <w:t xml:space="preserve">3-2. 収益成長の軌跡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時期</w:t>
            </w:r>
          </w:p>
        </w:tc>
        <w:tc>
          <w:tcPr>
            <w:tcW w:type="dxa" w:w="2257"/>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ARR</w:t>
            </w:r>
          </w:p>
        </w:tc>
        <w:tc>
          <w:tcPr>
            <w:tcW w:type="dxa" w:w="2256"/>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月次成長率</w:t>
            </w:r>
          </w:p>
        </w:tc>
        <w:tc>
          <w:tcPr>
            <w:tcW w:type="dxa" w:w="2257"/>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備考</w:t>
            </w:r>
          </w:p>
        </w:tc>
      </w:tr>
      <w:tr>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2023年後半</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$1M</w:t>
            </w:r>
          </w:p>
        </w:tc>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口コミのみで成長</w:t>
            </w:r>
          </w:p>
        </w:tc>
      </w:tr>
      <w:tr>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2024年末</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$35M</w:t>
            </w:r>
          </w:p>
        </w:tc>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約25%</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RLHF事業開始</w:t>
            </w:r>
          </w:p>
        </w:tc>
      </w:tr>
      <w:tr>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2025年2月</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$75M+</w:t>
            </w:r>
          </w:p>
        </w:tc>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約50%</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黒字化達成</w:t>
            </w:r>
          </w:p>
        </w:tc>
      </w:tr>
      <w:tr>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2025年8月</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4F46E5"/>
                <w:sz w:val="20"/>
                <w:szCs w:val="20"/>
              </w:rPr>
              <w:t xml:space="preserve">$500M</w:t>
            </w:r>
          </w:p>
        </w:tc>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約50%</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30人で$500M</w:t>
            </w:r>
          </w:p>
        </w:tc>
      </w:tr>
      <w:tr>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2025年10月</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$850M+</w:t>
            </w:r>
          </w:p>
        </w:tc>
        <w:tc>
          <w:tcPr>
            <w:tcW w:type="dxa" w:w="225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約30%</w:t>
            </w:r>
          </w:p>
        </w:tc>
        <w:tc>
          <w:tcPr>
            <w:tcW w:type="dxa" w:w="225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Series C調達</w:t>
            </w:r>
          </w:p>
        </w:tc>
      </w:tr>
    </w:tbl>
    <w:p>
      <w:pPr>
        <w:spacing w:after="200"/>
      </w:pPr>
    </w:p>
    <w:p>
      <w:pPr>
        <w:pStyle w:val="Heading2"/>
      </w:pPr>
      <w:r>
        <w:t xml:space="preserve">3-3. ビジネスモデルの強さ</w:t>
      </w:r>
    </w:p>
    <w:p>
      <w:pPr>
        <w:pStyle w:val="ListParagraph"/>
        <w:numPr>
          <w:ilvl w:val="0"/>
          <w:numId w:val="2"/>
        </w:numPr>
        <w:spacing w:after="80"/>
      </w:pPr>
      <w:r>
        <w:rPr>
          <w:rFonts w:ascii="Arial" w:cs="Arial" w:eastAsia="Arial" w:hAnsi="Arial"/>
          <w:sz w:val="22"/>
          <w:szCs w:val="22"/>
        </w:rPr>
        <w:t xml:space="preserve">軽量な組織構造：正社員30名で$850M+のARR。従業員あたり約$28Mの売上は、SaaS業界でも異例的</w:t>
      </w:r>
    </w:p>
    <w:p>
      <w:pPr>
        <w:pStyle w:val="ListParagraph"/>
        <w:numPr>
          <w:ilvl w:val="0"/>
          <w:numId w:val="2"/>
        </w:numPr>
        <w:spacing w:after="80"/>
      </w:pPr>
      <w:r>
        <w:rPr>
          <w:rFonts w:ascii="Arial" w:cs="Arial" w:eastAsia="Arial" w:hAnsi="Arial"/>
          <w:sz w:val="22"/>
          <w:szCs w:val="22"/>
        </w:rPr>
        <w:t xml:space="preserve">ネットワーク効果：専門家が増えるほどサービス品質が向上し、より多くのAIラボが集まる好循環</w:t>
      </w:r>
    </w:p>
    <w:p>
      <w:pPr>
        <w:pStyle w:val="ListParagraph"/>
        <w:numPr>
          <w:ilvl w:val="0"/>
          <w:numId w:val="2"/>
        </w:numPr>
        <w:spacing w:after="80"/>
      </w:pPr>
      <w:r>
        <w:rPr>
          <w:rFonts w:ascii="Arial" w:cs="Arial" w:eastAsia="Arial" w:hAnsi="Arial"/>
          <w:sz w:val="22"/>
          <w:szCs w:val="22"/>
        </w:rPr>
        <w:t xml:space="preserve">スイッチングコスト：AIラボはMercorの専門家ネットワークに依存するため、他社への乗り換えが困難</w:t>
      </w:r>
    </w:p>
    <w:p>
      <w:pPr>
        <w:pStyle w:val="ListParagraph"/>
        <w:numPr>
          <w:ilvl w:val="0"/>
          <w:numId w:val="2"/>
        </w:numPr>
        <w:spacing w:after="80"/>
      </w:pPr>
      <w:r>
        <w:rPr>
          <w:rFonts w:ascii="Arial" w:cs="Arial" w:eastAsia="Arial" w:hAnsi="Arial"/>
          <w:sz w:val="22"/>
          <w:szCs w:val="22"/>
        </w:rPr>
        <w:t xml:space="preserve">二軸収益：AIトレーニング + 採用プラットフォームのハイブリッドモデル</w:t>
      </w:r>
    </w:p>
    <w:p>
      <w:pPr>
        <w:spacing w:after="200"/>
      </w:pPr>
    </w:p>
    <w:p>
      <w:pPr>
        <w:pStyle w:val="Heading2"/>
      </w:pPr>
      <w:r>
        <w:t xml:space="preserve">3-4. 競合環境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9"/>
        <w:gridCol w:w="1808"/>
        <w:gridCol w:w="1809"/>
      </w:tblGrid>
      <w:tr>
        <w:tc>
          <w:tcPr>
            <w:tcW w:type="dxa" w:w="1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企業</w:t>
            </w:r>
          </w:p>
        </w:tc>
        <w:tc>
          <w:tcPr>
            <w:tcW w:type="dxa" w:w="1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売上規模</w:t>
            </w:r>
          </w:p>
        </w:tc>
        <w:tc>
          <w:tcPr>
            <w:tcW w:type="dxa" w:w="1809"/>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主力事業</w:t>
            </w:r>
          </w:p>
        </w:tc>
        <w:tc>
          <w:tcPr>
            <w:tcW w:type="dxa" w:w="1808"/>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強み</w:t>
            </w:r>
          </w:p>
        </w:tc>
        <w:tc>
          <w:tcPr>
            <w:tcW w:type="dxa" w:w="1809"/>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弱み</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Mercor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$850M+</w:t>
            </w:r>
          </w:p>
        </w:tc>
        <w:tc>
          <w:tcPr>
            <w:tcW w:type="dxa" w:w="18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RLHF + 採用</w:t>
            </w:r>
          </w:p>
        </w:tc>
        <w:tc>
          <w:tcPr>
            <w:tcW w:type="dxa" w:w="1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専門家NW</w:t>
            </w:r>
          </w:p>
        </w:tc>
        <w:tc>
          <w:tcPr>
            <w:tcW w:type="dxa" w:w="18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AIラボ依存</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Scale AI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$870M</w:t>
            </w:r>
          </w:p>
        </w:tc>
        <w:tc>
          <w:tcPr>
            <w:tcW w:type="dxa" w:w="18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データラベリング</w:t>
            </w:r>
          </w:p>
        </w:tc>
        <w:tc>
          <w:tcPr>
            <w:tcW w:type="dxa" w:w="1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30万人のワーカー</w:t>
            </w:r>
          </w:p>
        </w:tc>
        <w:tc>
          <w:tcPr>
            <w:tcW w:type="dxa" w:w="18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エキスパート少</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Surge AI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$1B+</w:t>
            </w:r>
          </w:p>
        </w:tc>
        <w:tc>
          <w:tcPr>
            <w:tcW w:type="dxa" w:w="18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データラベリング</w:t>
            </w:r>
          </w:p>
        </w:tc>
        <w:tc>
          <w:tcPr>
            <w:tcW w:type="dxa" w:w="1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規模</w:t>
            </w:r>
          </w:p>
        </w:tc>
        <w:tc>
          <w:tcPr>
            <w:tcW w:type="dxa" w:w="18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単純作業中心</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Turing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$300M+</w:t>
            </w:r>
          </w:p>
        </w:tc>
        <w:tc>
          <w:tcPr>
            <w:tcW w:type="dxa" w:w="18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エンジニア仲介</w:t>
            </w:r>
          </w:p>
        </w:tc>
        <w:tc>
          <w:tcPr>
            <w:tcW w:type="dxa" w:w="18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エンジニア特化</w:t>
            </w:r>
          </w:p>
        </w:tc>
        <w:tc>
          <w:tcPr>
            <w:tcW w:type="dxa" w:w="18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AIトレーニング弱</w:t>
            </w:r>
          </w:p>
        </w:tc>
      </w:tr>
    </w:tbl>
    <w:p>
      <w:pPr>
        <w:spacing w:after="200"/>
      </w:pPr>
    </w:p>
    <w:p>
      <w:pPr>
        <w:pStyle w:val="Heading1"/>
      </w:pPr>
      <w:r>
        <w:t xml:space="preserve">第4章　日本市場での再現性評価</w:t>
      </w:r>
    </w:p>
    <w:p>
      <w:pPr>
        <w:pStyle w:val="Heading2"/>
      </w:pPr>
      <w:r>
        <w:t xml:space="preserve">4-1. Mercorモデルの分解と日本適用性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13"/>
        <w:gridCol w:w="2313"/>
      </w:tblGrid>
      <w:tr>
        <w:tc>
          <w:tcPr>
            <w:tcW w:type="dxa" w:w="2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Mercorの要素</w:t>
            </w:r>
          </w:p>
        </w:tc>
        <w:tc>
          <w:tcPr>
            <w:tcW w:type="dxa" w:w="2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米国での状況</w:t>
            </w:r>
          </w:p>
        </w:tc>
        <w:tc>
          <w:tcPr>
            <w:tcW w:type="dxa" w:w="2313"/>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日本での可能性</w:t>
            </w:r>
          </w:p>
        </w:tc>
        <w:tc>
          <w:tcPr>
            <w:tcW w:type="dxa" w:w="2313"/>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難易度</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AIトレーニングデータ（RLHF）</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$850M+の主力収益。OpenAI等が大口顧客</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日本語特化のRLHF需要は限定的。国内AIラボは小規模</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DC2626"/>
                <w:sz w:val="20"/>
                <w:szCs w:val="20"/>
              </w:rPr>
              <w:t xml:space="preserve">★★★★☆ 難</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AI採用プラットフォーム</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売上の約20%。採用成功報酬30%</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日本の深刻な人手不足で大きな需要あり</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16A34A"/>
                <w:sz w:val="20"/>
                <w:szCs w:val="20"/>
              </w:rPr>
              <w:t xml:space="preserve">★★☆☆☆ 易</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コストプラス型収益</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35%ブローカーフィー</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日本の商習慣では15～25%が現実的</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D97706"/>
                <w:sz w:val="20"/>
                <w:szCs w:val="20"/>
              </w:rPr>
              <w:t xml:space="preserve">★★★☆☆ 中</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30万人の専門家NW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グローバルに300K+の有資格者</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日本の専門家は副業文化が浅く構築困難</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DC2626"/>
                <w:sz w:val="20"/>
                <w:szCs w:val="20"/>
              </w:rPr>
              <w:t xml:space="preserve">★★★★☆ 難</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軽量組織（30名）</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$28M/人の売上効率</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日本でもプラットフォーム型なら可能</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16A34A"/>
                <w:sz w:val="20"/>
                <w:szCs w:val="20"/>
              </w:rPr>
              <w:t xml:space="preserve">★★☆☆☆ 易</w:t>
            </w:r>
          </w:p>
        </w:tc>
      </w:tr>
    </w:tbl>
    <w:p>
      <w:pPr>
        <w:spacing w:after="200"/>
      </w:pPr>
    </w:p>
    <w:p>
      <w:pPr>
        <w:pStyle w:val="Heading2"/>
      </w:pPr>
      <w:r>
        <w:t xml:space="preserve">4-2. 日本で再現可能な要素（✔）</w:t>
      </w:r>
    </w:p>
    <w:p>
      <w:pPr>
        <w:pStyle w:val="Heading3"/>
      </w:pPr>
      <w:r>
        <w:t xml:space="preserve">✔ AI採用プラットフォーム（Michibikiのコア事業）</w:t>
      </w:r>
    </w:p>
    <w:p>
      <w:pPr>
        <w:spacing w:after="120"/>
      </w:pPr>
      <w:r>
        <w:rPr>
          <w:rFonts w:ascii="Arial" w:cs="Arial" w:eastAsia="Arial" w:hAnsi="Arial"/>
          <w:sz w:val="22"/>
          <w:szCs w:val="22"/>
        </w:rPr>
        <w:t xml:space="preserve">Mercorの「原点」であるAI面接・マッチングは、日本市場で最も再現性が高い要素です。理由は以下の通りです：</w:t>
      </w:r>
    </w:p>
    <w:p>
      <w:pPr>
        <w:pStyle w:val="ListParagraph"/>
        <w:numPr>
          <w:ilvl w:val="0"/>
          <w:numId w:val="2"/>
        </w:numPr>
        <w:spacing w:after="80"/>
      </w:pPr>
      <w:r>
        <w:rPr>
          <w:rFonts w:ascii="Arial" w:cs="Arial" w:eastAsia="Arial" w:hAnsi="Arial"/>
          <w:sz w:val="22"/>
          <w:szCs w:val="22"/>
        </w:rPr>
        <w:t xml:space="preserve">日本企業の2/3が人手不足を報告しており、採用効率化への需要が非常に大きい</w:t>
      </w:r>
    </w:p>
    <w:p>
      <w:pPr>
        <w:pStyle w:val="ListParagraph"/>
        <w:numPr>
          <w:ilvl w:val="0"/>
          <w:numId w:val="2"/>
        </w:numPr>
        <w:spacing w:after="80"/>
      </w:pPr>
      <w:r>
        <w:rPr>
          <w:rFonts w:ascii="Arial" w:cs="Arial" w:eastAsia="Arial" w:hAnsi="Arial"/>
          <w:sz w:val="22"/>
          <w:szCs w:val="22"/>
        </w:rPr>
        <w:t xml:space="preserve">日本のHRテック市場は約3,000億円規模でCAGR 6.9%成長中</w:t>
      </w:r>
    </w:p>
    <w:p>
      <w:pPr>
        <w:pStyle w:val="ListParagraph"/>
        <w:numPr>
          <w:ilvl w:val="0"/>
          <w:numId w:val="2"/>
        </w:numPr>
        <w:spacing w:after="80"/>
      </w:pPr>
      <w:r>
        <w:rPr>
          <w:rFonts w:ascii="Arial" w:cs="Arial" w:eastAsia="Arial" w:hAnsi="Arial"/>
          <w:sz w:val="22"/>
          <w:szCs w:val="22"/>
        </w:rPr>
        <w:t xml:space="preserve">既存の競合（BizReach、HERP等）はまだAI面接機能を本格導入していない</w:t>
      </w:r>
    </w:p>
    <w:p>
      <w:pPr>
        <w:pStyle w:val="ListParagraph"/>
        <w:numPr>
          <w:ilvl w:val="0"/>
          <w:numId w:val="2"/>
        </w:numPr>
        <w:spacing w:after="80"/>
      </w:pPr>
      <w:r>
        <w:rPr>
          <w:rFonts w:ascii="Arial" w:cs="Arial" w:eastAsia="Arial" w:hAnsi="Arial"/>
          <w:sz w:val="22"/>
          <w:szCs w:val="22"/>
        </w:rPr>
        <w:t xml:space="preserve">日本語完全対応のAI面接は、Mercorがまだカバーしきれていない領域</w:t>
      </w:r>
    </w:p>
    <w:p>
      <w:pPr>
        <w:spacing w:after="200"/>
      </w:pPr>
    </w:p>
    <w:p>
      <w:pPr>
        <w:pStyle w:val="Heading3"/>
      </w:pPr>
      <w:r>
        <w:t xml:space="preserve">✔ コストプラス型の人材マーケットプレイス</w:t>
      </w:r>
    </w:p>
    <w:p>
      <w:pPr>
        <w:spacing w:after="120"/>
      </w:pPr>
      <w:r>
        <w:rPr>
          <w:rFonts w:ascii="Arial" w:cs="Arial" w:eastAsia="Arial" w:hAnsi="Arial"/>
          <w:sz w:val="22"/>
          <w:szCs w:val="22"/>
        </w:rPr>
        <w:t xml:space="preserve">日本でも副業・フリーランス市場は拡大中です。ブローカーフィーを日本の商習慣に合わせて15～25%に調整すれば、フリーランスエンジニアや副業人材のマッチングプラットフォームとして機能します。</w:t>
      </w:r>
    </w:p>
    <w:p>
      <w:pPr>
        <w:spacing w:after="200"/>
      </w:pPr>
    </w:p>
    <w:p>
      <w:pPr>
        <w:pStyle w:val="Heading3"/>
      </w:pPr>
      <w:r>
        <w:t xml:space="preserve">✔ リファラル・バイラル成長</w:t>
      </w:r>
    </w:p>
    <w:p>
      <w:pPr>
        <w:spacing w:after="120"/>
      </w:pPr>
      <w:r>
        <w:rPr>
          <w:rFonts w:ascii="Arial" w:cs="Arial" w:eastAsia="Arial" w:hAnsi="Arial"/>
          <w:sz w:val="22"/>
          <w:szCs w:val="22"/>
        </w:rPr>
        <w:t xml:space="preserve">Mercorは初期に口コミだけで数百万ドルのランレートに到達しました。Michibikiにもリファラル機能が実装済みであり、LinkedInコネクションインポートと組み合わせることで、日本でもバイラル成長を狙えます。</w:t>
      </w:r>
    </w:p>
    <w:p>
      <w:pPr>
        <w:spacing w:after="200"/>
      </w:pPr>
    </w:p>
    <w:p>
      <w:pPr>
        <w:pStyle w:val="Heading2"/>
      </w:pPr>
      <w:r>
        <w:t xml:space="preserve">4-3. 日本で再現が難しい要素（✘）</w:t>
      </w:r>
    </w:p>
    <w:p>
      <w:pPr>
        <w:pStyle w:val="Heading3"/>
      </w:pPr>
      <w:r>
        <w:t xml:space="preserve">✘ RLHF/AIトレーニングデータ事業の完全再現</w:t>
      </w:r>
    </w:p>
    <w:p>
      <w:pPr>
        <w:spacing w:after="120"/>
      </w:pPr>
      <w:r>
        <w:rPr>
          <w:rFonts w:ascii="Arial" w:cs="Arial" w:eastAsia="Arial" w:hAnsi="Arial"/>
          <w:sz w:val="22"/>
          <w:szCs w:val="22"/>
        </w:rPr>
        <w:t xml:space="preserve">Mercorの売上の80%を占めるRLHF事業は、日本での完全再現は困難です。その理由：</w:t>
      </w:r>
    </w:p>
    <w:p>
      <w:pPr>
        <w:pStyle w:val="ListParagraph"/>
        <w:numPr>
          <w:ilvl w:val="0"/>
          <w:numId w:val="2"/>
        </w:numPr>
        <w:spacing w:after="80"/>
      </w:pPr>
      <w:r>
        <w:rPr>
          <w:rFonts w:ascii="Arial" w:cs="Arial" w:eastAsia="Arial" w:hAnsi="Arial"/>
          <w:sz w:val="22"/>
          <w:szCs w:val="22"/>
        </w:rPr>
        <w:t xml:space="preserve">顧客が少ない：OpenAI、Anthropic、Google DeepMindなどのフロンティアAIラボはほぼ全て米国拠点。日本國内に同規模の顧客は存在しない</w:t>
      </w:r>
    </w:p>
    <w:p>
      <w:pPr>
        <w:pStyle w:val="ListParagraph"/>
        <w:numPr>
          <w:ilvl w:val="0"/>
          <w:numId w:val="2"/>
        </w:numPr>
        <w:spacing w:after="80"/>
      </w:pPr>
      <w:r>
        <w:rPr>
          <w:rFonts w:ascii="Arial" w:cs="Arial" w:eastAsia="Arial" w:hAnsi="Arial"/>
          <w:sz w:val="22"/>
          <w:szCs w:val="22"/>
        </w:rPr>
        <w:t xml:space="preserve">専門家確保の難しさ：日本の医師・弁護士・研究者は副業规制が厳しく、フリーランスでRLHF作業に従事する文化がない</w:t>
      </w:r>
    </w:p>
    <w:p>
      <w:pPr>
        <w:pStyle w:val="ListParagraph"/>
        <w:numPr>
          <w:ilvl w:val="0"/>
          <w:numId w:val="2"/>
        </w:numPr>
        <w:spacing w:after="80"/>
      </w:pPr>
      <w:r>
        <w:rPr>
          <w:rFonts w:ascii="Arial" w:cs="Arial" w:eastAsia="Arial" w:hAnsi="Arial"/>
          <w:sz w:val="22"/>
          <w:szCs w:val="22"/>
        </w:rPr>
        <w:t xml:space="preserve">米国との賃金格差：$95/時間の専門家報酬は日本の相場と大きく乖離</w:t>
      </w:r>
    </w:p>
    <w:p>
      <w:pPr>
        <w:spacing w:after="200"/>
      </w:pPr>
    </w:p>
    <w:p>
      <w:pPr>
        <w:pStyle w:val="Heading3"/>
      </w:pPr>
      <w:r>
        <w:t xml:space="preserve">✘ 同一のバリュエーション規模</w:t>
      </w:r>
    </w:p>
    <w:p>
      <w:pPr>
        <w:spacing w:after="120"/>
      </w:pPr>
      <w:r>
        <w:rPr>
          <w:rFonts w:ascii="Arial" w:cs="Arial" w:eastAsia="Arial" w:hAnsi="Arial"/>
          <w:sz w:val="22"/>
          <w:szCs w:val="22"/>
        </w:rPr>
        <w:t xml:space="preserve">Mercorの$10B評価は、AIトレーニングデータ市場（年間$100B規模）の巨大なTAMに基づいています。日本のHRテック市場は約3,000億円と、スケールが大きく異なります。ただし、日本市場で$100M～$300M規模の企業を作ることは十分可能です。</w:t>
      </w:r>
    </w:p>
    <w:p>
      <w:pPr>
        <w:spacing w:after="200"/>
      </w:pPr>
    </w:p>
    <w:p>
      <w:pPr>
        <w:pStyle w:val="Heading1"/>
      </w:pPr>
      <w:r>
        <w:t xml:space="preserve">第5章　Michibikiへの戦略的示唆</w:t>
      </w:r>
    </w:p>
    <w:p>
      <w:pPr>
        <w:pStyle w:val="Heading2"/>
      </w:pPr>
      <w:r>
        <w:t xml:space="preserve">5-1. 推奨ロードマップ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9"/>
        <w:gridCol w:w="2509"/>
        <w:gridCol w:w="2508"/>
      </w:tblGrid>
      <w:tr>
        <w:tc>
          <w:tcPr>
            <w:tcW w:type="dxa" w:w="1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フェーズ</w:t>
            </w:r>
          </w:p>
        </w:tc>
        <w:tc>
          <w:tcPr>
            <w:tcW w:type="dxa" w:w="2509"/>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Mercorがやったこと</w:t>
            </w:r>
          </w:p>
        </w:tc>
        <w:tc>
          <w:tcPr>
            <w:tcW w:type="dxa" w:w="2509"/>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Michibikiでやるべきこと</w:t>
            </w:r>
          </w:p>
        </w:tc>
        <w:tc>
          <w:tcPr>
            <w:tcW w:type="dxa" w:w="2508"/>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KPI目標</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Phase 1
0～6M</w:t>
            </w:r>
          </w:p>
        </w:tc>
        <w:tc>
          <w:tcPr>
            <w:tcW w:type="dxa" w:w="25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インドエンジニアの手動仲介で口コミ成長</w:t>
            </w:r>
          </w:p>
        </w:tc>
        <w:tc>
          <w:tcPr>
            <w:tcW w:type="dxa" w:w="25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AI面接で日本のスタートアップ・中小企業に特化。無料プランでユーザー獲得</w:t>
            </w:r>
          </w:p>
        </w:tc>
        <w:tc>
          <w:tcPr>
            <w:tcW w:type="dxa" w:w="25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求職者5,000人
企業10社</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Phase 2
6～18M</w:t>
            </w:r>
          </w:p>
        </w:tc>
        <w:tc>
          <w:tcPr>
            <w:tcW w:type="dxa" w:w="25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RLHF事業にピボットし、AIラボ向けに専門家を供給</w:t>
            </w:r>
          </w:p>
        </w:tc>
        <w:tc>
          <w:tcPr>
            <w:tcW w:type="dxa" w:w="25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B2Bエンタープライズ契約拡大。日本語AIトレーニングデータの受託開始</w:t>
            </w:r>
          </w:p>
        </w:tc>
        <w:tc>
          <w:tcPr>
            <w:tcW w:type="dxa" w:w="25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MRR 500万円
企楩50社</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Phase 3
18～36M</w:t>
            </w:r>
          </w:p>
        </w:tc>
        <w:tc>
          <w:tcPr>
            <w:tcW w:type="dxa" w:w="25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Series Cで$10B評価。グローバル展開</w:t>
            </w:r>
          </w:p>
        </w:tc>
        <w:tc>
          <w:tcPr>
            <w:tcW w:type="dxa" w:w="25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アジア展開（韓国・台湾・東南アジア）。シリーズA調達で拡大</w:t>
            </w:r>
          </w:p>
        </w:tc>
        <w:tc>
          <w:tcPr>
            <w:tcW w:type="dxa" w:w="25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ARR 10億円+
アジア2ヶ国展開</w:t>
            </w:r>
          </w:p>
        </w:tc>
      </w:tr>
    </w:tbl>
    <w:p>
      <w:pPr>
        <w:spacing w:after="200"/>
      </w:pPr>
    </w:p>
    <w:p>
      <w:pPr>
        <w:pStyle w:val="Heading2"/>
      </w:pPr>
      <w:r>
        <w:t xml:space="preserve">5-2. Mercorから学ぶべき5つの教訓</w:t>
      </w:r>
    </w:p>
    <w:p>
      <w:pPr>
        <w:pStyle w:val="ListParagraph"/>
        <w:numPr>
          <w:ilvl w:val="0"/>
          <w:numId w:val="2"/>
        </w:numPr>
        <w:spacing w:after="80"/>
      </w:pPr>
      <w:r>
        <w:rPr>
          <w:rFonts w:ascii="Arial" w:cs="Arial" w:eastAsia="Arial" w:hAnsi="Arial"/>
          <w:b/>
          <w:bCs/>
          <w:sz w:val="22"/>
          <w:szCs w:val="22"/>
        </w:rPr>
        <w:t xml:space="preserve">教訓1：口コミでのオーガニック成長を最優先する。</w:t>
      </w:r>
      <w:r>
        <w:rPr>
          <w:rFonts w:ascii="Arial" w:cs="Arial" w:eastAsia="Arial" w:hAnsi="Arial"/>
          <w:sz w:val="22"/>
          <w:szCs w:val="22"/>
        </w:rPr>
        <w:t xml:space="preserve">Mercorは外部資金調達前に口コミだけで数百万ドルのランレートに到達。プロダクトの良さが最大のマーケティングです。</w:t>
      </w:r>
    </w:p>
    <w:p>
      <w:pPr>
        <w:pStyle w:val="ListParagraph"/>
        <w:numPr>
          <w:ilvl w:val="0"/>
          <w:numId w:val="2"/>
        </w:numPr>
        <w:spacing w:after="80"/>
      </w:pPr>
      <w:r>
        <w:rPr>
          <w:rFonts w:ascii="Arial" w:cs="Arial" w:eastAsia="Arial" w:hAnsi="Arial"/>
          <w:b/>
          <w:bCs/>
          <w:sz w:val="22"/>
          <w:szCs w:val="22"/>
        </w:rPr>
        <w:t xml:space="preserve">教訓2：市場の構造変化にピボットする勇気。</w:t>
      </w:r>
      <w:r>
        <w:rPr>
          <w:rFonts w:ascii="Arial" w:cs="Arial" w:eastAsia="Arial" w:hAnsi="Arial"/>
          <w:sz w:val="22"/>
          <w:szCs w:val="22"/>
        </w:rPr>
        <w:t xml:space="preserve">Mercorは「採用プラットフォーム」から「RLHFデータ事業」へ大胆にピボット。日本市場でも、常に「次の大きな波」を探す姿勢が重要です。</w:t>
      </w:r>
    </w:p>
    <w:p>
      <w:pPr>
        <w:pStyle w:val="ListParagraph"/>
        <w:numPr>
          <w:ilvl w:val="0"/>
          <w:numId w:val="2"/>
        </w:numPr>
        <w:spacing w:after="80"/>
      </w:pPr>
      <w:r>
        <w:rPr>
          <w:rFonts w:ascii="Arial" w:cs="Arial" w:eastAsia="Arial" w:hAnsi="Arial"/>
          <w:b/>
          <w:bCs/>
          <w:sz w:val="22"/>
          <w:szCs w:val="22"/>
        </w:rPr>
        <w:t xml:space="preserve">教訓3：軽量組織を維持する。</w:t>
      </w:r>
      <w:r>
        <w:rPr>
          <w:rFonts w:ascii="Arial" w:cs="Arial" w:eastAsia="Arial" w:hAnsi="Arial"/>
          <w:sz w:val="22"/>
          <w:szCs w:val="22"/>
        </w:rPr>
        <w:t xml:space="preserve">30名で$850M。プラットフォーム型ビジネスなら、人を雇わずにスケールすることが可能です。Michibikiも初期は5人以下で運営すべきです。</w:t>
      </w:r>
    </w:p>
    <w:p>
      <w:pPr>
        <w:pStyle w:val="ListParagraph"/>
        <w:numPr>
          <w:ilvl w:val="0"/>
          <w:numId w:val="2"/>
        </w:numPr>
        <w:spacing w:after="80"/>
      </w:pPr>
      <w:r>
        <w:rPr>
          <w:rFonts w:ascii="Arial" w:cs="Arial" w:eastAsia="Arial" w:hAnsi="Arial"/>
          <w:b/>
          <w:bCs/>
          <w:sz w:val="22"/>
          <w:szCs w:val="22"/>
        </w:rPr>
        <w:t xml:space="preserve">教訓4：「専門家」を押さえる。</w:t>
      </w:r>
      <w:r>
        <w:rPr>
          <w:rFonts w:ascii="Arial" w:cs="Arial" w:eastAsia="Arial" w:hAnsi="Arial"/>
          <w:sz w:val="22"/>
          <w:szCs w:val="22"/>
        </w:rPr>
        <w:t xml:space="preserve">Mercorの堍は「質の高い専門家ネットワーク」です。日本でも、特定分野のプロフェッショナルをいかに囲い込むかが勝負の鍵です。</w:t>
      </w:r>
    </w:p>
    <w:p>
      <w:pPr>
        <w:pStyle w:val="ListParagraph"/>
        <w:numPr>
          <w:ilvl w:val="0"/>
          <w:numId w:val="2"/>
        </w:numPr>
        <w:spacing w:after="80"/>
      </w:pPr>
      <w:r>
        <w:rPr>
          <w:rFonts w:ascii="Arial" w:cs="Arial" w:eastAsia="Arial" w:hAnsi="Arial"/>
          <w:b/>
          <w:bCs/>
          <w:sz w:val="22"/>
          <w:szCs w:val="22"/>
        </w:rPr>
        <w:t xml:space="preserve">教訓5：著名投資家のブランド力を活用する。</w:t>
      </w:r>
      <w:r>
        <w:rPr>
          <w:rFonts w:ascii="Arial" w:cs="Arial" w:eastAsia="Arial" w:hAnsi="Arial"/>
          <w:sz w:val="22"/>
          <w:szCs w:val="22"/>
        </w:rPr>
        <w:t xml:space="preserve">Peter Thiel、Jack Dorseyの名前があるだけで、次のラウンドの調達が格段に容易になります。日本でも、HRテックに強いVCを戦略的に選びましょう。</w:t>
      </w:r>
    </w:p>
    <w:p>
      <w:pPr>
        <w:spacing w:after="200"/>
      </w:pPr>
    </w:p>
    <w:p>
      <w:pPr>
        <w:pStyle w:val="Heading2"/>
      </w:pPr>
      <w:r>
        <w:t xml:space="preserve">5-3. Michibikiが狙うべき市場規模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9"/>
        <w:gridCol w:w="2409"/>
        <w:gridCol w:w="2408"/>
      </w:tblGrid>
      <w:tr>
        <w:tc>
          <w:tcPr>
            <w:tcW w:type="dxa" w:w="1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シナリオ</w:t>
            </w:r>
          </w:p>
        </w:tc>
        <w:tc>
          <w:tcPr>
            <w:tcW w:type="dxa" w:w="2409"/>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3年後ARR</w:t>
            </w:r>
          </w:p>
        </w:tc>
        <w:tc>
          <w:tcPr>
            <w:tcW w:type="dxa" w:w="2409"/>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評価額目安</w:t>
            </w:r>
          </w:p>
        </w:tc>
        <w:tc>
          <w:tcPr>
            <w:tcW w:type="dxa" w:w="2408"/>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前提条件</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保守的</w:t>
            </w:r>
          </w:p>
        </w:tc>
        <w:tc>
          <w:tcPr>
            <w:tcW w:type="dxa" w:w="24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約3億円</w:t>
            </w:r>
          </w:p>
        </w:tc>
        <w:tc>
          <w:tcPr>
            <w:tcW w:type="dxa" w:w="24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約20～30億円</w:t>
            </w:r>
          </w:p>
        </w:tc>
        <w:tc>
          <w:tcPr>
            <w:tcW w:type="dxa" w:w="24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HRテックのみ、国内特化</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標準</w:t>
            </w:r>
          </w:p>
        </w:tc>
        <w:tc>
          <w:tcPr>
            <w:tcW w:type="dxa" w:w="24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4F46E5"/>
                <w:sz w:val="20"/>
                <w:szCs w:val="20"/>
              </w:rPr>
              <w:t xml:space="preserve">約8億円</w:t>
            </w:r>
          </w:p>
        </w:tc>
        <w:tc>
          <w:tcPr>
            <w:tcW w:type="dxa" w:w="24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4F46E5"/>
                <w:sz w:val="20"/>
                <w:szCs w:val="20"/>
              </w:rPr>
              <w:t xml:space="preserve">約50～80億円</w:t>
            </w:r>
          </w:p>
        </w:tc>
        <w:tc>
          <w:tcPr>
            <w:tcW w:type="dxa" w:w="24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HRテック + 日本語AIデータ</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楽観的</w:t>
            </w:r>
          </w:p>
        </w:tc>
        <w:tc>
          <w:tcPr>
            <w:tcW w:type="dxa" w:w="24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約20億円</w:t>
            </w:r>
          </w:p>
        </w:tc>
        <w:tc>
          <w:tcPr>
            <w:tcW w:type="dxa" w:w="24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約100～200億円</w:t>
            </w:r>
          </w:p>
        </w:tc>
        <w:tc>
          <w:tcPr>
            <w:tcW w:type="dxa" w:w="240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sz w:val="20"/>
                <w:szCs w:val="20"/>
              </w:rPr>
              <w:t xml:space="preserve">HRテック + AIデータ + アジア展開</w:t>
            </w:r>
          </w:p>
        </w:tc>
      </w:tr>
    </w:tbl>
    <w:p>
      <w:pPr>
        <w:spacing w:after="200"/>
      </w:pPr>
    </w:p>
    <w:p>
      <w:pPr>
        <w:pStyle w:val="Heading1"/>
      </w:pPr>
      <w:r>
        <w:t xml:space="preserve">第6章　結論</w:t>
      </w:r>
    </w:p>
    <w:p>
      <w:pPr>
        <w:spacing w:after="120"/>
      </w:pPr>
      <w:r>
        <w:rPr>
          <w:rFonts w:ascii="Arial" w:cs="Arial" w:eastAsia="Arial" w:hAnsi="Arial"/>
          <w:sz w:val="22"/>
          <w:szCs w:val="22"/>
        </w:rPr>
        <w:t xml:space="preserve">Mercorは「AI採用プラットフォーム」という原点から、「RLHF/AIトレーニングデータ」という巨大市場へのピボットにより、わずか2年で$10B企業になりました。</w:t>
      </w:r>
    </w:p>
    <w:p>
      <w:pPr>
        <w:spacing w:after="200"/>
      </w:pPr>
    </w:p>
    <w:p>
      <w:pPr>
        <w:spacing w:after="120"/>
      </w:pPr>
      <w:r>
        <w:rPr>
          <w:rFonts w:ascii="Arial" w:cs="Arial" w:eastAsia="Arial" w:hAnsi="Arial"/>
          <w:b/>
          <w:bCs/>
          <w:sz w:val="22"/>
          <w:szCs w:val="22"/>
        </w:rPr>
        <w:t xml:space="preserve">日本でのRLHF事業の完全再現は難しいものの、</w:t>
      </w:r>
      <w:r>
        <w:rPr>
          <w:rFonts w:ascii="Arial" w:cs="Arial" w:eastAsia="Arial" w:hAnsi="Arial"/>
          <w:sz w:val="22"/>
          <w:szCs w:val="22"/>
        </w:rPr>
        <w:t xml:space="preserve">Mercorの「原点」であるAI採用プラットフォームは、日本の深刻な人手不足を背景に、巨大なポテンシャルを持っています。</w:t>
      </w:r>
    </w:p>
    <w:p>
      <w:pPr>
        <w:spacing w:after="200"/>
      </w:pPr>
    </w:p>
    <w:p>
      <w:pPr>
        <w:spacing w:after="120"/>
      </w:pPr>
      <w:r>
        <w:rPr>
          <w:rFonts w:ascii="Arial" w:cs="Arial" w:eastAsia="Arial" w:hAnsi="Arial"/>
          <w:sz w:val="22"/>
          <w:szCs w:val="22"/>
        </w:rPr>
        <w:t xml:space="preserve">Michibikiは、Mercorの初期戦略を日本市場にローカライズした上で、将来的に日本語AIトレーニングデータやアジア展開という「第二の矢」を持つことで、十分に大きな事業に成長できるポテンシャルがあります。</w:t>
      </w:r>
    </w:p>
    <w:p>
      <w:pPr>
        <w:spacing w:after="200"/>
      </w:pPr>
    </w:p>
    <w:p>
      <w:pPr>
        <w:spacing w:after="120"/>
      </w:pPr>
      <w:r>
        <w:rPr>
          <w:rFonts w:ascii="Arial" w:cs="Arial" w:eastAsia="Arial" w:hAnsi="Arial"/>
          <w:sz w:val="22"/>
          <w:szCs w:val="22"/>
        </w:rPr>
        <w:t xml:space="preserve">———</w:t>
      </w:r>
    </w:p>
    <w:p>
      <w:pPr>
        <w:spacing w:after="120"/>
      </w:pPr>
      <w:r>
        <w:rPr>
          <w:rFonts w:ascii="Arial" w:cs="Arial" w:eastAsia="Arial" w:hAnsi="Arial"/>
          <w:i/>
          <w:iCs/>
          <w:color w:val="94A3B8"/>
          <w:sz w:val="18"/>
          <w:szCs w:val="18"/>
        </w:rPr>
        <w:t xml:space="preserve">本資料は機密情報です。無断複製・配布を禁じます。</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Mercor分析レポート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2026-03-20T15:50:30.873Z</dcterms:created>
  <dcterms:modified xsi:type="dcterms:W3CDTF">2026-03-20T15:50:30.874Z</dcterms:modified>
</cp:coreProperties>
</file>

<file path=docProps/custom.xml><?xml version="1.0" encoding="utf-8"?>
<Properties xmlns="http://schemas.openxmlformats.org/officeDocument/2006/custom-properties" xmlns:vt="http://schemas.openxmlformats.org/officeDocument/2006/docPropsVTypes"/>
</file>