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9ylh2xwg1ohf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Rapport réunion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29 novembre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Lieu</w:t>
      </w:r>
      <w:r w:rsidDel="00000000" w:rsidR="00000000" w:rsidRPr="00000000">
        <w:rPr>
          <w:rtl w:val="0"/>
        </w:rPr>
        <w:t xml:space="preserve">: Bibliothèque centre UAPV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Présents: NDIAYE - THIEN - KANTE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n346kk48jdr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Points Abordés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Comprendre et pouvoir expliquer l’utilisation de Raspberry Pi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Comme implémenter un Gateway LoraWan sur Raspberry Pi : pour la réception des données et le renvoie vers le Thing Boards.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Rédaction rapport et du cahier des charges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Rapport définir les différentes parties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différents diagrammes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Mise à jour du cahier des charges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différents programmes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Comprendre et pouvoir expliquer les différents programmes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Identifier pour les différents programmes pour chaque materiels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de replis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Trouver, Comprendre et expliquer le code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Réalisation petits projets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Identifier deux projets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Réaliser les projets identifier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Faire un rapport partiel pour chaque projet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Pensez à la présentation (à revoir)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d3z5yg6oblol" w:id="2"/>
      <w:bookmarkEnd w:id="2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Répartition des Tâches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5445"/>
        <w:gridCol w:w="1755"/>
        <w:gridCol w:w="1215"/>
        <w:tblGridChange w:id="0">
          <w:tblGrid>
            <w:gridCol w:w="1335"/>
            <w:gridCol w:w="5445"/>
            <w:gridCol w:w="175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Echéance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Validé 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NDIAYE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Traiter les différents programmes (3)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Mise à jour du cahier des charges (2)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Réaliser deux petits projets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24/12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11/12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02/12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Raspberry Pi (1)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Faire les différents diagrammes (2)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Réaliser les deux petits projet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11/12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24/12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04/12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Déterminer les differents parties du rapport (2)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Solution de replis (4)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Réaliser les deux petits projet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24/12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11/12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avant le 06/12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NB:</w:t>
      </w:r>
      <w:r w:rsidDel="00000000" w:rsidR="00000000" w:rsidRPr="00000000">
        <w:rPr>
          <w:b w:val="1"/>
          <w:rtl w:val="0"/>
        </w:rPr>
        <w:t xml:space="preserve"> Pour les différents essaie de reformuler et citer les sources</w:t>
      </w:r>
    </w:p>
    <w:sectPr>
      <w:pgSz w:h="16838" w:w="11906"/>
      <w:pgMar w:bottom="1133.8582677165355" w:top="1133.8582677165355" w:left="1077.1653543307089" w:right="1077.16535433070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