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8E4" w:rsidRDefault="003668E4"/>
    <w:p w:rsidR="00EB128E" w:rsidRDefault="00EB128E"/>
    <w:p w:rsidR="00EB128E" w:rsidRDefault="00EB128E"/>
    <w:p w:rsidR="00EB128E" w:rsidRDefault="00EB128E"/>
    <w:p w:rsidR="00EB128E" w:rsidRDefault="00EB128E"/>
    <w:p w:rsidR="00EB128E" w:rsidRPr="005A24ED" w:rsidRDefault="00EB128E" w:rsidP="00EB128E">
      <w:pPr>
        <w:tabs>
          <w:tab w:val="left" w:pos="180"/>
        </w:tabs>
        <w:spacing w:after="0" w:line="240" w:lineRule="auto"/>
        <w:ind w:left="180"/>
        <w:jc w:val="center"/>
        <w:rPr>
          <w:rFonts w:asciiTheme="majorHAnsi" w:hAnsiTheme="majorHAnsi" w:cstheme="minorHAnsi"/>
          <w:sz w:val="24"/>
          <w:szCs w:val="24"/>
        </w:rPr>
      </w:pPr>
      <w:r w:rsidRPr="005A24ED">
        <w:rPr>
          <w:rFonts w:asciiTheme="majorHAnsi" w:hAnsiTheme="majorHAnsi" w:cstheme="minorHAnsi"/>
          <w:sz w:val="24"/>
          <w:szCs w:val="24"/>
        </w:rPr>
        <w:t>A Hybrid Deep Learning Architecture for Automated Categorization and Lesion Delineation of Brain Strokes in NCCT Imagery</w:t>
      </w:r>
    </w:p>
    <w:p w:rsidR="00EB128E" w:rsidRPr="005A24ED" w:rsidRDefault="00EB128E" w:rsidP="00EB128E">
      <w:pPr>
        <w:spacing w:after="0" w:line="240" w:lineRule="auto"/>
        <w:jc w:val="both"/>
        <w:outlineLvl w:val="2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465"/>
      </w:tblGrid>
      <w:tr w:rsidR="00EB128E" w:rsidTr="00322F4F">
        <w:tc>
          <w:tcPr>
            <w:tcW w:w="8465" w:type="dxa"/>
          </w:tcPr>
          <w:p w:rsidR="00EB128E" w:rsidRDefault="00EB128E" w:rsidP="00322F4F">
            <w:pPr>
              <w:tabs>
                <w:tab w:val="left" w:pos="180"/>
              </w:tabs>
              <w:jc w:val="both"/>
            </w:pPr>
            <w:r w:rsidRPr="00B24256">
              <w:rPr>
                <w:rFonts w:asciiTheme="majorHAnsi" w:hAnsiTheme="majorHAnsi" w:cstheme="minorHAnsi"/>
                <w:b/>
                <w:sz w:val="24"/>
                <w:szCs w:val="24"/>
              </w:rPr>
              <w:t>Purpose: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Strokes,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known as </w:t>
            </w:r>
            <w:proofErr w:type="spellStart"/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cerebrovascular</w:t>
            </w:r>
            <w:proofErr w:type="spellEnd"/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accidents, represent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s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the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most critical medical emergency conditions,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and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need a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fast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and </w:t>
            </w:r>
            <w:proofErr w:type="gramStart"/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accurate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prognosis</w:t>
            </w:r>
            <w:proofErr w:type="gramEnd"/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to reduce the risk of permanent neurological damage or loss of life of a human.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According to the World Health Organization, one in four adults aged over 25 years is expected to experience a stroke at some point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of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their lives. Medical image analysis is one of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the promising approaches by specialists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at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hospitals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in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l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ocating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and iden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tifying strokes.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However, healthcare specialists are often limited by time delays,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subjective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 variability, and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inherent human judgment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limitations.</w:t>
            </w:r>
          </w:p>
        </w:tc>
      </w:tr>
      <w:tr w:rsidR="00EB128E" w:rsidRPr="00F60BCF" w:rsidTr="00322F4F">
        <w:tc>
          <w:tcPr>
            <w:tcW w:w="8465" w:type="dxa"/>
          </w:tcPr>
          <w:p w:rsidR="00EB128E" w:rsidRPr="00F60BCF" w:rsidRDefault="00EB128E" w:rsidP="00322F4F">
            <w:pPr>
              <w:jc w:val="both"/>
              <w:outlineLvl w:val="2"/>
              <w:rPr>
                <w:b/>
              </w:rPr>
            </w:pPr>
            <w:r w:rsidRPr="00F60BCF">
              <w:rPr>
                <w:b/>
              </w:rPr>
              <w:t>Approach:</w:t>
            </w:r>
            <w:r>
              <w:rPr>
                <w:b/>
              </w:rPr>
              <w:t xml:space="preserve">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To overcome these limitations, this study introduces an automated hybrid deep l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earning architecture for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comprehensive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 stroke analysis using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non-contrast computed tomography (NCCT) scans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.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The proposed integrated system employed a dual-model approach: a </w:t>
            </w:r>
            <w:proofErr w:type="spellStart"/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ConvNeXt</w:t>
            </w:r>
            <w:proofErr w:type="spellEnd"/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-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b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ase neural network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is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used for tri-stroke classification (hem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orrhagic, ischemic, and normal).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A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 U-Net architecture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using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an EfficientNet-B4 encoder for accurate lesion boundary delineatio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n. The Brain Stroke CT Dataset is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used to rigorously train and validate both models.</w:t>
            </w:r>
          </w:p>
        </w:tc>
      </w:tr>
      <w:tr w:rsidR="00EB128E" w:rsidRPr="00F60BCF" w:rsidTr="00322F4F">
        <w:tc>
          <w:tcPr>
            <w:tcW w:w="8465" w:type="dxa"/>
          </w:tcPr>
          <w:p w:rsidR="00EB128E" w:rsidRPr="00F60BCF" w:rsidRDefault="00EB128E" w:rsidP="00322F4F">
            <w:pPr>
              <w:jc w:val="both"/>
              <w:outlineLvl w:val="2"/>
              <w:rPr>
                <w:b/>
              </w:rPr>
            </w:pPr>
            <w:r>
              <w:rPr>
                <w:b/>
              </w:rPr>
              <w:t xml:space="preserve">Results: 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Accordingly, the classification component gave precision and recall of 95.8% and 96.1%, respectively, and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 xml:space="preserve">the 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 xml:space="preserve">accuracy </w:t>
            </w:r>
            <w:r>
              <w:rPr>
                <w:rFonts w:asciiTheme="majorHAnsi" w:hAnsiTheme="majorHAnsi" w:cstheme="minorHAnsi"/>
                <w:sz w:val="24"/>
                <w:szCs w:val="24"/>
              </w:rPr>
              <w:t>is 96.2%. T</w:t>
            </w:r>
            <w:r w:rsidRPr="005A24ED">
              <w:rPr>
                <w:rFonts w:asciiTheme="majorHAnsi" w:hAnsiTheme="majorHAnsi" w:cstheme="minorHAnsi"/>
                <w:sz w:val="24"/>
                <w:szCs w:val="24"/>
              </w:rPr>
              <w:t>he segmentation module yielded strong diagnostic capabilities with an image-level stroke detection sensitivity of 92.3% and specificity of 94.7% for stroke detection. A comprehensive validation framework and a practical testing application confirm the clinical usefulness of this approach.</w:t>
            </w:r>
          </w:p>
        </w:tc>
      </w:tr>
    </w:tbl>
    <w:p w:rsidR="00EB128E" w:rsidRDefault="00EB128E"/>
    <w:sectPr w:rsidR="00EB128E" w:rsidSect="0036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EB128E"/>
    <w:rsid w:val="003668E4"/>
    <w:rsid w:val="00EB12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2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EB128E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260</Words>
  <Characters>1483</Characters>
  <Application>Microsoft Office Word</Application>
  <DocSecurity>0</DocSecurity>
  <Lines>12</Lines>
  <Paragraphs>3</Paragraphs>
  <ScaleCrop>false</ScaleCrop>
  <Company/>
  <LinksUpToDate>false</LinksUpToDate>
  <CharactersWithSpaces>1740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</dc:creator>
  <cp:lastModifiedBy>murali</cp:lastModifiedBy>
  <cp:revision>1</cp:revision>
  <dcterms:created xsi:type="dcterms:W3CDTF">2026-04-03T03:33:00Z</dcterms:created>
  <dcterms:modified xsi:type="dcterms:W3CDTF">2026-04-03T03:35:00Z</dcterms:modified>
</cp:coreProperties>
</file>