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rFonts w:ascii="Space Grotesk" w:cs="Space Grotesk" w:eastAsia="Space Grotesk" w:hAnsi="Space Grotesk"/>
          <w:b/>
          <w:bCs/>
          <w:color w:val="1A1D24"/>
          <w:sz w:val="60"/>
          <w:szCs w:val="60"/>
        </w:rPr>
        <w:t xml:space="preserve">COSMOHUB</w:t>
      </w:r>
    </w:p>
    <w:p>
      <w:pPr>
        <w:spacing w:after="40"/>
      </w:pPr>
      <w:r>
        <w:rPr>
          <w:rFonts w:ascii="IBM Plex Mono" w:cs="IBM Plex Mono" w:eastAsia="IBM Plex Mono" w:hAnsi="IBM Plex Mono"/>
          <w:color w:val="B5790A"/>
          <w:spacing w:val="30"/>
          <w:sz w:val="26"/>
          <w:szCs w:val="26"/>
        </w:rPr>
        <w:t xml:space="preserve">STRATEGIC BLUEPRINT</w:t>
      </w:r>
    </w:p>
    <w:p>
      <w:pPr>
        <w:spacing w:after="500"/>
      </w:pPr>
      <w:r>
        <w:rPr>
          <w:rFonts w:ascii="IBM Plex Sans" w:cs="IBM Plex Sans" w:eastAsia="IBM Plex Sans" w:hAnsi="IBM Plex Sans"/>
          <w:i/>
          <w:iCs/>
          <w:color w:val="5B6472"/>
          <w:sz w:val="22"/>
          <w:szCs w:val="22"/>
        </w:rPr>
        <w:t xml:space="preserve">The Ontology-First Model for the Space Economy — A 10-Year Build Plan</w:t>
      </w:r>
    </w:p>
    <w:p>
      <w:pPr>
        <w:spacing w:after="40"/>
      </w:pPr>
      <w:r>
        <w:rPr>
          <w:rFonts w:ascii="IBM Plex Sans" w:cs="IBM Plex Sans" w:eastAsia="IBM Plex Sans" w:hAnsi="IBM Plex Sans"/>
          <w:sz w:val="21"/>
          <w:szCs w:val="21"/>
        </w:rPr>
        <w:t xml:space="preserve">Prepared by Ujwal Shyam Kantimohanthy</w:t>
      </w:r>
    </w:p>
    <w:p>
      <w:pPr>
        <w:spacing w:after="900"/>
      </w:pPr>
      <w:r>
        <w:rPr>
          <w:rFonts w:ascii="IBM Plex Mono" w:cs="IBM Plex Mono" w:eastAsia="IBM Plex Mono" w:hAnsi="IBM Plex Mono"/>
          <w:color w:val="5B6472"/>
          <w:sz w:val="20"/>
          <w:szCs w:val="20"/>
        </w:rPr>
        <w:t xml:space="preserve">July 2026</w:t>
      </w:r>
    </w:p>
    <w:p>
      <w:r>
        <w:br w:type="page"/>
      </w:r>
    </w:p>
    <w:p>
      <w:pPr>
        <w:pStyle w:val="Heading1"/>
        <w:spacing w:after="200" w:before="400"/>
      </w:pPr>
      <w:r>
        <w:rPr>
          <w:rFonts w:ascii="Space Grotesk" w:cs="Space Grotesk" w:eastAsia="Space Grotesk" w:hAnsi="Space Grotesk"/>
          <w:b/>
          <w:bCs/>
          <w:color w:val="1A1D24"/>
          <w:sz w:val="32"/>
          <w:szCs w:val="32"/>
        </w:rPr>
        <w:t xml:space="preserve">1. Executive Summary</w:t>
      </w:r>
    </w:p>
    <w:p>
      <w:pPr>
        <w:spacing w:after="160" w:line="300"/>
      </w:pPr>
      <w:r>
        <w:rPr>
          <w:rFonts w:ascii="IBM Plex Sans" w:cs="IBM Plex Sans" w:eastAsia="IBM Plex Sans" w:hAnsi="IBM Plex Sans"/>
          <w:i w:val="false"/>
          <w:iCs w:val="false"/>
          <w:color w:val="1A1D24"/>
          <w:sz w:val="22"/>
          <w:szCs w:val="22"/>
        </w:rPr>
        <w:t xml:space="preserve">CosmoHub is an ed-tech and research-intelligence platform for the space economy. It connects space research institutes and universities with the people building the next era of space — enthusiasts, students, professionals, and research fellows — the way no single platform does today.</w:t>
      </w:r>
    </w:p>
    <w:p>
      <w:pPr>
        <w:spacing w:after="160" w:line="300"/>
      </w:pPr>
      <w:r>
        <w:rPr>
          <w:rFonts w:ascii="IBM Plex Sans" w:cs="IBM Plex Sans" w:eastAsia="IBM Plex Sans" w:hAnsi="IBM Plex Sans"/>
          <w:i w:val="false"/>
          <w:iCs w:val="false"/>
          <w:color w:val="1A1D24"/>
          <w:sz w:val="22"/>
          <w:szCs w:val="22"/>
        </w:rPr>
        <w:t xml:space="preserve">The model this blueprint follows is not a course marketplace and not a news wire. It is the model Palantir used to build Gotham: instead of competing on content, compete on structure. Palantir's core insight was that the hard, defensible part of a data platform is not the interface — it is the Ontology, the layer that unifies data from every available source into objects, properties, and links representing real-world entities and how they connect. Applications are built on top of that layer; they are not the product themselves.</w:t>
      </w:r>
    </w:p>
    <w:p>
      <w:pPr>
        <w:spacing w:after="160" w:line="300"/>
      </w:pPr>
      <w:r>
        <w:rPr>
          <w:rFonts w:ascii="IBM Plex Sans" w:cs="IBM Plex Sans" w:eastAsia="IBM Plex Sans" w:hAnsi="IBM Plex Sans"/>
          <w:i w:val="false"/>
          <w:iCs w:val="false"/>
          <w:color w:val="1A1D24"/>
          <w:sz w:val="22"/>
          <w:szCs w:val="22"/>
        </w:rPr>
        <w:t xml:space="preserve">Applied to CosmoHub, this means the real asset we are building is a structured, continuously enriched graph of the space talent and research ecosystem — people, institutes, missions, fellowships, publications, and tracks, and the relationships between them. Courses, the activity ticker, and the dashboard are applications that sit on top of that graph. The graph itself is the moat.</w:t>
      </w:r>
    </w:p>
    <w:p>
      <w:pPr>
        <w:spacing w:after="160" w:line="300"/>
      </w:pPr>
      <w:r>
        <w:rPr>
          <w:rFonts w:ascii="IBM Plex Sans" w:cs="IBM Plex Sans" w:eastAsia="IBM Plex Sans" w:hAnsi="IBM Plex Sans"/>
          <w:i w:val="false"/>
          <w:iCs w:val="false"/>
          <w:color w:val="1A1D24"/>
          <w:sz w:val="22"/>
          <w:szCs w:val="22"/>
        </w:rPr>
        <w:t xml:space="preserve">This document lays out the ontology design, the data integration strategy, the analytics and application layer, and a phased 10-year roadmap for building CosmoHub into the reference platform for the global space economy.</w:t>
      </w:r>
    </w:p>
    <w:p>
      <w:pPr>
        <w:pStyle w:val="Heading1"/>
        <w:spacing w:after="200" w:before="400"/>
      </w:pPr>
      <w:r>
        <w:rPr>
          <w:rFonts w:ascii="Space Grotesk" w:cs="Space Grotesk" w:eastAsia="Space Grotesk" w:hAnsi="Space Grotesk"/>
          <w:b/>
          <w:bCs/>
          <w:color w:val="1A1D24"/>
          <w:sz w:val="32"/>
          <w:szCs w:val="32"/>
        </w:rPr>
        <w:t xml:space="preserve">2. The Problem and the Opportunity</w:t>
      </w:r>
    </w:p>
    <w:p>
      <w:pPr>
        <w:spacing w:after="160" w:line="300"/>
      </w:pPr>
      <w:r>
        <w:rPr>
          <w:rFonts w:ascii="IBM Plex Sans" w:cs="IBM Plex Sans" w:eastAsia="IBM Plex Sans" w:hAnsi="IBM Plex Sans"/>
          <w:i w:val="false"/>
          <w:iCs w:val="false"/>
          <w:color w:val="1A1D24"/>
          <w:sz w:val="22"/>
          <w:szCs w:val="22"/>
        </w:rPr>
        <w:t xml:space="preserve">Space technology and satellite communications are advancing quickly, but the talent pipeline into the field is fragmented and informal. There is no dedicated course or track that prepares someone to work directly for organizations pushing the frontier of space technology, or to compete for a research fellowship in orbital systems, propulsion, or satellite communications. Institutes and universities hold the research and the openings. Enthusiasts, students, and professionals hold the curiosity and the drive. Nothing currently connects the two in a structured, queryable way.</w:t>
      </w:r>
    </w:p>
    <w:p>
      <w:pPr>
        <w:spacing w:after="160" w:line="300"/>
      </w:pPr>
      <w:r>
        <w:rPr>
          <w:rFonts w:ascii="IBM Plex Sans" w:cs="IBM Plex Sans" w:eastAsia="IBM Plex Sans" w:hAnsi="IBM Plex Sans"/>
          <w:i w:val="false"/>
          <w:iCs w:val="false"/>
          <w:color w:val="1A1D24"/>
          <w:sz w:val="22"/>
          <w:szCs w:val="22"/>
        </w:rPr>
        <w:t xml:space="preserve">The opportunity is not simply to publish more courses. It is to become the connective layer itself — the platform that both sides depend on to find each other, the way Bloomberg became indispensable to finance not by publishing articles, but by becoming the terminal that traders could not work without.</w:t>
      </w:r>
    </w:p>
    <w:p>
      <w:pPr>
        <w:pStyle w:val="Heading1"/>
        <w:spacing w:after="200" w:before="400"/>
      </w:pPr>
      <w:r>
        <w:rPr>
          <w:rFonts w:ascii="Space Grotesk" w:cs="Space Grotesk" w:eastAsia="Space Grotesk" w:hAnsi="Space Grotesk"/>
          <w:b/>
          <w:bCs/>
          <w:color w:val="1A1D24"/>
          <w:sz w:val="32"/>
          <w:szCs w:val="32"/>
        </w:rPr>
        <w:t xml:space="preserve">3. The Ontology-First Model</w:t>
      </w:r>
    </w:p>
    <w:p>
      <w:pPr>
        <w:spacing w:after="160" w:line="300"/>
      </w:pPr>
      <w:r>
        <w:rPr>
          <w:rFonts w:ascii="IBM Plex Sans" w:cs="IBM Plex Sans" w:eastAsia="IBM Plex Sans" w:hAnsi="IBM Plex Sans"/>
          <w:i w:val="false"/>
          <w:iCs w:val="false"/>
          <w:color w:val="1A1D24"/>
          <w:sz w:val="22"/>
          <w:szCs w:val="22"/>
        </w:rPr>
        <w:t xml:space="preserve">Gotham's architecture rests on a single idea: unify fragmented data sources into a shared semantic layer, then build every application on top of that layer rather than on top of raw data. Data can come from research databases, homegrown records, geospatial repositories, or real-time feeds; the ontology turns all of it into a common set of objects, properties, and links that every application and every user can reason about consistently.</w:t>
      </w:r>
    </w:p>
    <w:p>
      <w:pPr>
        <w:spacing w:after="160" w:line="300"/>
      </w:pPr>
      <w:r>
        <w:rPr>
          <w:rFonts w:ascii="IBM Plex Sans" w:cs="IBM Plex Sans" w:eastAsia="IBM Plex Sans" w:hAnsi="IBM Plex Sans"/>
          <w:i w:val="false"/>
          <w:iCs w:val="false"/>
          <w:color w:val="1A1D24"/>
          <w:sz w:val="22"/>
          <w:szCs w:val="22"/>
        </w:rPr>
        <w:t xml:space="preserve">CosmoHub's ontology is the equivalent structure for the space economy. It is deliberately dynamic — new object types and relationships are added as the platform grows, rather than a fixed schema decided once at launch.</w:t>
      </w:r>
    </w:p>
    <w:p>
      <w:pPr>
        <w:pStyle w:val="Heading2"/>
        <w:spacing w:after="150" w:before="300"/>
      </w:pPr>
      <w:r>
        <w:rPr>
          <w:rFonts w:ascii="Space Grotesk" w:cs="Space Grotesk" w:eastAsia="Space Grotesk" w:hAnsi="Space Grotesk"/>
          <w:b/>
          <w:bCs/>
          <w:color w:val="B5790A"/>
          <w:sz w:val="25"/>
          <w:szCs w:val="25"/>
        </w:rPr>
        <w:t xml:space="preserve">3.1 Core Object Types</w:t>
      </w:r>
    </w:p>
    <w:p>
      <w:pPr>
        <w:spacing w:after="160" w:line="300"/>
      </w:pPr>
      <w:r>
        <w:rPr>
          <w:rFonts w:ascii="IBM Plex Sans" w:cs="IBM Plex Sans" w:eastAsia="IBM Plex Sans" w:hAnsi="IBM Plex Sans"/>
          <w:i w:val="false"/>
          <w:iCs w:val="false"/>
          <w:color w:val="1A1D24"/>
          <w:sz w:val="22"/>
          <w:szCs w:val="22"/>
        </w:rPr>
        <w:t xml:space="preserve">The following object types form the initial ontology. Each is a real-world entity that CosmoHub tracks, enriches, and connects.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850"/>
      </w:tblGrid>
      <w:tr>
        <w:tc>
          <w:tcPr>
            <w:tcW w:type="dxa" w:w="1600"/>
            <w:shd w:fill="0A0D12" w:val="clear"/>
            <w:tcMar>
              <w:top w:type="dxa" w:w="100"/>
              <w:left w:type="dxa" w:w="120"/>
              <w:bottom w:type="dxa" w:w="100"/>
              <w:right w:type="dxa" w:w="120"/>
            </w:tcMar>
          </w:tcPr>
          <w:p>
            <w:r>
              <w:rPr>
                <w:rFonts w:ascii="IBM Plex Mono" w:cs="IBM Plex Mono" w:eastAsia="IBM Plex Mono" w:hAnsi="IBM Plex Mono"/>
                <w:b/>
                <w:bCs/>
                <w:color w:val="FFFFFF"/>
                <w:sz w:val="19"/>
                <w:szCs w:val="19"/>
              </w:rPr>
              <w:t xml:space="preserve">Object</w:t>
            </w:r>
          </w:p>
        </w:tc>
        <w:tc>
          <w:tcPr>
            <w:tcW w:type="dxa" w:w="3900"/>
            <w:shd w:fill="0A0D12" w:val="clear"/>
            <w:tcMar>
              <w:top w:type="dxa" w:w="100"/>
              <w:left w:type="dxa" w:w="120"/>
              <w:bottom w:type="dxa" w:w="100"/>
              <w:right w:type="dxa" w:w="120"/>
            </w:tcMar>
          </w:tcPr>
          <w:p>
            <w:r>
              <w:rPr>
                <w:rFonts w:ascii="IBM Plex Mono" w:cs="IBM Plex Mono" w:eastAsia="IBM Plex Mono" w:hAnsi="IBM Plex Mono"/>
                <w:b/>
                <w:bCs/>
                <w:color w:val="FFFFFF"/>
                <w:sz w:val="19"/>
                <w:szCs w:val="19"/>
              </w:rPr>
              <w:t xml:space="preserve">Description</w:t>
            </w:r>
          </w:p>
        </w:tc>
        <w:tc>
          <w:tcPr>
            <w:tcW w:type="dxa" w:w="3850"/>
            <w:shd w:fill="0A0D12" w:val="clear"/>
            <w:tcMar>
              <w:top w:type="dxa" w:w="100"/>
              <w:left w:type="dxa" w:w="120"/>
              <w:bottom w:type="dxa" w:w="100"/>
              <w:right w:type="dxa" w:w="120"/>
            </w:tcMar>
          </w:tcPr>
          <w:p>
            <w:r>
              <w:rPr>
                <w:rFonts w:ascii="IBM Plex Mono" w:cs="IBM Plex Mono" w:eastAsia="IBM Plex Mono" w:hAnsi="IBM Plex Mono"/>
                <w:b/>
                <w:bCs/>
                <w:color w:val="FFFFFF"/>
                <w:sz w:val="19"/>
                <w:szCs w:val="19"/>
              </w:rPr>
              <w:t xml:space="preserve">Key Properties</w:t>
            </w:r>
          </w:p>
        </w:tc>
      </w:tr>
      <w:tr>
        <w:tc>
          <w:tcPr>
            <w:tcW w:type="dxa" w:w="1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Person</w:t>
            </w:r>
          </w:p>
        </w:tc>
        <w:tc>
          <w:tcPr>
            <w:tcW w:type="dxa" w:w="39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An enthusiast, student, professional, or research fellow</w:t>
            </w:r>
          </w:p>
        </w:tc>
        <w:tc>
          <w:tcPr>
            <w:tcW w:type="dxa" w:w="38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stage, skills, institution, location, joined date</w:t>
            </w:r>
          </w:p>
        </w:tc>
      </w:tr>
      <w:tr>
        <w:tc>
          <w:tcPr>
            <w:tcW w:type="dxa" w:w="1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Institute / University</w:t>
            </w:r>
          </w:p>
        </w:tc>
        <w:tc>
          <w:tcPr>
            <w:tcW w:type="dxa" w:w="39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A research institute, university, or space agency</w:t>
            </w:r>
          </w:p>
        </w:tc>
        <w:tc>
          <w:tcPr>
            <w:tcW w:type="dxa" w:w="38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focus areas, active missions, open fellowships</w:t>
            </w:r>
          </w:p>
        </w:tc>
      </w:tr>
      <w:tr>
        <w:tc>
          <w:tcPr>
            <w:tcW w:type="dxa" w:w="1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Mission / Satellite</w:t>
            </w:r>
          </w:p>
        </w:tc>
        <w:tc>
          <w:tcPr>
            <w:tcW w:type="dxa" w:w="39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An active or planned space mission or satellite program</w:t>
            </w:r>
          </w:p>
        </w:tc>
        <w:tc>
          <w:tcPr>
            <w:tcW w:type="dxa" w:w="38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operator, orbit type, status, launch date</w:t>
            </w:r>
          </w:p>
        </w:tc>
      </w:tr>
      <w:tr>
        <w:tc>
          <w:tcPr>
            <w:tcW w:type="dxa" w:w="1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Fellowship / Opening</w:t>
            </w:r>
          </w:p>
        </w:tc>
        <w:tc>
          <w:tcPr>
            <w:tcW w:type="dxa" w:w="39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A research fellowship, internship, or role</w:t>
            </w:r>
          </w:p>
        </w:tc>
        <w:tc>
          <w:tcPr>
            <w:tcW w:type="dxa" w:w="38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sponsoring institute, eligibility, deadline, focus area</w:t>
            </w:r>
          </w:p>
        </w:tc>
      </w:tr>
      <w:tr>
        <w:tc>
          <w:tcPr>
            <w:tcW w:type="dxa" w:w="1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Publication</w:t>
            </w:r>
          </w:p>
        </w:tc>
        <w:tc>
          <w:tcPr>
            <w:tcW w:type="dxa" w:w="39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A research paper or technical output</w:t>
            </w:r>
          </w:p>
        </w:tc>
        <w:tc>
          <w:tcPr>
            <w:tcW w:type="dxa" w:w="38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authors, institute, topic, date</w:t>
            </w:r>
          </w:p>
        </w:tc>
      </w:tr>
      <w:tr>
        <w:tc>
          <w:tcPr>
            <w:tcW w:type="dxa" w:w="1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Track / Course</w:t>
            </w:r>
          </w:p>
        </w:tc>
        <w:tc>
          <w:tcPr>
            <w:tcW w:type="dxa" w:w="39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A structured learning track on CosmoHub</w:t>
            </w:r>
          </w:p>
        </w:tc>
        <w:tc>
          <w:tcPr>
            <w:tcW w:type="dxa" w:w="38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subject area, level, prerequisite skills</w:t>
            </w:r>
          </w:p>
        </w:tc>
      </w:tr>
      <w:tr>
        <w:tc>
          <w:tcPr>
            <w:tcW w:type="dxa" w:w="1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Company / Employer</w:t>
            </w:r>
          </w:p>
        </w:tc>
        <w:tc>
          <w:tcPr>
            <w:tcW w:type="dxa" w:w="39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A company hiring for space-tech roles</w:t>
            </w:r>
          </w:p>
        </w:tc>
        <w:tc>
          <w:tcPr>
            <w:tcW w:type="dxa" w:w="38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sector, hiring focus, skill demand</w:t>
            </w:r>
          </w:p>
        </w:tc>
      </w:tr>
    </w:tbl>
    <w:p>
      <w:pPr>
        <w:pStyle w:val="Heading2"/>
        <w:spacing w:after="150" w:before="300"/>
      </w:pPr>
      <w:r>
        <w:rPr>
          <w:rFonts w:ascii="Space Grotesk" w:cs="Space Grotesk" w:eastAsia="Space Grotesk" w:hAnsi="Space Grotesk"/>
          <w:b/>
          <w:bCs/>
          <w:color w:val="B5790A"/>
          <w:sz w:val="25"/>
          <w:szCs w:val="25"/>
        </w:rPr>
        <w:t xml:space="preserve">3.2 Core Links</w:t>
      </w:r>
    </w:p>
    <w:p>
      <w:pPr>
        <w:spacing w:after="160" w:line="300"/>
      </w:pPr>
      <w:r>
        <w:rPr>
          <w:rFonts w:ascii="IBM Plex Sans" w:cs="IBM Plex Sans" w:eastAsia="IBM Plex Sans" w:hAnsi="IBM Plex Sans"/>
          <w:i w:val="false"/>
          <w:iCs w:val="false"/>
          <w:color w:val="1A1D24"/>
          <w:sz w:val="22"/>
          <w:szCs w:val="22"/>
        </w:rPr>
        <w:t xml:space="preserve">The relationships between objects carry more information than the objects themselves. This is the layer that turns a list of courses into a map of the space ecosystem.</w:t>
      </w:r>
    </w:p>
    <w:p>
      <w:pPr>
        <w:pStyle w:val="ListParagraph"/>
        <w:numPr>
          <w:ilvl w:val="0"/>
          <w:numId w:val="1"/>
        </w:numPr>
        <w:spacing w:after="90"/>
      </w:pPr>
      <w:r>
        <w:rPr>
          <w:rFonts w:ascii="IBM Plex Sans" w:cs="IBM Plex Sans" w:eastAsia="IBM Plex Sans" w:hAnsi="IBM Plex Sans"/>
          <w:color w:val="1A1D24"/>
          <w:sz w:val="22"/>
          <w:szCs w:val="22"/>
        </w:rPr>
        <w:t xml:space="preserve">Person — studies — Track</w:t>
      </w:r>
    </w:p>
    <w:p>
      <w:pPr>
        <w:pStyle w:val="ListParagraph"/>
        <w:numPr>
          <w:ilvl w:val="0"/>
          <w:numId w:val="1"/>
        </w:numPr>
        <w:spacing w:after="90"/>
      </w:pPr>
      <w:r>
        <w:rPr>
          <w:rFonts w:ascii="IBM Plex Sans" w:cs="IBM Plex Sans" w:eastAsia="IBM Plex Sans" w:hAnsi="IBM Plex Sans"/>
          <w:color w:val="1A1D24"/>
          <w:sz w:val="22"/>
          <w:szCs w:val="22"/>
        </w:rPr>
        <w:t xml:space="preserve">Person — authored — Publication</w:t>
      </w:r>
    </w:p>
    <w:p>
      <w:pPr>
        <w:pStyle w:val="ListParagraph"/>
        <w:numPr>
          <w:ilvl w:val="0"/>
          <w:numId w:val="1"/>
        </w:numPr>
        <w:spacing w:after="90"/>
      </w:pPr>
      <w:r>
        <w:rPr>
          <w:rFonts w:ascii="IBM Plex Sans" w:cs="IBM Plex Sans" w:eastAsia="IBM Plex Sans" w:hAnsi="IBM Plex Sans"/>
          <w:color w:val="1A1D24"/>
          <w:sz w:val="22"/>
          <w:szCs w:val="22"/>
        </w:rPr>
        <w:t xml:space="preserve">Person — applied to — Fellowship</w:t>
      </w:r>
    </w:p>
    <w:p>
      <w:pPr>
        <w:pStyle w:val="ListParagraph"/>
        <w:numPr>
          <w:ilvl w:val="0"/>
          <w:numId w:val="1"/>
        </w:numPr>
        <w:spacing w:after="90"/>
      </w:pPr>
      <w:r>
        <w:rPr>
          <w:rFonts w:ascii="IBM Plex Sans" w:cs="IBM Plex Sans" w:eastAsia="IBM Plex Sans" w:hAnsi="IBM Plex Sans"/>
          <w:color w:val="1A1D24"/>
          <w:sz w:val="22"/>
          <w:szCs w:val="22"/>
        </w:rPr>
        <w:t xml:space="preserve">Person — affiliated with — Institute</w:t>
      </w:r>
    </w:p>
    <w:p>
      <w:pPr>
        <w:pStyle w:val="ListParagraph"/>
        <w:numPr>
          <w:ilvl w:val="0"/>
          <w:numId w:val="1"/>
        </w:numPr>
        <w:spacing w:after="90"/>
      </w:pPr>
      <w:r>
        <w:rPr>
          <w:rFonts w:ascii="IBM Plex Sans" w:cs="IBM Plex Sans" w:eastAsia="IBM Plex Sans" w:hAnsi="IBM Plex Sans"/>
          <w:color w:val="1A1D24"/>
          <w:sz w:val="22"/>
          <w:szCs w:val="22"/>
        </w:rPr>
        <w:t xml:space="preserve">Institute — sponsors — Fellowship</w:t>
      </w:r>
    </w:p>
    <w:p>
      <w:pPr>
        <w:pStyle w:val="ListParagraph"/>
        <w:numPr>
          <w:ilvl w:val="0"/>
          <w:numId w:val="1"/>
        </w:numPr>
        <w:spacing w:after="90"/>
      </w:pPr>
      <w:r>
        <w:rPr>
          <w:rFonts w:ascii="IBM Plex Sans" w:cs="IBM Plex Sans" w:eastAsia="IBM Plex Sans" w:hAnsi="IBM Plex Sans"/>
          <w:color w:val="1A1D24"/>
          <w:sz w:val="22"/>
          <w:szCs w:val="22"/>
        </w:rPr>
        <w:t xml:space="preserve">Institute — operates — Mission</w:t>
      </w:r>
    </w:p>
    <w:p>
      <w:pPr>
        <w:pStyle w:val="ListParagraph"/>
        <w:numPr>
          <w:ilvl w:val="0"/>
          <w:numId w:val="1"/>
        </w:numPr>
        <w:spacing w:after="90"/>
      </w:pPr>
      <w:r>
        <w:rPr>
          <w:rFonts w:ascii="IBM Plex Sans" w:cs="IBM Plex Sans" w:eastAsia="IBM Plex Sans" w:hAnsi="IBM Plex Sans"/>
          <w:color w:val="1A1D24"/>
          <w:sz w:val="22"/>
          <w:szCs w:val="22"/>
        </w:rPr>
        <w:t xml:space="preserve">Mission — requires skills in — Track</w:t>
      </w:r>
    </w:p>
    <w:p>
      <w:pPr>
        <w:pStyle w:val="ListParagraph"/>
        <w:numPr>
          <w:ilvl w:val="0"/>
          <w:numId w:val="1"/>
        </w:numPr>
        <w:spacing w:after="90"/>
      </w:pPr>
      <w:r>
        <w:rPr>
          <w:rFonts w:ascii="IBM Plex Sans" w:cs="IBM Plex Sans" w:eastAsia="IBM Plex Sans" w:hAnsi="IBM Plex Sans"/>
          <w:color w:val="1A1D24"/>
          <w:sz w:val="22"/>
          <w:szCs w:val="22"/>
        </w:rPr>
        <w:t xml:space="preserve">Company — hires from — Track</w:t>
      </w:r>
    </w:p>
    <w:p>
      <w:pPr>
        <w:pStyle w:val="ListParagraph"/>
        <w:numPr>
          <w:ilvl w:val="0"/>
          <w:numId w:val="1"/>
        </w:numPr>
        <w:spacing w:after="90"/>
      </w:pPr>
      <w:r>
        <w:rPr>
          <w:rFonts w:ascii="IBM Plex Sans" w:cs="IBM Plex Sans" w:eastAsia="IBM Plex Sans" w:hAnsi="IBM Plex Sans"/>
          <w:color w:val="1A1D24"/>
          <w:sz w:val="22"/>
          <w:szCs w:val="22"/>
        </w:rPr>
        <w:t xml:space="preserve">Publication — cites — Publication</w:t>
      </w:r>
    </w:p>
    <w:p>
      <w:pPr>
        <w:spacing w:after="160" w:line="300"/>
      </w:pPr>
      <w:r>
        <w:rPr>
          <w:rFonts w:ascii="IBM Plex Sans" w:cs="IBM Plex Sans" w:eastAsia="IBM Plex Sans" w:hAnsi="IBM Plex Sans"/>
          <w:i w:val="false"/>
          <w:iCs w:val="false"/>
          <w:color w:val="1A1D24"/>
          <w:sz w:val="22"/>
          <w:szCs w:val="22"/>
        </w:rPr>
        <w:t xml:space="preserve">With this structure in place, a question like “who on CosmoHub is qualified for this newly posted fellowship” becomes a direct graph query, not a manual cross-reference between spreadsheets.</w:t>
      </w:r>
    </w:p>
    <w:p>
      <w:pPr>
        <w:pStyle w:val="Heading1"/>
        <w:spacing w:after="200" w:before="400"/>
      </w:pPr>
      <w:r>
        <w:rPr>
          <w:rFonts w:ascii="Space Grotesk" w:cs="Space Grotesk" w:eastAsia="Space Grotesk" w:hAnsi="Space Grotesk"/>
          <w:b/>
          <w:bCs/>
          <w:color w:val="1A1D24"/>
          <w:sz w:val="32"/>
          <w:szCs w:val="32"/>
        </w:rPr>
        <w:t xml:space="preserve">4. Data Integration Strategy</w:t>
      </w:r>
    </w:p>
    <w:p>
      <w:pPr>
        <w:spacing w:after="160" w:line="300"/>
      </w:pPr>
      <w:r>
        <w:rPr>
          <w:rFonts w:ascii="IBM Plex Sans" w:cs="IBM Plex Sans" w:eastAsia="IBM Plex Sans" w:hAnsi="IBM Plex Sans"/>
          <w:i w:val="false"/>
          <w:iCs w:val="false"/>
          <w:color w:val="1A1D24"/>
          <w:sz w:val="22"/>
          <w:szCs w:val="22"/>
        </w:rPr>
        <w:t xml:space="preserve">Gotham's integration model treats data acquisition as continuous and federated: pull from every available source, map it into the ontology, and keep enriching it over time. CosmoHub follows the same approach rather than relying on a single closed dataset.</w:t>
      </w:r>
    </w:p>
    <w:p>
      <w:pPr>
        <w:pStyle w:val="Heading2"/>
        <w:spacing w:after="150" w:before="300"/>
      </w:pPr>
      <w:r>
        <w:rPr>
          <w:rFonts w:ascii="Space Grotesk" w:cs="Space Grotesk" w:eastAsia="Space Grotesk" w:hAnsi="Space Grotesk"/>
          <w:b/>
          <w:bCs/>
          <w:color w:val="B5790A"/>
          <w:sz w:val="25"/>
          <w:szCs w:val="25"/>
        </w:rPr>
        <w:t xml:space="preserve">4.1 Initial Sources</w:t>
      </w:r>
    </w:p>
    <w:p>
      <w:pPr>
        <w:pStyle w:val="ListParagraph"/>
        <w:numPr>
          <w:ilvl w:val="0"/>
          <w:numId w:val="1"/>
        </w:numPr>
        <w:spacing w:after="90"/>
      </w:pPr>
      <w:r>
        <w:rPr>
          <w:rFonts w:ascii="IBM Plex Sans" w:cs="IBM Plex Sans" w:eastAsia="IBM Plex Sans" w:hAnsi="IBM Plex Sans"/>
          <w:color w:val="1A1D24"/>
          <w:sz w:val="22"/>
          <w:szCs w:val="22"/>
        </w:rPr>
        <w:t xml:space="preserve">Institute and university research pages (focus areas, faculty, active missions)</w:t>
      </w:r>
    </w:p>
    <w:p>
      <w:pPr>
        <w:pStyle w:val="ListParagraph"/>
        <w:numPr>
          <w:ilvl w:val="0"/>
          <w:numId w:val="1"/>
        </w:numPr>
        <w:spacing w:after="90"/>
      </w:pPr>
      <w:r>
        <w:rPr>
          <w:rFonts w:ascii="IBM Plex Sans" w:cs="IBM Plex Sans" w:eastAsia="IBM Plex Sans" w:hAnsi="IBM Plex Sans"/>
          <w:color w:val="1A1D24"/>
          <w:sz w:val="22"/>
          <w:szCs w:val="22"/>
        </w:rPr>
        <w:t xml:space="preserve">Open-access preprint and research feeds relevant to space technology</w:t>
      </w:r>
    </w:p>
    <w:p>
      <w:pPr>
        <w:pStyle w:val="ListParagraph"/>
        <w:numPr>
          <w:ilvl w:val="0"/>
          <w:numId w:val="1"/>
        </w:numPr>
        <w:spacing w:after="90"/>
      </w:pPr>
      <w:r>
        <w:rPr>
          <w:rFonts w:ascii="IBM Plex Sans" w:cs="IBM Plex Sans" w:eastAsia="IBM Plex Sans" w:hAnsi="IBM Plex Sans"/>
          <w:color w:val="1A1D24"/>
          <w:sz w:val="22"/>
          <w:szCs w:val="22"/>
        </w:rPr>
        <w:t xml:space="preserve">Public fellowship and internship listings from space agencies and institutes</w:t>
      </w:r>
    </w:p>
    <w:p>
      <w:pPr>
        <w:pStyle w:val="ListParagraph"/>
        <w:numPr>
          <w:ilvl w:val="0"/>
          <w:numId w:val="1"/>
        </w:numPr>
        <w:spacing w:after="90"/>
      </w:pPr>
      <w:r>
        <w:rPr>
          <w:rFonts w:ascii="IBM Plex Sans" w:cs="IBM Plex Sans" w:eastAsia="IBM Plex Sans" w:hAnsi="IBM Plex Sans"/>
          <w:color w:val="1A1D24"/>
          <w:sz w:val="22"/>
          <w:szCs w:val="22"/>
        </w:rPr>
        <w:t xml:space="preserve">Public satellite and mission databases</w:t>
      </w:r>
    </w:p>
    <w:p>
      <w:pPr>
        <w:pStyle w:val="ListParagraph"/>
        <w:numPr>
          <w:ilvl w:val="0"/>
          <w:numId w:val="1"/>
        </w:numPr>
        <w:spacing w:after="90"/>
      </w:pPr>
      <w:r>
        <w:rPr>
          <w:rFonts w:ascii="IBM Plex Sans" w:cs="IBM Plex Sans" w:eastAsia="IBM Plex Sans" w:hAnsi="IBM Plex Sans"/>
          <w:color w:val="1A1D24"/>
          <w:sz w:val="22"/>
          <w:szCs w:val="22"/>
        </w:rPr>
        <w:t xml:space="preserve">User-submitted profile, skills, and course-activity data</w:t>
      </w:r>
    </w:p>
    <w:p>
      <w:pPr>
        <w:pStyle w:val="Heading2"/>
        <w:spacing w:after="150" w:before="300"/>
      </w:pPr>
      <w:r>
        <w:rPr>
          <w:rFonts w:ascii="Space Grotesk" w:cs="Space Grotesk" w:eastAsia="Space Grotesk" w:hAnsi="Space Grotesk"/>
          <w:b/>
          <w:bCs/>
          <w:color w:val="B5790A"/>
          <w:sz w:val="25"/>
          <w:szCs w:val="25"/>
        </w:rPr>
        <w:t xml:space="preserve">4.2 Integration Pipeline</w:t>
      </w:r>
    </w:p>
    <w:p>
      <w:pPr>
        <w:spacing w:after="160" w:line="300"/>
      </w:pPr>
      <w:r>
        <w:rPr>
          <w:rFonts w:ascii="IBM Plex Sans" w:cs="IBM Plex Sans" w:eastAsia="IBM Plex Sans" w:hAnsi="IBM Plex Sans"/>
          <w:i w:val="false"/>
          <w:iCs w:val="false"/>
          <w:color w:val="1A1D24"/>
          <w:sz w:val="22"/>
          <w:szCs w:val="22"/>
        </w:rPr>
        <w:t xml:space="preserve">Every new source follows the same four-step path into the ontology: identify the source, write a parser that extracts entities and relationships, map those entities to existing or new object types, and promote the mapped data into the shared ontology store. This keeps the ontology consistent even as the number of sources grows from a handful of partner institutes to a global network.</w:t>
      </w:r>
    </w:p>
    <w:p>
      <w:pPr>
        <w:pStyle w:val="Heading1"/>
        <w:spacing w:after="200" w:before="400"/>
      </w:pPr>
      <w:r>
        <w:rPr>
          <w:rFonts w:ascii="Space Grotesk" w:cs="Space Grotesk" w:eastAsia="Space Grotesk" w:hAnsi="Space Grotesk"/>
          <w:b/>
          <w:bCs/>
          <w:color w:val="1A1D24"/>
          <w:sz w:val="32"/>
          <w:szCs w:val="32"/>
        </w:rPr>
        <w:t xml:space="preserve">5. Application and Analytics Layer</w:t>
      </w:r>
    </w:p>
    <w:p>
      <w:pPr>
        <w:spacing w:after="160" w:line="300"/>
      </w:pPr>
      <w:r>
        <w:rPr>
          <w:rFonts w:ascii="IBM Plex Sans" w:cs="IBM Plex Sans" w:eastAsia="IBM Plex Sans" w:hAnsi="IBM Plex Sans"/>
          <w:i w:val="false"/>
          <w:iCs w:val="false"/>
          <w:color w:val="1A1D24"/>
          <w:sz w:val="22"/>
          <w:szCs w:val="22"/>
        </w:rPr>
        <w:t xml:space="preserve">Every user-facing feature on CosmoHub reads from the same ontology. This is what Gotham does with its Graph, Gaia, and Dossier applications — distinct tools, one shared data model underneath.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A0D12" w:val="clear"/>
            <w:tcMar>
              <w:top w:type="dxa" w:w="100"/>
              <w:left w:type="dxa" w:w="120"/>
              <w:bottom w:type="dxa" w:w="100"/>
              <w:right w:type="dxa" w:w="120"/>
            </w:tcMar>
          </w:tcPr>
          <w:p>
            <w:r>
              <w:rPr>
                <w:rFonts w:ascii="IBM Plex Mono" w:cs="IBM Plex Mono" w:eastAsia="IBM Plex Mono" w:hAnsi="IBM Plex Mono"/>
                <w:b/>
                <w:bCs/>
                <w:color w:val="FFFFFF"/>
                <w:sz w:val="19"/>
                <w:szCs w:val="19"/>
              </w:rPr>
              <w:t xml:space="preserve">Application</w:t>
            </w:r>
          </w:p>
        </w:tc>
        <w:tc>
          <w:tcPr>
            <w:tcW w:type="dxa" w:w="6750"/>
            <w:shd w:fill="0A0D12" w:val="clear"/>
            <w:tcMar>
              <w:top w:type="dxa" w:w="100"/>
              <w:left w:type="dxa" w:w="120"/>
              <w:bottom w:type="dxa" w:w="100"/>
              <w:right w:type="dxa" w:w="120"/>
            </w:tcMar>
          </w:tcPr>
          <w:p>
            <w:r>
              <w:rPr>
                <w:rFonts w:ascii="IBM Plex Mono" w:cs="IBM Plex Mono" w:eastAsia="IBM Plex Mono" w:hAnsi="IBM Plex Mono"/>
                <w:b/>
                <w:bCs/>
                <w:color w:val="FFFFFF"/>
                <w:sz w:val="19"/>
                <w:szCs w:val="19"/>
              </w:rPr>
              <w:t xml:space="preserve">What It Does</w:t>
            </w:r>
          </w:p>
        </w:tc>
      </w:tr>
      <w:tr>
        <w:tc>
          <w:tcPr>
            <w:tcW w:type="dxa" w:w="2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Graph Explorer</w:t>
            </w:r>
          </w:p>
        </w:tc>
        <w:tc>
          <w:tcPr>
            <w:tcW w:type="dxa" w:w="67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A visual, whiteboard-style tool for tracing how a person, institute, or mission connects to everything else in the ecosystem</w:t>
            </w:r>
          </w:p>
        </w:tc>
      </w:tr>
      <w:tr>
        <w:tc>
          <w:tcPr>
            <w:tcW w:type="dxa" w:w="2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Fellowship Match</w:t>
            </w:r>
          </w:p>
        </w:tc>
        <w:tc>
          <w:tcPr>
            <w:tcW w:type="dxa" w:w="67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Surfaces fellowships and openings a person's profile actually qualifies for, computed from their tracked skills and activity</w:t>
            </w:r>
          </w:p>
        </w:tc>
      </w:tr>
      <w:tr>
        <w:tc>
          <w:tcPr>
            <w:tcW w:type="dxa" w:w="2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Institute Radar</w:t>
            </w:r>
          </w:p>
        </w:tc>
        <w:tc>
          <w:tcPr>
            <w:tcW w:type="dxa" w:w="67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Gives partner institutes a live view of qualified talent active in their research area</w:t>
            </w:r>
          </w:p>
        </w:tc>
      </w:tr>
      <w:tr>
        <w:tc>
          <w:tcPr>
            <w:tcW w:type="dxa" w:w="2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Mission Tracker</w:t>
            </w:r>
          </w:p>
        </w:tc>
        <w:tc>
          <w:tcPr>
            <w:tcW w:type="dxa" w:w="67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A timeline and geospatial view of active and upcoming missions</w:t>
            </w:r>
          </w:p>
        </w:tc>
      </w:tr>
      <w:tr>
        <w:tc>
          <w:tcPr>
            <w:tcW w:type="dxa" w:w="2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Research Index</w:t>
            </w:r>
          </w:p>
        </w:tc>
        <w:tc>
          <w:tcPr>
            <w:tcW w:type="dxa" w:w="67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Live signal on which tracks and topics are gaining momentum, computed from real publication and enrollment velocity rather than illustrative numbers</w:t>
            </w:r>
          </w:p>
        </w:tc>
      </w:tr>
      <w:tr>
        <w:tc>
          <w:tcPr>
            <w:tcW w:type="dxa" w:w="2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Skill Gap Analyzer</w:t>
            </w:r>
          </w:p>
        </w:tc>
        <w:tc>
          <w:tcPr>
            <w:tcW w:type="dxa" w:w="67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Compares the skills missions and companies are demanding against the available talent pool, and informs which tracks CosmoHub should build next</w:t>
            </w:r>
          </w:p>
        </w:tc>
      </w:tr>
    </w:tbl>
    <w:p>
      <w:pPr>
        <w:pStyle w:val="Heading2"/>
        <w:spacing w:after="150" w:before="300"/>
      </w:pPr>
      <w:r>
        <w:rPr>
          <w:rFonts w:ascii="Space Grotesk" w:cs="Space Grotesk" w:eastAsia="Space Grotesk" w:hAnsi="Space Grotesk"/>
          <w:b/>
          <w:bCs/>
          <w:color w:val="B5790A"/>
          <w:sz w:val="25"/>
          <w:szCs w:val="25"/>
        </w:rPr>
        <w:t xml:space="preserve">5.1 Analytics Capabilities</w:t>
      </w:r>
    </w:p>
    <w:p>
      <w:pPr>
        <w:pStyle w:val="ListParagraph"/>
        <w:numPr>
          <w:ilvl w:val="0"/>
          <w:numId w:val="1"/>
        </w:numPr>
        <w:spacing w:after="90"/>
      </w:pPr>
      <w:r>
        <w:rPr>
          <w:rFonts w:ascii="IBM Plex Sans" w:cs="IBM Plex Sans" w:eastAsia="IBM Plex Sans" w:hAnsi="IBM Plex Sans"/>
          <w:color w:val="1A1D24"/>
          <w:sz w:val="22"/>
          <w:szCs w:val="22"/>
        </w:rPr>
        <w:t xml:space="preserve">Network centrality — identifying the most connected people, institutes, and topics in the graph</w:t>
      </w:r>
    </w:p>
    <w:p>
      <w:pPr>
        <w:pStyle w:val="ListParagraph"/>
        <w:numPr>
          <w:ilvl w:val="0"/>
          <w:numId w:val="1"/>
        </w:numPr>
        <w:spacing w:after="90"/>
      </w:pPr>
      <w:r>
        <w:rPr>
          <w:rFonts w:ascii="IBM Plex Sans" w:cs="IBM Plex Sans" w:eastAsia="IBM Plex Sans" w:hAnsi="IBM Plex Sans"/>
          <w:color w:val="1A1D24"/>
          <w:sz w:val="22"/>
          <w:szCs w:val="22"/>
        </w:rPr>
        <w:t xml:space="preserve">Trend detection — surfacing rising research areas from real activity rather than manual curation</w:t>
      </w:r>
    </w:p>
    <w:p>
      <w:pPr>
        <w:pStyle w:val="ListParagraph"/>
        <w:numPr>
          <w:ilvl w:val="0"/>
          <w:numId w:val="1"/>
        </w:numPr>
        <w:spacing w:after="90"/>
      </w:pPr>
      <w:r>
        <w:rPr>
          <w:rFonts w:ascii="IBM Plex Sans" w:cs="IBM Plex Sans" w:eastAsia="IBM Plex Sans" w:hAnsi="IBM Plex Sans"/>
          <w:color w:val="1A1D24"/>
          <w:sz w:val="22"/>
          <w:szCs w:val="22"/>
        </w:rPr>
        <w:t xml:space="preserve">Talent-to-opportunity matching — pairing people with fellowships and roles based on tracked skills</w:t>
      </w:r>
    </w:p>
    <w:p>
      <w:pPr>
        <w:pStyle w:val="ListParagraph"/>
        <w:numPr>
          <w:ilvl w:val="0"/>
          <w:numId w:val="1"/>
        </w:numPr>
        <w:spacing w:after="90"/>
      </w:pPr>
      <w:r>
        <w:rPr>
          <w:rFonts w:ascii="IBM Plex Sans" w:cs="IBM Plex Sans" w:eastAsia="IBM Plex Sans" w:hAnsi="IBM Plex Sans"/>
          <w:color w:val="1A1D24"/>
          <w:sz w:val="22"/>
          <w:szCs w:val="22"/>
        </w:rPr>
        <w:t xml:space="preserve">Geospatial mission mapping — visualizing missions and ground systems in context</w:t>
      </w:r>
    </w:p>
    <w:p>
      <w:pPr>
        <w:pStyle w:val="ListParagraph"/>
        <w:numPr>
          <w:ilvl w:val="0"/>
          <w:numId w:val="1"/>
        </w:numPr>
        <w:spacing w:after="90"/>
      </w:pPr>
      <w:r>
        <w:rPr>
          <w:rFonts w:ascii="IBM Plex Sans" w:cs="IBM Plex Sans" w:eastAsia="IBM Plex Sans" w:hAnsi="IBM Plex Sans"/>
          <w:color w:val="1A1D24"/>
          <w:sz w:val="22"/>
          <w:szCs w:val="22"/>
        </w:rPr>
        <w:t xml:space="preserve">Institute engagement scoring — prioritizing which institute partnerships are most valuable to deepen</w:t>
      </w:r>
    </w:p>
    <w:p>
      <w:pPr>
        <w:pStyle w:val="Heading1"/>
        <w:spacing w:after="200" w:before="400"/>
      </w:pPr>
      <w:r>
        <w:rPr>
          <w:rFonts w:ascii="Space Grotesk" w:cs="Space Grotesk" w:eastAsia="Space Grotesk" w:hAnsi="Space Grotesk"/>
          <w:b/>
          <w:bCs/>
          <w:color w:val="1A1D24"/>
          <w:sz w:val="32"/>
          <w:szCs w:val="32"/>
        </w:rPr>
        <w:t xml:space="preserve">6. Why This Is the Moat</w:t>
      </w:r>
    </w:p>
    <w:p>
      <w:pPr>
        <w:spacing w:after="160" w:line="300"/>
      </w:pPr>
      <w:r>
        <w:rPr>
          <w:rFonts w:ascii="IBM Plex Sans" w:cs="IBM Plex Sans" w:eastAsia="IBM Plex Sans" w:hAnsi="IBM Plex Sans"/>
          <w:i w:val="false"/>
          <w:iCs w:val="false"/>
          <w:color w:val="1A1D24"/>
          <w:sz w:val="22"/>
          <w:szCs w:val="22"/>
        </w:rPr>
        <w:t xml:space="preserve">Palantir builds its platforms toward network effects deliberately: every additional user, system, and application makes the platform more valuable to every other participant. The ontology is what makes that compounding possible — it gets richer and harder to replicate with every institute and person that feeds it.</w:t>
      </w:r>
    </w:p>
    <w:p>
      <w:pPr>
        <w:spacing w:after="160" w:line="300"/>
      </w:pPr>
      <w:r>
        <w:rPr>
          <w:rFonts w:ascii="IBM Plex Sans" w:cs="IBM Plex Sans" w:eastAsia="IBM Plex Sans" w:hAnsi="IBM Plex Sans"/>
          <w:i w:val="false"/>
          <w:iCs w:val="false"/>
          <w:color w:val="1A1D24"/>
          <w:sz w:val="22"/>
          <w:szCs w:val="22"/>
        </w:rPr>
        <w:t xml:space="preserve">This is the strategic reframe for CosmoHub. The pitch to an institute should not be “post your fellowship listing on our site.” It should be: integrate your research and fellowship data into the ontology, and gain visibility into a graph of qualified talent unavailable anywhere else. That is a data-network pitch, not a content-marketplace pitch, and it is a fundamentally stronger position when raising capital or approaching a partner like a research lab.</w:t>
      </w:r>
    </w:p>
    <w:p>
      <w:pPr>
        <w:pStyle w:val="Heading1"/>
        <w:spacing w:after="200" w:before="400"/>
      </w:pPr>
      <w:r>
        <w:rPr>
          <w:rFonts w:ascii="Space Grotesk" w:cs="Space Grotesk" w:eastAsia="Space Grotesk" w:hAnsi="Space Grotesk"/>
          <w:b/>
          <w:bCs/>
          <w:color w:val="1A1D24"/>
          <w:sz w:val="32"/>
          <w:szCs w:val="32"/>
        </w:rPr>
        <w:t xml:space="preserve">7. Audience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A0D12" w:val="clear"/>
            <w:tcMar>
              <w:top w:type="dxa" w:w="100"/>
              <w:left w:type="dxa" w:w="120"/>
              <w:bottom w:type="dxa" w:w="100"/>
              <w:right w:type="dxa" w:w="120"/>
            </w:tcMar>
          </w:tcPr>
          <w:p>
            <w:r>
              <w:rPr>
                <w:rFonts w:ascii="IBM Plex Mono" w:cs="IBM Plex Mono" w:eastAsia="IBM Plex Mono" w:hAnsi="IBM Plex Mono"/>
                <w:b/>
                <w:bCs/>
                <w:color w:val="FFFFFF"/>
                <w:sz w:val="19"/>
                <w:szCs w:val="19"/>
              </w:rPr>
              <w:t xml:space="preserve">Audience</w:t>
            </w:r>
          </w:p>
        </w:tc>
        <w:tc>
          <w:tcPr>
            <w:tcW w:type="dxa" w:w="6750"/>
            <w:shd w:fill="0A0D12" w:val="clear"/>
            <w:tcMar>
              <w:top w:type="dxa" w:w="100"/>
              <w:left w:type="dxa" w:w="120"/>
              <w:bottom w:type="dxa" w:w="100"/>
              <w:right w:type="dxa" w:w="120"/>
            </w:tcMar>
          </w:tcPr>
          <w:p>
            <w:r>
              <w:rPr>
                <w:rFonts w:ascii="IBM Plex Mono" w:cs="IBM Plex Mono" w:eastAsia="IBM Plex Mono" w:hAnsi="IBM Plex Mono"/>
                <w:b/>
                <w:bCs/>
                <w:color w:val="FFFFFF"/>
                <w:sz w:val="19"/>
                <w:szCs w:val="19"/>
              </w:rPr>
              <w:t xml:space="preserve">What They Get</w:t>
            </w:r>
          </w:p>
        </w:tc>
      </w:tr>
      <w:tr>
        <w:tc>
          <w:tcPr>
            <w:tcW w:type="dxa" w:w="2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Enthusiasts &amp; Kids</w:t>
            </w:r>
          </w:p>
        </w:tc>
        <w:tc>
          <w:tcPr>
            <w:tcW w:type="dxa" w:w="67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Plain-language explainers, mission trackers, and hands-on challenges with no prerequisites</w:t>
            </w:r>
          </w:p>
        </w:tc>
      </w:tr>
      <w:tr>
        <w:tc>
          <w:tcPr>
            <w:tcW w:type="dxa" w:w="2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Students</w:t>
            </w:r>
          </w:p>
        </w:tc>
        <w:tc>
          <w:tcPr>
            <w:tcW w:type="dxa" w:w="67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Structured, industry-mapped tracks with cohorts and portfolio-grade projects</w:t>
            </w:r>
          </w:p>
        </w:tc>
      </w:tr>
      <w:tr>
        <w:tc>
          <w:tcPr>
            <w:tcW w:type="dxa" w:w="2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Professionals &amp; Fellows</w:t>
            </w:r>
          </w:p>
        </w:tc>
        <w:tc>
          <w:tcPr>
            <w:tcW w:type="dxa" w:w="67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Fellowship alerts, institute visibility, and a verifiable track record</w:t>
            </w:r>
          </w:p>
        </w:tc>
      </w:tr>
      <w:tr>
        <w:tc>
          <w:tcPr>
            <w:tcW w:type="dxa" w:w="2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Institutes &amp; Universities</w:t>
            </w:r>
          </w:p>
        </w:tc>
        <w:tc>
          <w:tcPr>
            <w:tcW w:type="dxa" w:w="67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A live radar of qualified, engaged talent and a channel to publish research and openings directly into the graph</w:t>
            </w:r>
          </w:p>
        </w:tc>
      </w:tr>
    </w:tbl>
    <w:p>
      <w:pPr>
        <w:pStyle w:val="Heading1"/>
        <w:spacing w:after="200" w:before="400"/>
      </w:pPr>
      <w:r>
        <w:rPr>
          <w:rFonts w:ascii="Space Grotesk" w:cs="Space Grotesk" w:eastAsia="Space Grotesk" w:hAnsi="Space Grotesk"/>
          <w:b/>
          <w:bCs/>
          <w:color w:val="1A1D24"/>
          <w:sz w:val="32"/>
          <w:szCs w:val="32"/>
        </w:rPr>
        <w:t xml:space="preserve">8. Ten-Year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50"/>
      </w:tblGrid>
      <w:tr>
        <w:tc>
          <w:tcPr>
            <w:tcW w:type="dxa" w:w="2000"/>
            <w:shd w:fill="0A0D12" w:val="clear"/>
            <w:tcMar>
              <w:top w:type="dxa" w:w="100"/>
              <w:left w:type="dxa" w:w="120"/>
              <w:bottom w:type="dxa" w:w="100"/>
              <w:right w:type="dxa" w:w="120"/>
            </w:tcMar>
          </w:tcPr>
          <w:p>
            <w:r>
              <w:rPr>
                <w:rFonts w:ascii="IBM Plex Mono" w:cs="IBM Plex Mono" w:eastAsia="IBM Plex Mono" w:hAnsi="IBM Plex Mono"/>
                <w:b/>
                <w:bCs/>
                <w:color w:val="FFFFFF"/>
                <w:sz w:val="19"/>
                <w:szCs w:val="19"/>
              </w:rPr>
              <w:t xml:space="preserve">Phase</w:t>
            </w:r>
          </w:p>
        </w:tc>
        <w:tc>
          <w:tcPr>
            <w:tcW w:type="dxa" w:w="1600"/>
            <w:shd w:fill="0A0D12" w:val="clear"/>
            <w:tcMar>
              <w:top w:type="dxa" w:w="100"/>
              <w:left w:type="dxa" w:w="120"/>
              <w:bottom w:type="dxa" w:w="100"/>
              <w:right w:type="dxa" w:w="120"/>
            </w:tcMar>
          </w:tcPr>
          <w:p>
            <w:r>
              <w:rPr>
                <w:rFonts w:ascii="IBM Plex Mono" w:cs="IBM Plex Mono" w:eastAsia="IBM Plex Mono" w:hAnsi="IBM Plex Mono"/>
                <w:b/>
                <w:bCs/>
                <w:color w:val="FFFFFF"/>
                <w:sz w:val="19"/>
                <w:szCs w:val="19"/>
              </w:rPr>
              <w:t xml:space="preserve">Timeframe</w:t>
            </w:r>
          </w:p>
        </w:tc>
        <w:tc>
          <w:tcPr>
            <w:tcW w:type="dxa" w:w="5750"/>
            <w:shd w:fill="0A0D12" w:val="clear"/>
            <w:tcMar>
              <w:top w:type="dxa" w:w="100"/>
              <w:left w:type="dxa" w:w="120"/>
              <w:bottom w:type="dxa" w:w="100"/>
              <w:right w:type="dxa" w:w="120"/>
            </w:tcMar>
          </w:tcPr>
          <w:p>
            <w:r>
              <w:rPr>
                <w:rFonts w:ascii="IBM Plex Mono" w:cs="IBM Plex Mono" w:eastAsia="IBM Plex Mono" w:hAnsi="IBM Plex Mono"/>
                <w:b/>
                <w:bCs/>
                <w:color w:val="FFFFFF"/>
                <w:sz w:val="19"/>
                <w:szCs w:val="19"/>
              </w:rPr>
              <w:t xml:space="preserve">Focus</w:t>
            </w:r>
          </w:p>
        </w:tc>
      </w:tr>
      <w:tr>
        <w:tc>
          <w:tcPr>
            <w:tcW w:type="dxa" w:w="20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Phase 1 — Foundation</w:t>
            </w:r>
          </w:p>
        </w:tc>
        <w:tc>
          <w:tcPr>
            <w:tcW w:type="dxa" w:w="1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Year 1</w:t>
            </w:r>
          </w:p>
        </w:tc>
        <w:tc>
          <w:tcPr>
            <w:tcW w:type="dxa" w:w="57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Core ontology live (Person, Institute, Track, Fellowship). First tracks published. Landing page and profile system. Manual data ingestion from a small set of partner institutes.</w:t>
            </w:r>
          </w:p>
        </w:tc>
      </w:tr>
      <w:tr>
        <w:tc>
          <w:tcPr>
            <w:tcW w:type="dxa" w:w="20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Phase 2 — Integration</w:t>
            </w:r>
          </w:p>
        </w:tc>
        <w:tc>
          <w:tcPr>
            <w:tcW w:type="dxa" w:w="1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Years 2–3</w:t>
            </w:r>
          </w:p>
        </w:tc>
        <w:tc>
          <w:tcPr>
            <w:tcW w:type="dxa" w:w="57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Automated parsers for research feeds and fellowship boards. Fellowship Match and Institute Radar shipped. First paid institute partnerships.</w:t>
            </w:r>
          </w:p>
        </w:tc>
      </w:tr>
      <w:tr>
        <w:tc>
          <w:tcPr>
            <w:tcW w:type="dxa" w:w="20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Phase 3 — Intelligence</w:t>
            </w:r>
          </w:p>
        </w:tc>
        <w:tc>
          <w:tcPr>
            <w:tcW w:type="dxa" w:w="1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Years 4–6</w:t>
            </w:r>
          </w:p>
        </w:tc>
        <w:tc>
          <w:tcPr>
            <w:tcW w:type="dxa" w:w="57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Graph Explorer and full analytics suite live. Mission and Company objects added. Direct hiring partnerships with aerospace companies. Expansion beyond the initial university consortium into a global institute network.</w:t>
            </w:r>
          </w:p>
        </w:tc>
      </w:tr>
      <w:tr>
        <w:tc>
          <w:tcPr>
            <w:tcW w:type="dxa" w:w="20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Phase 4 — Standard</w:t>
            </w:r>
          </w:p>
        </w:tc>
        <w:tc>
          <w:tcPr>
            <w:tcW w:type="dxa" w:w="160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Years 7–10</w:t>
            </w:r>
          </w:p>
        </w:tc>
        <w:tc>
          <w:tcPr>
            <w:tcW w:type="dxa" w:w="5750"/>
            <w:tcMar>
              <w:top w:type="dxa" w:w="100"/>
              <w:left w:type="dxa" w:w="120"/>
              <w:bottom w:type="dxa" w:w="100"/>
              <w:right w:type="dxa" w:w="120"/>
            </w:tcMar>
          </w:tcPr>
          <w:p>
            <w:r>
              <w:rPr>
                <w:rFonts w:ascii="IBM Plex Sans" w:cs="IBM Plex Sans" w:eastAsia="IBM Plex Sans" w:hAnsi="IBM Plex Sans"/>
                <w:b w:val="false"/>
                <w:bCs w:val="false"/>
                <w:color w:val="1A1D24"/>
                <w:sz w:val="20"/>
                <w:szCs w:val="20"/>
              </w:rPr>
              <w:t xml:space="preserve">CosmoHub becomes the reference layer for the global space talent and research ecosystem. Ontology and analytics licensed directly to institutes and agencies as a B2B offering. AI-assisted research and fellowship matching. Integration with space policy and space law tracking.</w:t>
            </w:r>
          </w:p>
        </w:tc>
      </w:tr>
    </w:tbl>
    <w:p>
      <w:pPr>
        <w:pStyle w:val="Heading1"/>
        <w:spacing w:after="200" w:before="400"/>
      </w:pPr>
      <w:r>
        <w:rPr>
          <w:rFonts w:ascii="Space Grotesk" w:cs="Space Grotesk" w:eastAsia="Space Grotesk" w:hAnsi="Space Grotesk"/>
          <w:b/>
          <w:bCs/>
          <w:color w:val="1A1D24"/>
          <w:sz w:val="32"/>
          <w:szCs w:val="32"/>
        </w:rPr>
        <w:t xml:space="preserve">9. Building the Team Around the Ontology</w:t>
      </w:r>
    </w:p>
    <w:p>
      <w:pPr>
        <w:spacing w:after="160" w:line="300"/>
      </w:pPr>
      <w:r>
        <w:rPr>
          <w:rFonts w:ascii="IBM Plex Sans" w:cs="IBM Plex Sans" w:eastAsia="IBM Plex Sans" w:hAnsi="IBM Plex Sans"/>
          <w:i w:val="false"/>
          <w:iCs w:val="false"/>
          <w:color w:val="1A1D24"/>
          <w:sz w:val="22"/>
          <w:szCs w:val="22"/>
        </w:rPr>
        <w:t xml:space="preserve">Because the ontology is the product, the roles that matter most early are not content roles — they are the roles that build and enrich the graph:</w:t>
      </w:r>
    </w:p>
    <w:p>
      <w:pPr>
        <w:pStyle w:val="ListParagraph"/>
        <w:numPr>
          <w:ilvl w:val="0"/>
          <w:numId w:val="1"/>
        </w:numPr>
        <w:spacing w:after="90"/>
      </w:pPr>
      <w:r>
        <w:rPr>
          <w:rFonts w:ascii="IBM Plex Sans" w:cs="IBM Plex Sans" w:eastAsia="IBM Plex Sans" w:hAnsi="IBM Plex Sans"/>
          <w:color w:val="1A1D24"/>
          <w:sz w:val="22"/>
          <w:szCs w:val="22"/>
        </w:rPr>
        <w:t xml:space="preserve">Ontology design — defining and evolving object types, properties, and links as the platform grows</w:t>
      </w:r>
    </w:p>
    <w:p>
      <w:pPr>
        <w:pStyle w:val="ListParagraph"/>
        <w:numPr>
          <w:ilvl w:val="0"/>
          <w:numId w:val="1"/>
        </w:numPr>
        <w:spacing w:after="90"/>
      </w:pPr>
      <w:r>
        <w:rPr>
          <w:rFonts w:ascii="IBM Plex Sans" w:cs="IBM Plex Sans" w:eastAsia="IBM Plex Sans" w:hAnsi="IBM Plex Sans"/>
          <w:color w:val="1A1D24"/>
          <w:sz w:val="22"/>
          <w:szCs w:val="22"/>
        </w:rPr>
        <w:t xml:space="preserve">Data integration engineering — building parsers and connectors for new sources</w:t>
      </w:r>
    </w:p>
    <w:p>
      <w:pPr>
        <w:pStyle w:val="ListParagraph"/>
        <w:numPr>
          <w:ilvl w:val="0"/>
          <w:numId w:val="1"/>
        </w:numPr>
        <w:spacing w:after="90"/>
      </w:pPr>
      <w:r>
        <w:rPr>
          <w:rFonts w:ascii="IBM Plex Sans" w:cs="IBM Plex Sans" w:eastAsia="IBM Plex Sans" w:hAnsi="IBM Plex Sans"/>
          <w:color w:val="1A1D24"/>
          <w:sz w:val="22"/>
          <w:szCs w:val="22"/>
        </w:rPr>
        <w:t xml:space="preserve">Application development — building the user-facing tools that read from the ontology (Graph Explorer, Fellowship Match, and beyond)</w:t>
      </w:r>
    </w:p>
    <w:p>
      <w:pPr>
        <w:pStyle w:val="ListParagraph"/>
        <w:numPr>
          <w:ilvl w:val="0"/>
          <w:numId w:val="1"/>
        </w:numPr>
        <w:spacing w:after="90"/>
      </w:pPr>
      <w:r>
        <w:rPr>
          <w:rFonts w:ascii="IBM Plex Sans" w:cs="IBM Plex Sans" w:eastAsia="IBM Plex Sans" w:hAnsi="IBM Plex Sans"/>
          <w:color w:val="1A1D24"/>
          <w:sz w:val="22"/>
          <w:szCs w:val="22"/>
        </w:rPr>
        <w:t xml:space="preserve">Institute partnerships — onboarding institutes as both data sources and consumers of the graph</w:t>
      </w:r>
    </w:p>
    <w:p>
      <w:pPr>
        <w:pStyle w:val="ListParagraph"/>
        <w:numPr>
          <w:ilvl w:val="0"/>
          <w:numId w:val="1"/>
        </w:numPr>
        <w:spacing w:after="90"/>
      </w:pPr>
      <w:r>
        <w:rPr>
          <w:rFonts w:ascii="IBM Plex Sans" w:cs="IBM Plex Sans" w:eastAsia="IBM Plex Sans" w:hAnsi="IBM Plex Sans"/>
          <w:color w:val="1A1D24"/>
          <w:sz w:val="22"/>
          <w:szCs w:val="22"/>
        </w:rPr>
        <w:t xml:space="preserve">Track and content design — building the learning tracks that sit on top of the ontology, not instead of it</w:t>
      </w:r>
    </w:p>
    <w:p>
      <w:pPr>
        <w:spacing w:after="160" w:line="300"/>
      </w:pPr>
      <w:r>
        <w:rPr>
          <w:rFonts w:ascii="IBM Plex Sans" w:cs="IBM Plex Sans" w:eastAsia="IBM Plex Sans" w:hAnsi="IBM Plex Sans"/>
          <w:i w:val="false"/>
          <w:iCs w:val="false"/>
          <w:color w:val="1A1D24"/>
          <w:sz w:val="22"/>
          <w:szCs w:val="22"/>
        </w:rPr>
        <w:t xml:space="preserve">A full technical build guide for these roles — the ontology schema in detail, the data pipeline, and the application workflows — is maintained separately as the CosmoHub Insider Blueprint for the team building the platform.</w:t>
      </w:r>
    </w:p>
    <w:p>
      <w:pPr>
        <w:pStyle w:val="Heading1"/>
        <w:spacing w:after="200" w:before="400"/>
      </w:pPr>
      <w:r>
        <w:rPr>
          <w:rFonts w:ascii="Space Grotesk" w:cs="Space Grotesk" w:eastAsia="Space Grotesk" w:hAnsi="Space Grotesk"/>
          <w:b/>
          <w:bCs/>
          <w:color w:val="1A1D24"/>
          <w:sz w:val="32"/>
          <w:szCs w:val="32"/>
        </w:rPr>
        <w:t xml:space="preserve">10. Closing Note</w:t>
      </w:r>
    </w:p>
    <w:p>
      <w:pPr>
        <w:spacing w:after="160" w:line="300"/>
      </w:pPr>
      <w:r>
        <w:rPr>
          <w:rFonts w:ascii="IBM Plex Sans" w:cs="IBM Plex Sans" w:eastAsia="IBM Plex Sans" w:hAnsi="IBM Plex Sans"/>
          <w:i w:val="false"/>
          <w:iCs w:val="false"/>
          <w:color w:val="1A1D24"/>
          <w:sz w:val="22"/>
          <w:szCs w:val="22"/>
        </w:rPr>
        <w:t xml:space="preserve">The ambition behind CosmoHub is not to be another course platform for space enthusiasts. It is to become, over the next decade, the structural layer the space economy runs on — the place institutes, missions, fellowships, and people are represented as a single connected graph, the way Bloomberg's terminal became indispensable to finance and Gotham's ontology became indispensable to the institutions that depend on it. That is a ten-year build, not a launch — and the ontology described in this document is the foundation everything else is built 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1A1D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2026-07-22T11:51:18.018Z</dcterms:created>
  <dcterms:modified xsi:type="dcterms:W3CDTF">2026-07-22T11:51:18.033Z</dcterms:modified>
</cp:coreProperties>
</file>

<file path=docProps/custom.xml><?xml version="1.0" encoding="utf-8"?>
<Properties xmlns="http://schemas.openxmlformats.org/officeDocument/2006/custom-properties" xmlns:vt="http://schemas.openxmlformats.org/officeDocument/2006/docPropsVTypes"/>
</file>