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e7d32"/>
          <w:sz w:val="23"/>
          <w:szCs w:val="23"/>
        </w:rPr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e7d32"/>
          <w:sz w:val="23"/>
          <w:szCs w:val="23"/>
          <w:rtl w:val="0"/>
        </w:rPr>
        <w:t xml:space="preserve">Understanding Your Results (AI-Generated)</w:t>
      </w:r>
    </w:p>
    <w:p w:rsidR="00000000" w:rsidDel="00000000" w:rsidP="00000000" w:rsidRDefault="00000000" w:rsidRPr="00000000" w14:paraId="00000002">
      <w:pPr>
        <w:shd w:fill="e0f2f1" w:val="clear"/>
        <w:spacing w:after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00695c"/>
          <w:sz w:val="18"/>
          <w:szCs w:val="18"/>
          <w:rtl w:val="0"/>
        </w:rPr>
        <w:t xml:space="preserve">AI-generated —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Written individually for this patient, synthesizing bloodwork, hormone panel, Whoop data, and Apple Health activity trends.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444.00000000000006" w:lineRule="auto"/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Your results tell a clear story — one of meaningful progress alongside a few patterns worth addressing.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444.00000000000006" w:lineRule="auto"/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The most significant finding in this draw is the resolution of your immune activation. Your lymphocyte percentage has come down from 50% to 25%, and your monocytes have dropped from 12% to 5%, both now sitting at or within normal range — this is a genuine and measurable improvement, and it suggests your immune system is no longer in an elevated response state. Woven into this positive shift, though, is a cluster of findings that point toward physiological stress from training load and insufficient recovery hydration. Your liver enzymes — AST at 78 and ALT at 42, both above the reference range — reflect the combined demands of muscle breakdown and hepatic stress that are common in high-output athletes, but at these levels they warrant attention. Your dehydration pattern is consistent and multisourced: sodium at 144, albumin at 5.3, and a BUN-to-creatinine ratio of 22 all point toward a chronic, low-grade fluid deficit rather than an acute event, meaning this has likely been building over time. Your anion gap of 22 and elevated homocysteine of 8.3 both suggest B-vitamin insufficiency — particularly thiamine and the methyl-B complex — which adds a metabolic layer to the picture. Your wearable data adds one more piece: last night's sleep latency of 1 hour and 43 minutes is notably elevated against a healthy target of under 20 minutes, and while your overall sleep score was good, the difficulty initiating sleep is a signal that your nervous system may be carrying more activation than the recovery metrics alone would suggest.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444.00000000000006" w:lineRule="auto"/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Your hormonal foundation is strong. Total testosterone at 735 ng/dL sits in solid mid-range, and free testosterone at 25.1 pg/mL is at the ceiling of the reference range — an excellent profile for a competitive athlete. Thyroid function is fully normal across every marker, ferritin is robust at 202, and vitamin D at 68.8 reflects consistent sufficiency. Your behavioral trend data reinforces this: body weight has come down 4.8 pounds over the past few months, daily steps are up 28% year over year, and your Whoop recovery today is sitting at 83% on what is appropriately a low-strain day. Your pace-of-aging score on Whoop registers you at 3 years younger than your chronological age — a meaningful longevity signal.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80" w:line="444.00000000000006" w:lineRule="auto"/>
        <w:rPr>
          <w:color w:val="212121"/>
          <w:sz w:val="21"/>
          <w:szCs w:val="21"/>
        </w:rPr>
      </w:pPr>
      <w:r w:rsidDel="00000000" w:rsidR="00000000" w:rsidRPr="00000000">
        <w:rPr>
          <w:color w:val="212121"/>
          <w:sz w:val="21"/>
          <w:szCs w:val="21"/>
          <w:rtl w:val="0"/>
        </w:rPr>
        <w:t xml:space="preserve">Taken together, this is the picture of an athlete whose foundational health is solid and whose immune system is moving in the right direction, but who is carrying a pattern of training-driven physiological load — concentrated in liver stress, dehydration, B-vitamin demand, and nervous system activation at night — that is worth addressing deliberately. The data is not alarming; it is instructive.</w:t>
      </w:r>
    </w:p>
    <w:p w:rsidR="00000000" w:rsidDel="00000000" w:rsidP="00000000" w:rsidRDefault="00000000" w:rsidRPr="00000000" w14:paraId="00000007">
      <w:pPr>
        <w:shd w:fill="fff8e1" w:val="clear"/>
        <w:spacing w:before="240" w:lineRule="auto"/>
        <w:rPr>
          <w:color w:val="030712"/>
          <w:sz w:val="18"/>
          <w:szCs w:val="18"/>
        </w:rPr>
      </w:pPr>
      <w:r w:rsidDel="00000000" w:rsidR="00000000" w:rsidRPr="00000000">
        <w:rPr>
          <w:color w:val="e65100"/>
          <w:sz w:val="18"/>
          <w:szCs w:val="18"/>
          <w:rtl w:val="0"/>
        </w:rPr>
        <w:t xml:space="preserve">Notice: </w:t>
      </w:r>
      <w:r w:rsidDel="00000000" w:rsidR="00000000" w:rsidRPr="00000000">
        <w:rPr>
          <w:color w:val="030712"/>
          <w:sz w:val="18"/>
          <w:szCs w:val="18"/>
          <w:rtl w:val="0"/>
        </w:rPr>
        <w:t xml:space="preserve">Educational purposes only. Not a medical diagnosis. Review with a qualified healthcare provider.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8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1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420" w:lineRule="auto"/>
        <w:rPr>
          <w:color w:val="2e7d32"/>
          <w:sz w:val="23"/>
          <w:szCs w:val="23"/>
        </w:rPr>
      </w:pPr>
      <w:r w:rsidDel="00000000" w:rsidR="00000000" w:rsidRPr="00000000">
        <w:rPr>
          <w:color w:val="2e7d32"/>
          <w:sz w:val="23"/>
          <w:szCs w:val="23"/>
          <w:rtl w:val="0"/>
        </w:rPr>
        <w:t xml:space="preserve">Key Recommendations (AI-Generated)</w:t>
      </w:r>
    </w:p>
    <w:p w:rsidR="00000000" w:rsidDel="00000000" w:rsidP="00000000" w:rsidRDefault="00000000" w:rsidRPr="00000000" w14:paraId="00000011">
      <w:pPr>
        <w:shd w:fill="e0f2f1" w:val="clear"/>
        <w:spacing w:after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00695c"/>
          <w:sz w:val="18"/>
          <w:szCs w:val="18"/>
          <w:rtl w:val="0"/>
        </w:rPr>
        <w:t xml:space="preserve">AI-generated — 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Individualized to this patient's specific bloodwork values, hormone panel, wearable signals, and activity trends.</w:t>
      </w:r>
    </w:p>
    <w:p w:rsidR="00000000" w:rsidDel="00000000" w:rsidP="00000000" w:rsidRDefault="00000000" w:rsidRPr="00000000" w14:paraId="00000012">
      <w:pPr>
        <w:shd w:fill="ffffff" w:val="clear"/>
        <w:spacing w:after="100" w:lineRule="auto"/>
        <w:rPr>
          <w:color w:val="2e7d32"/>
          <w:sz w:val="21"/>
          <w:szCs w:val="21"/>
        </w:rPr>
      </w:pPr>
      <w:r w:rsidDel="00000000" w:rsidR="00000000" w:rsidRPr="00000000">
        <w:rPr>
          <w:color w:val="2e7d32"/>
          <w:sz w:val="21"/>
          <w:szCs w:val="21"/>
          <w:rtl w:val="0"/>
        </w:rPr>
        <w:t xml:space="preserve">Priority Actions — Next 30 Days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This section identifies the five most clinically urgent patterns from your November 21, 2025 bloodwork, wearable data, and health history, ranked by immediate impact on performance, recovery, and long-term risk. Review each priority with your clinician before initiating protocol changes, and use the specific values cited to track progress at your next draw.</w:t>
      </w:r>
    </w:p>
    <w:p w:rsidR="00000000" w:rsidDel="00000000" w:rsidP="00000000" w:rsidRDefault="00000000" w:rsidRPr="00000000" w14:paraId="00000014">
      <w:pPr>
        <w:shd w:fill="2e7d32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5">
      <w:pPr>
        <w:shd w:fill="e8f5e9" w:val="clear"/>
        <w:spacing w:after="180" w:lineRule="auto"/>
        <w:rPr>
          <w:color w:val="2e7d32"/>
          <w:sz w:val="20"/>
          <w:szCs w:val="20"/>
        </w:rPr>
      </w:pPr>
      <w:r w:rsidDel="00000000" w:rsidR="00000000" w:rsidRPr="00000000">
        <w:rPr>
          <w:color w:val="2e7d32"/>
          <w:sz w:val="20"/>
          <w:szCs w:val="20"/>
          <w:rtl w:val="0"/>
        </w:rPr>
        <w:t xml:space="preserve">Hydration — Resolve the Multi-Marker Dehydration Cluster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Four simultaneous markers — BUN/Creatinine Ratio 22 (ref 10–20), Sodium 144 mmol/L (ref 135–140), Albumin 5.3 g/dL (ref 4–5), and A/G Ratio 2.5 (ref 1.5–2.0) — form a convergent hemoconcentration pattern that is elevating secondary markers and masking true metabolic status.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Target a minimum of 100–120 oz of water daily with deliberate electrolyte repletion (sodium 1,500–2,300 mg, potassium 3,500–4,700 mg), aiming to pull BUN/Creatinine Ratio below 20 and Sodium below 142 mmol/L at next draw.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Add an intra-workout hydration protocol for all sessions exceeding 45 minutes — 16–20 oz of an electrolyte solution per hour — given that your 38 min/day average exercise load and 4.4 mi daily distance are consistent with daily sweat-driven losses.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Track morning urine color daily as a low-cost real-time hydration proxy; target pale yellow (urine specific gravity &lt;1.020) before training begins, and bring a 30-day log to your next clinical review.</w:t>
      </w:r>
    </w:p>
    <w:p w:rsidR="00000000" w:rsidDel="00000000" w:rsidP="00000000" w:rsidRDefault="00000000" w:rsidRPr="00000000" w14:paraId="0000001A">
      <w:pPr>
        <w:shd w:fill="2e7d32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1B">
      <w:pPr>
        <w:shd w:fill="e8f5e9" w:val="clear"/>
        <w:spacing w:after="180" w:lineRule="auto"/>
        <w:rPr>
          <w:color w:val="2e7d32"/>
          <w:sz w:val="20"/>
          <w:szCs w:val="20"/>
        </w:rPr>
      </w:pPr>
      <w:r w:rsidDel="00000000" w:rsidR="00000000" w:rsidRPr="00000000">
        <w:rPr>
          <w:color w:val="2e7d32"/>
          <w:sz w:val="20"/>
          <w:szCs w:val="20"/>
          <w:rtl w:val="0"/>
        </w:rPr>
        <w:t xml:space="preserve">Liver and Muscle Enzyme Load — Reduce AST/ALT Burden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AST at 78 IU/L (ref 10–26, 3x upper limit) and ALT at 42 IU/L (ref 10–26, 1.6x upper limit) with concurrent LDH at 194 IU/L (ref 140–180) indicate overlapping liver stress and muscle breakdown that warrants both training load adjustment and hepatoprotective support.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Discuss with your clinician whether to temporarily reduce high-intensity training volume by 20–25% for 3–4 weeks and recheck AST and ALT at the 6-week mark, using your current Whoop strain baseline of 4.7 (recovery day) as a ceiling for daily strain until enzymes trend below 40 IU/L.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Introduce milk thistle (silymarin 420–600 mg/day) and consider NAC (600 mg twice daily) as clinician-approved hepatoprotective agents with evidence for reducing transaminase elevation in athletes under significant training load.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Eliminate any supplements with known hepatotoxic potential — including high-dose fat-soluble vitamins, herbal pre-workouts, or concentrated protein powders containing artificial sweeteners — and present a full supplement list to your clinician for review against your AST 78 / ALT 42 baseline.</w:t>
      </w:r>
    </w:p>
    <w:p w:rsidR="00000000" w:rsidDel="00000000" w:rsidP="00000000" w:rsidRDefault="00000000" w:rsidRPr="00000000" w14:paraId="00000020">
      <w:pPr>
        <w:shd w:fill="2e7d32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21">
      <w:pPr>
        <w:shd w:fill="e8f5e9" w:val="clear"/>
        <w:spacing w:after="180" w:lineRule="auto"/>
        <w:rPr>
          <w:color w:val="2e7d32"/>
          <w:sz w:val="20"/>
          <w:szCs w:val="20"/>
        </w:rPr>
      </w:pPr>
      <w:r w:rsidDel="00000000" w:rsidR="00000000" w:rsidRPr="00000000">
        <w:rPr>
          <w:color w:val="2e7d32"/>
          <w:sz w:val="20"/>
          <w:szCs w:val="20"/>
          <w:rtl w:val="0"/>
        </w:rPr>
        <w:t xml:space="preserve">Metabolic Imbalance — Correct the Anion Gap and Thiamine/B-Vitamin Insufficiency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Anion Gap at 22 mmol/L (ref 7–12, nearly 2x the upper limit) alongside Homocysteine at 8.3 µmol/L (ref 0.1–7.0) signals co-existing metabolic dysregulation with likely B-vitamin insufficiency — a combination that carries cardiovascular risk and impairs cellular energy production in a competitive athlete.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Begin a clinician-supervised B-complex protocol targeting thiamine (B1 100 mg/day), riboflavin (B2 50 mg/day), B6 (25–50 mg/day as P5P form), methylfolate (400–800 mcg/day), and methylcobalamin B12 (1,000 mcg/day) — with the specific goal of reducing Homocysteine below 7.0 µmol/L and Anion Gap below 14 mmol/L at the next draw.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Rule out non-dietary contributors to elevated Anion Gap with your clinician — including lactic acidosis from training-induced anaerobic load, given your 711 cal average active energy output and 5–6x/week workout frequency — via a lactate or venous blood gas panel if clinically indicated.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Given your confirmed non-celiac gluten sensitivity and gut barrier inflammation (Cyrex Array 2), prioritize B-vitamin absorption by addressing gut barrier integrity simultaneously — a leaky or inflamed gut reduces B-vitamin uptake, which may be driving both the Homocysteine of 8.3 and the Anion Gap of 22 despite adequate dietary intake.</w:t>
      </w:r>
    </w:p>
    <w:p w:rsidR="00000000" w:rsidDel="00000000" w:rsidP="00000000" w:rsidRDefault="00000000" w:rsidRPr="00000000" w14:paraId="00000026">
      <w:pPr>
        <w:shd w:fill="2e7d32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27">
      <w:pPr>
        <w:shd w:fill="e8f5e9" w:val="clear"/>
        <w:spacing w:after="180" w:lineRule="auto"/>
        <w:rPr>
          <w:color w:val="2e7d32"/>
          <w:sz w:val="20"/>
          <w:szCs w:val="20"/>
        </w:rPr>
      </w:pPr>
      <w:r w:rsidDel="00000000" w:rsidR="00000000" w:rsidRPr="00000000">
        <w:rPr>
          <w:color w:val="2e7d32"/>
          <w:sz w:val="20"/>
          <w:szCs w:val="20"/>
          <w:rtl w:val="0"/>
        </w:rPr>
        <w:t xml:space="preserve">Sleep Architecture — Eliminate 1h 43m Sleep Latency and Optimize Deep Sleep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 sleep latency of 1h 43m (target &lt;20 min) combined with Deep Sleep of only 1h 5m (13% vs. optimal 15–20%) is directly undermining recovery quality despite an overall Sleep Score of 81/100, and correlates with your Whoop Pace of Aging signal flagging at 1.9x faster than last week.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Implement a rigid 30-minute wind-down protocol starting 60 minutes before your target sleep onset — no screens, no training data review, dim lighting, and a room temperature of 65–68°F — with the measurable goal of reducing latency from 1h 43m to under 20 minutes within 2 weeks, tracked nightly via Whoop.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Address the occasional breathing disturbances flagged in your sleep data by pursuing a formal sleep study or home oximetry night if disturbances persist beyond 4 weeks — particularly relevant given your Lowest HR of 53 bpm during sleep and average overnight HR of 60 bpm, which may reflect autonomic perturbation from disrupted sleep architecture.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To increase Deep Sleep from 13% toward the 15–20% optimal range, trial magnesium glycinate (300–400 mg 30 minutes before bed), avoid alcohol and high-glycemic foods within 3 hours of sleep, and schedule your last high-intensity training session at least 4 hours before your target sleep onset time.</w:t>
      </w:r>
    </w:p>
    <w:p w:rsidR="00000000" w:rsidDel="00000000" w:rsidP="00000000" w:rsidRDefault="00000000" w:rsidRPr="00000000" w14:paraId="0000002C">
      <w:pPr>
        <w:shd w:fill="2e7d32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2D">
      <w:pPr>
        <w:shd w:fill="e8f5e9" w:val="clear"/>
        <w:spacing w:after="180" w:lineRule="auto"/>
        <w:rPr>
          <w:color w:val="2e7d32"/>
          <w:sz w:val="20"/>
          <w:szCs w:val="20"/>
        </w:rPr>
      </w:pPr>
      <w:r w:rsidDel="00000000" w:rsidR="00000000" w:rsidRPr="00000000">
        <w:rPr>
          <w:color w:val="2e7d32"/>
          <w:sz w:val="20"/>
          <w:szCs w:val="20"/>
          <w:rtl w:val="0"/>
        </w:rPr>
        <w:t xml:space="preserve">Metabolic and Inflammatory Risk Monitoring — Manage Triglycerides, ANA, and Aging Pace Signal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Triglycerides at 104 mg/dL (ref 75–100), a positive ANA at 1:80 (dense/fine speckled), prior adrenal dysregulation (high cortisol/low DHEA), and a Whoop biological age of 33.6 with a 1.9x accelerated aging pace last week represent a cluster of subclinical signals that individually appear mild but collectively indicate an inflammatory and metabolic trajectory requiring proactive management.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Reduce Triglycerides from 104 mg/dL toward the &lt;75 mg/dL optimal zone by limiting refined carbohydrate and fructose intake on non-training days, adding omega-3 fatty acids (2–4 g EPA/DHA daily), and correlating dietary timing with your 198.8 lb body weight trend — a continuation of the -4.8 lb improvement already in progress will likely move this marker without additional intervention.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Schedule a 6-month ANA follow-up with rheumatology or your functional medicine clinician — the 1:80 dense/fine speckled pattern is borderline but requires longitudinal monitoring, particularly given concurrent gut barrier inflammation and prior immune activation (Lymphocytes previously at 50%, now resolving to 25%).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Recheck DHEA-S and morning cortisol within 60 days to assess whether the adrenal dysregulation pattern is stabilizing — if DHEA-S remains suppressed below 200 µg/dL, discuss low-dose DHEA supplementation with your clinician as a targeted intervention to support the Whoop biological age and counteract the 1.9x accelerated aging pace signal.</w:t>
      </w:r>
    </w:p>
    <w:p w:rsidR="00000000" w:rsidDel="00000000" w:rsidP="00000000" w:rsidRDefault="00000000" w:rsidRPr="00000000" w14:paraId="00000032">
      <w:pPr>
        <w:shd w:fill="ffffff" w:val="clear"/>
        <w:spacing w:after="100" w:before="360" w:lineRule="auto"/>
        <w:rPr>
          <w:color w:val="00695c"/>
          <w:sz w:val="21"/>
          <w:szCs w:val="21"/>
        </w:rPr>
      </w:pPr>
      <w:r w:rsidDel="00000000" w:rsidR="00000000" w:rsidRPr="00000000">
        <w:rPr>
          <w:color w:val="00695c"/>
          <w:sz w:val="21"/>
          <w:szCs w:val="21"/>
          <w:rtl w:val="0"/>
        </w:rPr>
        <w:t xml:space="preserve">Long-Term Strategy — 3 to 6 Months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Your current data reflects a competitive athlete with strong hormonal output (free testosterone at ceiling: 25.1 pg/mL), resolving immune activation, and measurable cardiovascular and metabolic markers that, if unaddressed, will compound over a 12–24 month horizon. The long-term strategy prioritizes reversing your 1.9x accelerated pace of aging signal, correcting the hepatic and metabolic stress pattern driving AST 78 / ALT 42 / anion gap 22, and hardening your recovery infrastructure before cumulative load creates structural damage.</w:t>
      </w:r>
    </w:p>
    <w:p w:rsidR="00000000" w:rsidDel="00000000" w:rsidP="00000000" w:rsidRDefault="00000000" w:rsidRPr="00000000" w14:paraId="00000034">
      <w:pPr>
        <w:shd w:fill="00695c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5">
      <w:pPr>
        <w:shd w:fill="e0f2f1" w:val="clear"/>
        <w:spacing w:after="180" w:lineRule="auto"/>
        <w:rPr>
          <w:color w:val="00695c"/>
          <w:sz w:val="20"/>
          <w:szCs w:val="20"/>
        </w:rPr>
      </w:pPr>
      <w:r w:rsidDel="00000000" w:rsidR="00000000" w:rsidRPr="00000000">
        <w:rPr>
          <w:color w:val="00695c"/>
          <w:sz w:val="20"/>
          <w:szCs w:val="20"/>
          <w:rtl w:val="0"/>
        </w:rPr>
        <w:t xml:space="preserve">Liver &amp; Metabolic Stress Reversal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AST at 78 IU/L (3x upper limit), ALT at 42 IU/L, LDH at 194 IU/L, and triglycerides at 104 mg/dL collectively indicate a hepatic and metabolic environment under sustained strain that will worsen with continued training load if not directly targeted.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Retest AST, ALT, LDH, and triglycerides at 8-week intervals; the clinical target is AST below 40 IU/L and ALT below 30 IU/L — a reduction of at least 50% from current values within 90 days through training load periodization and nutritional intervention.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Introduce TUDCA (250–500 mg/day) and NAC (600 mg twice daily) as hepatoprotective supports; these have clinical backing for enzyme normalization in athletes with elevated transaminases from combined training and metabolic load.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Eliminate dietary hepatic triggers consistent with your confirmed non-celiac gluten sensitivity and hazelnut/soy agglutinin reactivity, as chronic low-grade gut-liver axis inflammation is a direct upstream driver of LDH and transaminase elevation in your clinical picture.</w:t>
      </w:r>
    </w:p>
    <w:p w:rsidR="00000000" w:rsidDel="00000000" w:rsidP="00000000" w:rsidRDefault="00000000" w:rsidRPr="00000000" w14:paraId="0000003A">
      <w:pPr>
        <w:shd w:fill="00695c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B">
      <w:pPr>
        <w:shd w:fill="e0f2f1" w:val="clear"/>
        <w:spacing w:after="180" w:lineRule="auto"/>
        <w:rPr>
          <w:color w:val="00695c"/>
          <w:sz w:val="20"/>
          <w:szCs w:val="20"/>
        </w:rPr>
      </w:pPr>
      <w:r w:rsidDel="00000000" w:rsidR="00000000" w:rsidRPr="00000000">
        <w:rPr>
          <w:color w:val="00695c"/>
          <w:sz w:val="20"/>
          <w:szCs w:val="20"/>
          <w:rtl w:val="0"/>
        </w:rPr>
        <w:t xml:space="preserve">Hydration &amp; Hemoconcentration Protocol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Your pattern of BUN/creatinine ratio at 22 (ref 10–20), sodium at 144 mmol/L (ref 135–140), albumin at 5.3 g/dL (ref 4–5), and A/G ratio at 2.5 (ref 1.5–2.0) constitutes a consistent hemoconcentration signature indicating chronic underhydration relative to your 198.8 lb training body mass and 711 cal/day average active energy output.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Establish a minimum daily hydration target of 0.6–0.7 oz per pound of body weight — approximately 119–139 oz at 198.8 lbs — with electrolyte co-ingestion (sodium 500–1000 mg, potassium 200–400 mg) on training days to normalize the BUN/creatinine ratio toward the 10–14 range at next draw.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Retest sodium, albumin, A/G ratio, and BUN/creatinine at the 90-day mark; resolution of hemoconcentration is the primary endpoint, and failure to normalize by that draw warrants a nephrology consult to rule out structural contributors.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Implement pre- and post-training weight tracking on at least 4 days per week to quantify sweat loss and calibrate session-specific fluid replacement, targeting less than 1% body weight loss per session at current 198.8 lb baseline.</w:t>
      </w:r>
    </w:p>
    <w:p w:rsidR="00000000" w:rsidDel="00000000" w:rsidP="00000000" w:rsidRDefault="00000000" w:rsidRPr="00000000" w14:paraId="00000040">
      <w:pPr>
        <w:shd w:fill="00695c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41">
      <w:pPr>
        <w:shd w:fill="e0f2f1" w:val="clear"/>
        <w:spacing w:after="180" w:lineRule="auto"/>
        <w:rPr>
          <w:color w:val="00695c"/>
          <w:sz w:val="20"/>
          <w:szCs w:val="20"/>
        </w:rPr>
      </w:pPr>
      <w:r w:rsidDel="00000000" w:rsidR="00000000" w:rsidRPr="00000000">
        <w:rPr>
          <w:color w:val="00695c"/>
          <w:sz w:val="20"/>
          <w:szCs w:val="20"/>
          <w:rtl w:val="0"/>
        </w:rPr>
        <w:t xml:space="preserve">B-Vitamin &amp; Homocysteine Optimization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Homocysteine at 8.3 umol/L (ref 0.1–7.0) with a concurrent anion gap of 22 mmol/L signals B-vitamin insufficiency — most likely folate, B6, or B12 — that, at your age of 27 with a positive ANA history, elevates long-term cardiovascular and inflammatory risk if left unaddressed.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Initiate a methylated B-complex supplement providing methylfolate (400–800 mcg), methylcobalamin (1000 mcg), and P-5-P (active B6, 25–50 mg) daily; the clinical target is homocysteine below 7.0 umol/L and anion gap normalization below 12 mmol/L at the 90-day retest.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Add thiamine (B1) at 100 mg/day given the isolated anion gap elevation at 22 mmol/L, which in a high-output competitive athlete raises the index of suspicion for functional thiamine depletion as a specific contributor distinct from the folate/B12 axis.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Retest homocysteine and anion gap at 60 days rather than 90 given the cardiovascular risk relevance of homocysteine at your age, and cross-reference with the ANA 1:80 monitoring timeline to assess whether B-vitamin repletion is modulating the inflammatory autoimmune signal.</w:t>
      </w:r>
    </w:p>
    <w:p w:rsidR="00000000" w:rsidDel="00000000" w:rsidP="00000000" w:rsidRDefault="00000000" w:rsidRPr="00000000" w14:paraId="00000046">
      <w:pPr>
        <w:shd w:fill="00695c" w:val="clear"/>
        <w:spacing w:after="180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47">
      <w:pPr>
        <w:shd w:fill="e0f2f1" w:val="clear"/>
        <w:spacing w:after="180" w:lineRule="auto"/>
        <w:rPr>
          <w:color w:val="00695c"/>
          <w:sz w:val="20"/>
          <w:szCs w:val="20"/>
        </w:rPr>
      </w:pPr>
      <w:r w:rsidDel="00000000" w:rsidR="00000000" w:rsidRPr="00000000">
        <w:rPr>
          <w:color w:val="00695c"/>
          <w:sz w:val="20"/>
          <w:szCs w:val="20"/>
          <w:rtl w:val="0"/>
        </w:rPr>
        <w:t xml:space="preserve">Sleep Architecture &amp; Pace-of-Aging Stabilization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300" w:line="384.00000000000006" w:lineRule="auto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A sleep latency of 1 hour 43 minutes (target under 20 minutes), deep sleep at only 13% (optimal 15–20%), sleep efficiency at 82% (optimal above 85%), and a Whoop-flagged pace of aging running 1.9x faster than the prior week are converging signals that your recovery infrastructure is under stress even on days with strong surface-level recovery scores like today's 83%.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Address the 1h 43m sleep latency as the highest-priority sleep intervention: implement a strict stimulus cutoff 90 minutes before target sleep time, remove screens from the sleep environment, and evaluate magnesium glycinate (300–400 mg at bedtime) as a low-risk, evidence-supported intervention for sleep onset — targeting latency below 20 minutes within 30 days.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Increase deep sleep from 13% toward the 15–20% optimal range by prioritizing consistent sleep timing (your body clock shows a slight late chronotype — maintain a fixed wake time to anchor circadian rhythm), and monitor whether the occasional breathing disturbances noted in your WHOOP data warrant a formal sleep study if deep sleep remains below 14% at the 60-day review.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="372" w:lineRule="auto"/>
        <w:ind w:left="720" w:hanging="360"/>
        <w:rPr>
          <w:sz w:val="19"/>
          <w:szCs w:val="19"/>
        </w:rPr>
      </w:pPr>
      <w:r w:rsidDel="00000000" w:rsidR="00000000" w:rsidRPr="00000000">
        <w:rPr>
          <w:color w:val="212121"/>
          <w:sz w:val="19"/>
          <w:szCs w:val="19"/>
          <w:rtl w:val="0"/>
        </w:rPr>
        <w:t xml:space="preserve">Track Whoop biological age and pace-of-aging weekly as a composite long-term outcome metric; the current gap between chronological age 27 and Whoop age 33.6, combined with the 1.9x acceleration signal, should narrow as hydration, hepatic stress, B-vitamin status, and sleep architecture are corrected — with a 12-month target of pace of aging at or below 1.0x.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307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